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E0D" w:rsidRDefault="00543E0D" w:rsidP="002A6A2A">
      <w:pPr>
        <w:pStyle w:val="big-header"/>
        <w:ind w:left="0" w:right="1134"/>
        <w:rPr>
          <w:rFonts w:cs="FrankRuehl" w:hint="cs"/>
          <w:sz w:val="32"/>
          <w:rtl/>
        </w:rPr>
      </w:pPr>
      <w:r>
        <w:rPr>
          <w:rFonts w:cs="FrankRuehl"/>
          <w:sz w:val="32"/>
          <w:rtl/>
        </w:rPr>
        <w:t xml:space="preserve">חוק </w:t>
      </w:r>
      <w:r w:rsidR="002A6A2A">
        <w:rPr>
          <w:rFonts w:cs="FrankRuehl" w:hint="cs"/>
          <w:sz w:val="32"/>
          <w:rtl/>
        </w:rPr>
        <w:t>תגמול לנושאי משרה בתאגידים פיננסיים (אישור מיוחד ואי-התרת הוצאה לצורכי מס בשל תגמול חריג), תשע"ו-2016</w:t>
      </w:r>
    </w:p>
    <w:p w:rsidR="00F42E27" w:rsidRPr="00F42E27" w:rsidRDefault="00F42E27" w:rsidP="00F42E27">
      <w:pPr>
        <w:spacing w:line="320" w:lineRule="auto"/>
        <w:jc w:val="left"/>
        <w:rPr>
          <w:rFonts w:cs="FrankRuehl"/>
          <w:szCs w:val="26"/>
          <w:rtl/>
        </w:rPr>
      </w:pPr>
    </w:p>
    <w:p w:rsidR="00F42E27" w:rsidRDefault="00F42E27" w:rsidP="00F42E27">
      <w:pPr>
        <w:spacing w:line="320" w:lineRule="auto"/>
        <w:jc w:val="left"/>
        <w:rPr>
          <w:rtl/>
        </w:rPr>
      </w:pPr>
    </w:p>
    <w:p w:rsidR="00F42E27" w:rsidRDefault="00F42E27" w:rsidP="00F42E27">
      <w:pPr>
        <w:spacing w:line="320" w:lineRule="auto"/>
        <w:jc w:val="left"/>
        <w:rPr>
          <w:rFonts w:cs="Miriam"/>
          <w:szCs w:val="22"/>
          <w:rtl/>
        </w:rPr>
      </w:pPr>
      <w:r w:rsidRPr="00F42E27">
        <w:rPr>
          <w:rFonts w:cs="Miriam"/>
          <w:szCs w:val="22"/>
          <w:rtl/>
        </w:rPr>
        <w:t>משפט פרטי וכלכלה</w:t>
      </w:r>
      <w:r w:rsidRPr="00F42E27">
        <w:rPr>
          <w:rFonts w:cs="FrankRuehl"/>
          <w:szCs w:val="26"/>
          <w:rtl/>
        </w:rPr>
        <w:t xml:space="preserve"> – תאגידים וניירות ערך – תאגיד בנקאי</w:t>
      </w:r>
    </w:p>
    <w:p w:rsidR="00F42E27" w:rsidRPr="00F42E27" w:rsidRDefault="00F42E27" w:rsidP="00F42E27">
      <w:pPr>
        <w:spacing w:line="320" w:lineRule="auto"/>
        <w:jc w:val="left"/>
        <w:rPr>
          <w:rFonts w:cs="Miriam" w:hint="cs"/>
          <w:szCs w:val="22"/>
          <w:rtl/>
        </w:rPr>
      </w:pPr>
      <w:r w:rsidRPr="00F42E27">
        <w:rPr>
          <w:rFonts w:cs="Miriam"/>
          <w:szCs w:val="22"/>
          <w:rtl/>
        </w:rPr>
        <w:t>מסים</w:t>
      </w:r>
      <w:r w:rsidRPr="00F42E27">
        <w:rPr>
          <w:rFonts w:cs="FrankRuehl"/>
          <w:szCs w:val="26"/>
          <w:rtl/>
        </w:rPr>
        <w:t xml:space="preserve"> – מס הכנסה – ניכויים</w:t>
      </w:r>
    </w:p>
    <w:p w:rsidR="00543E0D" w:rsidRDefault="00543E0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64E3" w:rsidRPr="00FD64E3" w:rsidTr="00FD64E3">
        <w:tblPrEx>
          <w:tblCellMar>
            <w:top w:w="0" w:type="dxa"/>
            <w:bottom w:w="0" w:type="dxa"/>
          </w:tblCellMar>
        </w:tblPrEx>
        <w:tc>
          <w:tcPr>
            <w:tcW w:w="1247" w:type="dxa"/>
          </w:tcPr>
          <w:p w:rsidR="00FD64E3" w:rsidRPr="00FD64E3" w:rsidRDefault="00FD64E3" w:rsidP="00FD64E3">
            <w:pPr>
              <w:spacing w:line="240" w:lineRule="auto"/>
              <w:jc w:val="left"/>
              <w:rPr>
                <w:rFonts w:cs="Frankruhel"/>
                <w:sz w:val="24"/>
                <w:rtl/>
              </w:rPr>
            </w:pPr>
            <w:r>
              <w:rPr>
                <w:sz w:val="24"/>
                <w:rtl/>
              </w:rPr>
              <w:t xml:space="preserve">סעיף 1 </w:t>
            </w:r>
          </w:p>
        </w:tc>
        <w:tc>
          <w:tcPr>
            <w:tcW w:w="5669" w:type="dxa"/>
          </w:tcPr>
          <w:p w:rsidR="00FD64E3" w:rsidRPr="00FD64E3" w:rsidRDefault="00FD64E3" w:rsidP="00FD64E3">
            <w:pPr>
              <w:spacing w:line="240" w:lineRule="auto"/>
              <w:jc w:val="left"/>
              <w:rPr>
                <w:rFonts w:cs="Frankruhel"/>
                <w:sz w:val="24"/>
                <w:rtl/>
              </w:rPr>
            </w:pPr>
            <w:r>
              <w:rPr>
                <w:sz w:val="24"/>
                <w:rtl/>
              </w:rPr>
              <w:t>הגדרות</w:t>
            </w:r>
          </w:p>
        </w:tc>
        <w:tc>
          <w:tcPr>
            <w:tcW w:w="567" w:type="dxa"/>
          </w:tcPr>
          <w:p w:rsidR="00FD64E3" w:rsidRPr="00FD64E3" w:rsidRDefault="00FD64E3" w:rsidP="00FD64E3">
            <w:pPr>
              <w:spacing w:line="240" w:lineRule="auto"/>
              <w:jc w:val="left"/>
              <w:rPr>
                <w:rStyle w:val="Hyperlink"/>
                <w:rtl/>
              </w:rPr>
            </w:pPr>
            <w:hyperlink w:anchor="Seif1" w:tooltip="הגדרות" w:history="1">
              <w:r w:rsidRPr="00FD64E3">
                <w:rPr>
                  <w:rStyle w:val="Hyperlink"/>
                </w:rPr>
                <w:t>Go</w:t>
              </w:r>
            </w:hyperlink>
          </w:p>
        </w:tc>
        <w:tc>
          <w:tcPr>
            <w:tcW w:w="850" w:type="dxa"/>
          </w:tcPr>
          <w:p w:rsidR="00FD64E3" w:rsidRPr="00FD64E3" w:rsidRDefault="00FD64E3" w:rsidP="00FD64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D64E3" w:rsidRPr="00FD64E3" w:rsidTr="00FD64E3">
        <w:tblPrEx>
          <w:tblCellMar>
            <w:top w:w="0" w:type="dxa"/>
            <w:bottom w:w="0" w:type="dxa"/>
          </w:tblCellMar>
        </w:tblPrEx>
        <w:tc>
          <w:tcPr>
            <w:tcW w:w="1247" w:type="dxa"/>
          </w:tcPr>
          <w:p w:rsidR="00FD64E3" w:rsidRPr="00FD64E3" w:rsidRDefault="00FD64E3" w:rsidP="00FD64E3">
            <w:pPr>
              <w:spacing w:line="240" w:lineRule="auto"/>
              <w:jc w:val="left"/>
              <w:rPr>
                <w:rFonts w:cs="Frankruhel"/>
                <w:sz w:val="24"/>
                <w:rtl/>
              </w:rPr>
            </w:pPr>
            <w:r>
              <w:rPr>
                <w:sz w:val="24"/>
                <w:rtl/>
              </w:rPr>
              <w:t xml:space="preserve">סעיף 2 </w:t>
            </w:r>
          </w:p>
        </w:tc>
        <w:tc>
          <w:tcPr>
            <w:tcW w:w="5669" w:type="dxa"/>
          </w:tcPr>
          <w:p w:rsidR="00FD64E3" w:rsidRPr="00FD64E3" w:rsidRDefault="00FD64E3" w:rsidP="00FD64E3">
            <w:pPr>
              <w:spacing w:line="240" w:lineRule="auto"/>
              <w:jc w:val="left"/>
              <w:rPr>
                <w:rFonts w:cs="Frankruhel"/>
                <w:sz w:val="24"/>
                <w:rtl/>
              </w:rPr>
            </w:pPr>
            <w:r>
              <w:rPr>
                <w:sz w:val="24"/>
                <w:rtl/>
              </w:rPr>
              <w:t>אישור התקשרות למתן תגמול</w:t>
            </w:r>
          </w:p>
        </w:tc>
        <w:tc>
          <w:tcPr>
            <w:tcW w:w="567" w:type="dxa"/>
          </w:tcPr>
          <w:p w:rsidR="00FD64E3" w:rsidRPr="00FD64E3" w:rsidRDefault="00FD64E3" w:rsidP="00FD64E3">
            <w:pPr>
              <w:spacing w:line="240" w:lineRule="auto"/>
              <w:jc w:val="left"/>
              <w:rPr>
                <w:rStyle w:val="Hyperlink"/>
                <w:rtl/>
              </w:rPr>
            </w:pPr>
            <w:hyperlink w:anchor="Seif2" w:tooltip="אישור התקשרות למתן תגמול" w:history="1">
              <w:r w:rsidRPr="00FD64E3">
                <w:rPr>
                  <w:rStyle w:val="Hyperlink"/>
                </w:rPr>
                <w:t>Go</w:t>
              </w:r>
            </w:hyperlink>
          </w:p>
        </w:tc>
        <w:tc>
          <w:tcPr>
            <w:tcW w:w="850" w:type="dxa"/>
          </w:tcPr>
          <w:p w:rsidR="00FD64E3" w:rsidRPr="00FD64E3" w:rsidRDefault="00FD64E3" w:rsidP="00FD64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64E3" w:rsidRPr="00FD64E3" w:rsidTr="00FD64E3">
        <w:tblPrEx>
          <w:tblCellMar>
            <w:top w:w="0" w:type="dxa"/>
            <w:bottom w:w="0" w:type="dxa"/>
          </w:tblCellMar>
        </w:tblPrEx>
        <w:tc>
          <w:tcPr>
            <w:tcW w:w="1247" w:type="dxa"/>
          </w:tcPr>
          <w:p w:rsidR="00FD64E3" w:rsidRPr="00FD64E3" w:rsidRDefault="00FD64E3" w:rsidP="00FD64E3">
            <w:pPr>
              <w:spacing w:line="240" w:lineRule="auto"/>
              <w:jc w:val="left"/>
              <w:rPr>
                <w:rFonts w:cs="Frankruhel"/>
                <w:sz w:val="24"/>
                <w:rtl/>
              </w:rPr>
            </w:pPr>
            <w:r>
              <w:rPr>
                <w:sz w:val="24"/>
                <w:rtl/>
              </w:rPr>
              <w:t xml:space="preserve">סעיף 3 </w:t>
            </w:r>
          </w:p>
        </w:tc>
        <w:tc>
          <w:tcPr>
            <w:tcW w:w="5669" w:type="dxa"/>
          </w:tcPr>
          <w:p w:rsidR="00FD64E3" w:rsidRPr="00FD64E3" w:rsidRDefault="00FD64E3" w:rsidP="00FD64E3">
            <w:pPr>
              <w:spacing w:line="240" w:lineRule="auto"/>
              <w:jc w:val="left"/>
              <w:rPr>
                <w:rFonts w:cs="Frankruhel"/>
                <w:sz w:val="24"/>
                <w:rtl/>
              </w:rPr>
            </w:pPr>
            <w:r>
              <w:rPr>
                <w:sz w:val="24"/>
                <w:rtl/>
              </w:rPr>
              <w:t>חישוב התגמול לגבי כהונה או העסקה בקבוצת חברות</w:t>
            </w:r>
          </w:p>
        </w:tc>
        <w:tc>
          <w:tcPr>
            <w:tcW w:w="567" w:type="dxa"/>
          </w:tcPr>
          <w:p w:rsidR="00FD64E3" w:rsidRPr="00FD64E3" w:rsidRDefault="00FD64E3" w:rsidP="00FD64E3">
            <w:pPr>
              <w:spacing w:line="240" w:lineRule="auto"/>
              <w:jc w:val="left"/>
              <w:rPr>
                <w:rStyle w:val="Hyperlink"/>
                <w:rtl/>
              </w:rPr>
            </w:pPr>
            <w:hyperlink w:anchor="Seif3" w:tooltip="חישוב התגמול לגבי כהונה או העסקה בקבוצת חברות" w:history="1">
              <w:r w:rsidRPr="00FD64E3">
                <w:rPr>
                  <w:rStyle w:val="Hyperlink"/>
                </w:rPr>
                <w:t>Go</w:t>
              </w:r>
            </w:hyperlink>
          </w:p>
        </w:tc>
        <w:tc>
          <w:tcPr>
            <w:tcW w:w="850" w:type="dxa"/>
          </w:tcPr>
          <w:p w:rsidR="00FD64E3" w:rsidRPr="00FD64E3" w:rsidRDefault="00FD64E3" w:rsidP="00FD64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64E3" w:rsidRPr="00FD64E3" w:rsidTr="00FD64E3">
        <w:tblPrEx>
          <w:tblCellMar>
            <w:top w:w="0" w:type="dxa"/>
            <w:bottom w:w="0" w:type="dxa"/>
          </w:tblCellMar>
        </w:tblPrEx>
        <w:tc>
          <w:tcPr>
            <w:tcW w:w="1247" w:type="dxa"/>
          </w:tcPr>
          <w:p w:rsidR="00FD64E3" w:rsidRPr="00FD64E3" w:rsidRDefault="00FD64E3" w:rsidP="00FD64E3">
            <w:pPr>
              <w:spacing w:line="240" w:lineRule="auto"/>
              <w:jc w:val="left"/>
              <w:rPr>
                <w:rFonts w:cs="Frankruhel"/>
                <w:sz w:val="24"/>
                <w:rtl/>
              </w:rPr>
            </w:pPr>
            <w:r>
              <w:rPr>
                <w:sz w:val="24"/>
                <w:rtl/>
              </w:rPr>
              <w:t xml:space="preserve">סעיף 4 </w:t>
            </w:r>
          </w:p>
        </w:tc>
        <w:tc>
          <w:tcPr>
            <w:tcW w:w="5669" w:type="dxa"/>
          </w:tcPr>
          <w:p w:rsidR="00FD64E3" w:rsidRPr="00FD64E3" w:rsidRDefault="00FD64E3" w:rsidP="00FD64E3">
            <w:pPr>
              <w:spacing w:line="240" w:lineRule="auto"/>
              <w:jc w:val="left"/>
              <w:rPr>
                <w:rFonts w:cs="Frankruhel"/>
                <w:sz w:val="24"/>
                <w:rtl/>
              </w:rPr>
            </w:pPr>
            <w:r>
              <w:rPr>
                <w:sz w:val="24"/>
                <w:rtl/>
              </w:rPr>
              <w:t>תיקון פקודת מס הכנסה   מס' 224</w:t>
            </w:r>
          </w:p>
        </w:tc>
        <w:tc>
          <w:tcPr>
            <w:tcW w:w="567" w:type="dxa"/>
          </w:tcPr>
          <w:p w:rsidR="00FD64E3" w:rsidRPr="00FD64E3" w:rsidRDefault="00FD64E3" w:rsidP="00FD64E3">
            <w:pPr>
              <w:spacing w:line="240" w:lineRule="auto"/>
              <w:jc w:val="left"/>
              <w:rPr>
                <w:rStyle w:val="Hyperlink"/>
                <w:rtl/>
              </w:rPr>
            </w:pPr>
            <w:hyperlink w:anchor="Seif4" w:tooltip="תיקון פקודת מס הכנסה   מס 224" w:history="1">
              <w:r w:rsidRPr="00FD64E3">
                <w:rPr>
                  <w:rStyle w:val="Hyperlink"/>
                </w:rPr>
                <w:t>Go</w:t>
              </w:r>
            </w:hyperlink>
          </w:p>
        </w:tc>
        <w:tc>
          <w:tcPr>
            <w:tcW w:w="850" w:type="dxa"/>
          </w:tcPr>
          <w:p w:rsidR="00FD64E3" w:rsidRPr="00FD64E3" w:rsidRDefault="00FD64E3" w:rsidP="00FD64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D64E3" w:rsidRPr="00FD64E3" w:rsidTr="00FD64E3">
        <w:tblPrEx>
          <w:tblCellMar>
            <w:top w:w="0" w:type="dxa"/>
            <w:bottom w:w="0" w:type="dxa"/>
          </w:tblCellMar>
        </w:tblPrEx>
        <w:tc>
          <w:tcPr>
            <w:tcW w:w="1247" w:type="dxa"/>
          </w:tcPr>
          <w:p w:rsidR="00FD64E3" w:rsidRPr="00FD64E3" w:rsidRDefault="00FD64E3" w:rsidP="00FD64E3">
            <w:pPr>
              <w:spacing w:line="240" w:lineRule="auto"/>
              <w:jc w:val="left"/>
              <w:rPr>
                <w:rFonts w:cs="Frankruhel"/>
                <w:sz w:val="24"/>
                <w:rtl/>
              </w:rPr>
            </w:pPr>
            <w:r>
              <w:rPr>
                <w:sz w:val="24"/>
                <w:rtl/>
              </w:rPr>
              <w:t xml:space="preserve">סעיף 5 </w:t>
            </w:r>
          </w:p>
        </w:tc>
        <w:tc>
          <w:tcPr>
            <w:tcW w:w="5669" w:type="dxa"/>
          </w:tcPr>
          <w:p w:rsidR="00FD64E3" w:rsidRPr="00FD64E3" w:rsidRDefault="00FD64E3" w:rsidP="00FD64E3">
            <w:pPr>
              <w:spacing w:line="240" w:lineRule="auto"/>
              <w:jc w:val="left"/>
              <w:rPr>
                <w:rFonts w:cs="Frankruhel"/>
                <w:sz w:val="24"/>
                <w:rtl/>
              </w:rPr>
            </w:pPr>
            <w:r>
              <w:rPr>
                <w:sz w:val="24"/>
                <w:rtl/>
              </w:rPr>
              <w:t>ביצוע ותקנות</w:t>
            </w:r>
          </w:p>
        </w:tc>
        <w:tc>
          <w:tcPr>
            <w:tcW w:w="567" w:type="dxa"/>
          </w:tcPr>
          <w:p w:rsidR="00FD64E3" w:rsidRPr="00FD64E3" w:rsidRDefault="00FD64E3" w:rsidP="00FD64E3">
            <w:pPr>
              <w:spacing w:line="240" w:lineRule="auto"/>
              <w:jc w:val="left"/>
              <w:rPr>
                <w:rStyle w:val="Hyperlink"/>
                <w:rtl/>
              </w:rPr>
            </w:pPr>
            <w:hyperlink w:anchor="Seif5" w:tooltip="ביצוע ותקנות" w:history="1">
              <w:r w:rsidRPr="00FD64E3">
                <w:rPr>
                  <w:rStyle w:val="Hyperlink"/>
                </w:rPr>
                <w:t>Go</w:t>
              </w:r>
            </w:hyperlink>
          </w:p>
        </w:tc>
        <w:tc>
          <w:tcPr>
            <w:tcW w:w="850" w:type="dxa"/>
          </w:tcPr>
          <w:p w:rsidR="00FD64E3" w:rsidRPr="00FD64E3" w:rsidRDefault="00FD64E3" w:rsidP="00FD64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D64E3" w:rsidRPr="00FD64E3" w:rsidTr="00FD64E3">
        <w:tblPrEx>
          <w:tblCellMar>
            <w:top w:w="0" w:type="dxa"/>
            <w:bottom w:w="0" w:type="dxa"/>
          </w:tblCellMar>
        </w:tblPrEx>
        <w:tc>
          <w:tcPr>
            <w:tcW w:w="1247" w:type="dxa"/>
          </w:tcPr>
          <w:p w:rsidR="00FD64E3" w:rsidRPr="00FD64E3" w:rsidRDefault="00FD64E3" w:rsidP="00FD64E3">
            <w:pPr>
              <w:spacing w:line="240" w:lineRule="auto"/>
              <w:jc w:val="left"/>
              <w:rPr>
                <w:rFonts w:cs="Frankruhel"/>
                <w:sz w:val="24"/>
                <w:rtl/>
              </w:rPr>
            </w:pPr>
            <w:r>
              <w:rPr>
                <w:sz w:val="24"/>
                <w:rtl/>
              </w:rPr>
              <w:t xml:space="preserve">סעיף 6 </w:t>
            </w:r>
          </w:p>
        </w:tc>
        <w:tc>
          <w:tcPr>
            <w:tcW w:w="5669" w:type="dxa"/>
          </w:tcPr>
          <w:p w:rsidR="00FD64E3" w:rsidRPr="00FD64E3" w:rsidRDefault="00FD64E3" w:rsidP="00FD64E3">
            <w:pPr>
              <w:spacing w:line="240" w:lineRule="auto"/>
              <w:jc w:val="left"/>
              <w:rPr>
                <w:rFonts w:cs="Frankruhel"/>
                <w:sz w:val="24"/>
                <w:rtl/>
              </w:rPr>
            </w:pPr>
            <w:r>
              <w:rPr>
                <w:sz w:val="24"/>
                <w:rtl/>
              </w:rPr>
              <w:t>תחילה ותחולה</w:t>
            </w:r>
          </w:p>
        </w:tc>
        <w:tc>
          <w:tcPr>
            <w:tcW w:w="567" w:type="dxa"/>
          </w:tcPr>
          <w:p w:rsidR="00FD64E3" w:rsidRPr="00FD64E3" w:rsidRDefault="00FD64E3" w:rsidP="00FD64E3">
            <w:pPr>
              <w:spacing w:line="240" w:lineRule="auto"/>
              <w:jc w:val="left"/>
              <w:rPr>
                <w:rStyle w:val="Hyperlink"/>
                <w:rtl/>
              </w:rPr>
            </w:pPr>
            <w:hyperlink w:anchor="Seif6" w:tooltip="תחילה ותחולה" w:history="1">
              <w:r w:rsidRPr="00FD64E3">
                <w:rPr>
                  <w:rStyle w:val="Hyperlink"/>
                </w:rPr>
                <w:t>Go</w:t>
              </w:r>
            </w:hyperlink>
          </w:p>
        </w:tc>
        <w:tc>
          <w:tcPr>
            <w:tcW w:w="850" w:type="dxa"/>
          </w:tcPr>
          <w:p w:rsidR="00FD64E3" w:rsidRPr="00FD64E3" w:rsidRDefault="00FD64E3" w:rsidP="00FD64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543E0D" w:rsidRDefault="00543E0D">
      <w:pPr>
        <w:pStyle w:val="big-header"/>
        <w:ind w:left="0" w:right="1134"/>
        <w:rPr>
          <w:rFonts w:cs="FrankRuehl"/>
          <w:sz w:val="32"/>
          <w:rtl/>
        </w:rPr>
      </w:pPr>
    </w:p>
    <w:p w:rsidR="00543E0D" w:rsidRDefault="00543E0D" w:rsidP="002A6A2A">
      <w:pPr>
        <w:pStyle w:val="big-header"/>
        <w:ind w:left="0" w:right="1134"/>
        <w:rPr>
          <w:rStyle w:val="super"/>
          <w:rFonts w:cs="Miriam" w:hint="cs"/>
          <w:rtl/>
          <w:lang w:eastAsia="he-IL"/>
        </w:rPr>
      </w:pPr>
      <w:r>
        <w:rPr>
          <w:rFonts w:cs="FrankRuehl"/>
          <w:sz w:val="32"/>
          <w:rtl/>
        </w:rPr>
        <w:br w:type="page"/>
      </w:r>
      <w:r w:rsidR="002A6A2A">
        <w:rPr>
          <w:rFonts w:cs="FrankRuehl"/>
          <w:sz w:val="32"/>
          <w:rtl/>
        </w:rPr>
        <w:lastRenderedPageBreak/>
        <w:t xml:space="preserve">חוק </w:t>
      </w:r>
      <w:r w:rsidR="002A6A2A">
        <w:rPr>
          <w:rFonts w:cs="FrankRuehl" w:hint="cs"/>
          <w:sz w:val="32"/>
          <w:rtl/>
        </w:rPr>
        <w:t>תגמול לנושאי משרה בתאגידים פיננסיים (אישור מיוחד ואי-התרת הוצאה לצורכי מס בשל תגמול חריג), תשע"ו-2016</w:t>
      </w:r>
      <w:r>
        <w:rPr>
          <w:rStyle w:val="default"/>
          <w:rtl/>
        </w:rPr>
        <w:footnoteReference w:customMarkFollows="1" w:id="1"/>
        <w:t>*</w:t>
      </w:r>
    </w:p>
    <w:p w:rsidR="00543E0D" w:rsidRDefault="00543E0D" w:rsidP="007247A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55168" o:allowincell="f" filled="f" stroked="f" strokecolor="lime" strokeweight=".25pt">
            <v:textbox inset="0,0,0,0">
              <w:txbxContent>
                <w:p w:rsidR="00BB6225" w:rsidRDefault="00BB6225">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543E0D" w:rsidRDefault="00543E0D" w:rsidP="00D731F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אמצ</w:t>
      </w:r>
      <w:r>
        <w:rPr>
          <w:rStyle w:val="default"/>
          <w:rFonts w:cs="FrankRuehl"/>
          <w:rtl/>
        </w:rPr>
        <w:t>ע</w:t>
      </w:r>
      <w:r w:rsidR="00D731FE">
        <w:rPr>
          <w:rStyle w:val="default"/>
          <w:rFonts w:cs="FrankRuehl" w:hint="cs"/>
          <w:rtl/>
        </w:rPr>
        <w:t xml:space="preserve">י שליטה", ו"שליטה" </w:t>
      </w:r>
      <w:r w:rsidR="00D731FE">
        <w:rPr>
          <w:rStyle w:val="default"/>
          <w:rFonts w:cs="FrankRuehl"/>
          <w:rtl/>
        </w:rPr>
        <w:t>–</w:t>
      </w:r>
      <w:r w:rsidR="00D731FE">
        <w:rPr>
          <w:rStyle w:val="default"/>
          <w:rFonts w:cs="FrankRuehl" w:hint="cs"/>
          <w:rtl/>
        </w:rPr>
        <w:t xml:space="preserve"> כהגדרתם בחוק הבנקאות (רישוי);</w:t>
      </w:r>
    </w:p>
    <w:p w:rsidR="00D731FE" w:rsidRDefault="00D731FE" w:rsidP="00D731FE">
      <w:pPr>
        <w:pStyle w:val="P00"/>
        <w:spacing w:before="72"/>
        <w:ind w:left="0" w:right="1134"/>
        <w:rPr>
          <w:rStyle w:val="default"/>
          <w:rFonts w:cs="FrankRuehl" w:hint="cs"/>
          <w:rtl/>
        </w:rPr>
      </w:pPr>
      <w:r>
        <w:rPr>
          <w:rStyle w:val="default"/>
          <w:rFonts w:cs="FrankRuehl" w:hint="cs"/>
          <w:rtl/>
        </w:rPr>
        <w:tab/>
        <w:t xml:space="preserve">"גוף פיננסי" </w:t>
      </w:r>
      <w:r w:rsidR="00BB6225">
        <w:rPr>
          <w:rStyle w:val="default"/>
          <w:rFonts w:cs="FrankRuehl"/>
          <w:rtl/>
        </w:rPr>
        <w:t>–</w:t>
      </w:r>
      <w:r>
        <w:rPr>
          <w:rStyle w:val="default"/>
          <w:rFonts w:cs="FrankRuehl" w:hint="cs"/>
          <w:rtl/>
        </w:rPr>
        <w:t xml:space="preserve"> </w:t>
      </w:r>
      <w:r w:rsidR="00BB6225">
        <w:rPr>
          <w:rStyle w:val="default"/>
          <w:rFonts w:cs="FrankRuehl" w:hint="cs"/>
          <w:rtl/>
        </w:rPr>
        <w:t>כל אחד מאלה:</w:t>
      </w:r>
    </w:p>
    <w:p w:rsidR="00BB6225" w:rsidRDefault="00BB6225" w:rsidP="00BB62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מוסדי כהגדרתו בחוק הפיקוח על הביטוח;</w:t>
      </w:r>
    </w:p>
    <w:p w:rsidR="00BB6225" w:rsidRDefault="00BB6225" w:rsidP="00BB62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חברה שייעודה הנפקת מוצרי מדדים כהגדרתם בחוק הסדרת העיסוק;</w:t>
      </w:r>
    </w:p>
    <w:p w:rsidR="00BB6225" w:rsidRDefault="00BB6225" w:rsidP="00BB62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קרן להשקעות משותפות בנאמנות כמשמעותו בחוק השקעות משותפות בנאמנות, התשנ"ד-1994;</w:t>
      </w:r>
    </w:p>
    <w:p w:rsidR="00BB6225" w:rsidRDefault="00BB6225" w:rsidP="00BB62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תיקים כהגדרתו בחוק הסדרת העיסוק;</w:t>
      </w:r>
    </w:p>
    <w:p w:rsidR="00BB6225" w:rsidRDefault="00BB6225" w:rsidP="00BB62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בנקאי כהגדרתו בחוק הבנקאות (רישוי);</w:t>
      </w:r>
    </w:p>
    <w:p w:rsidR="00BB6225" w:rsidRDefault="00BB6225" w:rsidP="00BB622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גוף אחר המספק שירותים פיננסיים, שקבע שר האוצר, בצו, באישור ועדת הכספים של הכנסת;</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"חוק הסדרת העיסוק" </w:t>
      </w:r>
      <w:r>
        <w:rPr>
          <w:rStyle w:val="default"/>
          <w:rFonts w:cs="FrankRuehl"/>
          <w:rtl/>
        </w:rPr>
        <w:t>–</w:t>
      </w:r>
      <w:r>
        <w:rPr>
          <w:rStyle w:val="default"/>
          <w:rFonts w:cs="FrankRuehl" w:hint="cs"/>
          <w:rtl/>
        </w:rPr>
        <w:t xml:space="preserve"> חוק הסדרת העיסוק בייעוץ השקעות, בשיווק השקעות ובניהול תיקי השקעות, התשנ"ה-1995;</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"כללי החשבונאות המקובלים" </w:t>
      </w:r>
      <w:r>
        <w:rPr>
          <w:rStyle w:val="default"/>
          <w:rFonts w:cs="FrankRuehl"/>
          <w:rtl/>
        </w:rPr>
        <w:t>–</w:t>
      </w:r>
      <w:r>
        <w:rPr>
          <w:rStyle w:val="default"/>
          <w:rFonts w:cs="FrankRuehl" w:hint="cs"/>
          <w:rtl/>
        </w:rPr>
        <w:t xml:space="preserve"> כללי החשבונאות החלים על התאגיד לפי דין, ובאין כללים שחלים על התאגיד לפי דין </w:t>
      </w:r>
      <w:r>
        <w:rPr>
          <w:rStyle w:val="default"/>
          <w:rFonts w:cs="FrankRuehl"/>
          <w:rtl/>
        </w:rPr>
        <w:t>–</w:t>
      </w:r>
      <w:r>
        <w:rPr>
          <w:rStyle w:val="default"/>
          <w:rFonts w:cs="FrankRuehl" w:hint="cs"/>
          <w:rtl/>
        </w:rPr>
        <w:t xml:space="preserve"> תקני חשבונאות שקבע המוסד הישראלי לתקינה בחשבונאות;</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"נושא משרה בכירה" </w:t>
      </w:r>
      <w:r>
        <w:rPr>
          <w:rStyle w:val="default"/>
          <w:rFonts w:cs="FrankRuehl"/>
          <w:rtl/>
        </w:rPr>
        <w:t>–</w:t>
      </w:r>
      <w:r>
        <w:rPr>
          <w:rStyle w:val="default"/>
          <w:rFonts w:cs="FrankRuehl" w:hint="cs"/>
          <w:rtl/>
        </w:rPr>
        <w:t xml:space="preserve"> כהגדרתו בסעיף 37(ד) לחוק ניירות ערך, התשכ"ח-1968;</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"שכר" </w:t>
      </w:r>
      <w:r>
        <w:rPr>
          <w:rStyle w:val="default"/>
          <w:rFonts w:cs="FrankRuehl"/>
          <w:rtl/>
        </w:rPr>
        <w:t>–</w:t>
      </w:r>
      <w:r>
        <w:rPr>
          <w:rStyle w:val="default"/>
          <w:rFonts w:cs="FrankRuehl" w:hint="cs"/>
          <w:rtl/>
        </w:rPr>
        <w:t xml:space="preserve"> לרבות תנאים נלווים לשכר, ובכלל זה החזקת רכב, טלפון, תנאים סוציאליים, הפרשות בשל סיום יחסי עובד-מעביד, וכל הכנסה שנזקפה לשכר בשל מרכיב שהוענק לעובד;</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"תאגיד פיננסי" </w:t>
      </w:r>
      <w:r>
        <w:rPr>
          <w:rStyle w:val="default"/>
          <w:rFonts w:cs="FrankRuehl"/>
          <w:rtl/>
        </w:rPr>
        <w:t>–</w:t>
      </w:r>
      <w:r>
        <w:rPr>
          <w:rStyle w:val="default"/>
          <w:rFonts w:cs="FrankRuehl" w:hint="cs"/>
          <w:rtl/>
        </w:rPr>
        <w:t xml:space="preserve"> גוף פיננסי או תאגיד שליטה, למעט אחד מאלה:</w:t>
      </w:r>
    </w:p>
    <w:p w:rsidR="00BB6225" w:rsidRDefault="00BB6225" w:rsidP="00BB62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שקיבל רישיון בנק חוץ, לפי סעיף 4(א)(2) לחוק הבנקאות (רישוי);</w:t>
      </w:r>
    </w:p>
    <w:p w:rsidR="00BB6225" w:rsidRDefault="00BB6225" w:rsidP="00BB62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שקיבל רישיון מבטח חוץ, לפי סעיף 15(א)(2) לחוק הפיקוח על הביטוח;</w:t>
      </w:r>
    </w:p>
    <w:p w:rsidR="00BB6225" w:rsidRDefault="00BB6225" w:rsidP="00BB62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תיקים זר שהוא עוסק זר כהגדרתו בסעיף 10א לחוק הסדרת העיסוק;</w:t>
      </w:r>
    </w:p>
    <w:p w:rsidR="00BB6225" w:rsidRDefault="00BB6225" w:rsidP="00BB62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קרן חוץ כהגדרתו בסעיף 113א לחוק השקעות משותפות בנאמנות, התשנ"ד-1994, שקיבל היתר מרשות ניירות ערך להציע יחידות בישראל כאמור בסעיף 113ב לחוק האמור;</w:t>
      </w:r>
    </w:p>
    <w:p w:rsidR="00BB6225" w:rsidRDefault="00BB6225" w:rsidP="00BB62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פיננסי זר אחר שקבע שר האוצר, בצו, באישור ועדת הכספים של הכנסת;</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"תאגיד קשור" לתאגיד פיננסי </w:t>
      </w:r>
      <w:r>
        <w:rPr>
          <w:rStyle w:val="default"/>
          <w:rFonts w:cs="FrankRuehl"/>
          <w:rtl/>
        </w:rPr>
        <w:t>–</w:t>
      </w:r>
      <w:r>
        <w:rPr>
          <w:rStyle w:val="default"/>
          <w:rFonts w:cs="FrankRuehl" w:hint="cs"/>
          <w:rtl/>
        </w:rPr>
        <w:t xml:space="preserve"> כל אחד מאלה:</w:t>
      </w:r>
    </w:p>
    <w:p w:rsidR="00BB6225" w:rsidRDefault="00BB6225" w:rsidP="00BB62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תאגיד פיננסי שהוא גוף פיננסי </w:t>
      </w:r>
      <w:r>
        <w:rPr>
          <w:rStyle w:val="default"/>
          <w:rFonts w:cs="FrankRuehl"/>
          <w:rtl/>
        </w:rPr>
        <w:t>–</w:t>
      </w:r>
    </w:p>
    <w:p w:rsidR="00BB6225" w:rsidRDefault="00BB6225" w:rsidP="00BB62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תאגיד הנשלט בידי הגוף הפיננסי;</w:t>
      </w:r>
    </w:p>
    <w:p w:rsidR="00BB6225" w:rsidRDefault="00BB6225" w:rsidP="00BB62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תאגיד השליטה של הגוף הפיננסי;</w:t>
      </w:r>
    </w:p>
    <w:p w:rsidR="00BB6225" w:rsidRDefault="00BB6225" w:rsidP="00BB622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גוף פיננסי אחר שתאגיד השליטה שלו הוא תאגיד השליטה של הגוף </w:t>
      </w:r>
      <w:r>
        <w:rPr>
          <w:rStyle w:val="default"/>
          <w:rFonts w:cs="FrankRuehl" w:hint="cs"/>
          <w:rtl/>
        </w:rPr>
        <w:lastRenderedPageBreak/>
        <w:t>הפיננסי וכן תאגידים שבשליטתו;</w:t>
      </w:r>
    </w:p>
    <w:p w:rsidR="00BB6225" w:rsidRDefault="00BB6225" w:rsidP="00BB62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תאגיד פיננסי שהוא תאגיד שליטה שאינו גוף פיננסי </w:t>
      </w:r>
      <w:r>
        <w:rPr>
          <w:rStyle w:val="default"/>
          <w:rFonts w:cs="FrankRuehl"/>
          <w:rtl/>
        </w:rPr>
        <w:t>–</w:t>
      </w:r>
      <w:r>
        <w:rPr>
          <w:rStyle w:val="default"/>
          <w:rFonts w:cs="FrankRuehl" w:hint="cs"/>
          <w:rtl/>
        </w:rPr>
        <w:t xml:space="preserve"> כל הגופים הפיננסיים שהוא תאגיד השליטה שלהם וכן תאגידים שבשליטתם;</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"תאגיד שליטה" של גוף פיננסי </w:t>
      </w:r>
      <w:r>
        <w:rPr>
          <w:rStyle w:val="default"/>
          <w:rFonts w:cs="FrankRuehl"/>
          <w:rtl/>
        </w:rPr>
        <w:t>–</w:t>
      </w:r>
      <w:r>
        <w:rPr>
          <w:rStyle w:val="default"/>
          <w:rFonts w:cs="FrankRuehl" w:hint="cs"/>
          <w:rtl/>
        </w:rPr>
        <w:t xml:space="preserve"> תאגיד שמתקיימים בו כל אלה:</w:t>
      </w:r>
    </w:p>
    <w:p w:rsidR="00BB6225" w:rsidRDefault="00BB6225" w:rsidP="00BB62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שולט בגוף הפיננסי;</w:t>
      </w:r>
    </w:p>
    <w:p w:rsidR="00BB6225" w:rsidRDefault="00BB6225" w:rsidP="00BB62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מחזיק 30 אחוזים או יותר מסוג מסוים של אמצעי שליטה בגוף הפיננסי שהוא שולט בו כאמור בפסקה (1);</w:t>
      </w:r>
    </w:p>
    <w:p w:rsidR="00BB6225" w:rsidRDefault="00BB6225" w:rsidP="00BB62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יותר ממחצית מכלל נכסיו הם אמצעי שליטה בגופים פיננסיים שהוא שולט בהם;</w:t>
      </w:r>
    </w:p>
    <w:p w:rsidR="00BB6225" w:rsidRDefault="00BB6225" w:rsidP="00D731FE">
      <w:pPr>
        <w:pStyle w:val="P00"/>
        <w:spacing w:before="72"/>
        <w:ind w:left="0" w:right="1134"/>
        <w:rPr>
          <w:rStyle w:val="default"/>
          <w:rFonts w:cs="FrankRuehl" w:hint="cs"/>
          <w:rtl/>
        </w:rPr>
      </w:pPr>
      <w:r>
        <w:rPr>
          <w:rStyle w:val="default"/>
          <w:rFonts w:cs="FrankRuehl" w:hint="cs"/>
          <w:rtl/>
        </w:rPr>
        <w:tab/>
        <w:t xml:space="preserve">"תגמול" </w:t>
      </w:r>
      <w:r>
        <w:rPr>
          <w:rStyle w:val="default"/>
          <w:rFonts w:cs="FrankRuehl"/>
          <w:rtl/>
        </w:rPr>
        <w:t>–</w:t>
      </w:r>
      <w:r>
        <w:rPr>
          <w:rStyle w:val="default"/>
          <w:rFonts w:cs="FrankRuehl" w:hint="cs"/>
          <w:rtl/>
        </w:rPr>
        <w:t xml:space="preserve"> לרבות התחייבות למתן תגמול, בין במישרין ובין בעקיפין, ולרבות סכום כסף וכל דבר שהוא שווה כסף, שכר, מענק, דמי ניהול, דמי ייעוץ, דמי שכירות, עמלה, הטבה שהיא ריבית, תשלום מבוסס מניות, תגמול פרישה שאינו תשלום פנסיוני ושאינו פיצויי פיטורים על פי דין, טובת הנאה וכל הטבה אחרת, והכול למעט דיבידנד.</w:t>
      </w:r>
    </w:p>
    <w:p w:rsidR="00543E0D" w:rsidRDefault="00543E0D" w:rsidP="00BB6225">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0.15pt;z-index:251656192" o:allowincell="f" filled="f" stroked="f" strokecolor="lime" strokeweight=".25pt">
            <v:textbox inset="0,0,0,0">
              <w:txbxContent>
                <w:p w:rsidR="00BB6225" w:rsidRDefault="00BB6225">
                  <w:pPr>
                    <w:spacing w:line="160" w:lineRule="exact"/>
                    <w:jc w:val="left"/>
                    <w:rPr>
                      <w:rFonts w:cs="Miriam" w:hint="cs"/>
                      <w:noProof/>
                      <w:sz w:val="18"/>
                      <w:szCs w:val="18"/>
                      <w:rtl/>
                    </w:rPr>
                  </w:pPr>
                  <w:r>
                    <w:rPr>
                      <w:rFonts w:cs="Miriam" w:hint="cs"/>
                      <w:sz w:val="18"/>
                      <w:szCs w:val="18"/>
                      <w:rtl/>
                    </w:rPr>
                    <w:t>אישור התקשרות למתן תגמול</w:t>
                  </w:r>
                </w:p>
              </w:txbxContent>
            </v:textbox>
            <w10:anchorlock/>
          </v:rect>
        </w:pict>
      </w:r>
      <w:r>
        <w:rPr>
          <w:rStyle w:val="big-number"/>
          <w:rFonts w:cs="Miriam"/>
          <w:rtl/>
        </w:rPr>
        <w:t>2.</w:t>
      </w:r>
      <w:r>
        <w:rPr>
          <w:rStyle w:val="big-number"/>
          <w:rFonts w:cs="Miriam"/>
          <w:rtl/>
        </w:rPr>
        <w:tab/>
      </w:r>
      <w:r w:rsidR="00BB6225">
        <w:rPr>
          <w:rStyle w:val="default"/>
          <w:rFonts w:cs="FrankRuehl" w:hint="cs"/>
          <w:rtl/>
        </w:rPr>
        <w:t>(א)</w:t>
      </w:r>
      <w:r w:rsidR="00BB6225">
        <w:rPr>
          <w:rStyle w:val="default"/>
          <w:rFonts w:cs="FrankRuehl" w:hint="cs"/>
          <w:rtl/>
        </w:rPr>
        <w:tab/>
        <w:t xml:space="preserve">התקשרות של תאגיד פיננסי עם נושא משרה בכירה או עובד בתאגיד הפיננסי, במישרין או בעקיפין, באשר לתנאי כהונתו או העסקתו, הכוללת מתן תגמול שההוצאה החזויה בשלו, כפי שחושבה למועד האישור בהתאם לכללי החשבונאות המקובלים, צפויה לעלות על שני מיליון וחצי שקלים חדשים בשנה (להלן </w:t>
      </w:r>
      <w:r w:rsidR="00BB6225">
        <w:rPr>
          <w:rStyle w:val="default"/>
          <w:rFonts w:cs="FrankRuehl"/>
          <w:rtl/>
        </w:rPr>
        <w:t>–</w:t>
      </w:r>
      <w:r w:rsidR="00BB6225">
        <w:rPr>
          <w:rStyle w:val="default"/>
          <w:rFonts w:cs="FrankRuehl" w:hint="cs"/>
          <w:rtl/>
        </w:rPr>
        <w:t xml:space="preserve"> סכום ההתקשרות), טעונה אישור של אלה, בסדר הזה:</w:t>
      </w:r>
    </w:p>
    <w:p w:rsidR="00BB6225" w:rsidRDefault="00BB6225" w:rsidP="00E706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70644">
        <w:rPr>
          <w:rStyle w:val="default"/>
          <w:rFonts w:cs="FrankRuehl" w:hint="cs"/>
          <w:rtl/>
        </w:rPr>
        <w:t xml:space="preserve">ועדת התגמול של התאגיד הפיננסי, ובהעדר ועדת תגמול </w:t>
      </w:r>
      <w:r w:rsidR="00E70644">
        <w:rPr>
          <w:rStyle w:val="default"/>
          <w:rFonts w:cs="FrankRuehl"/>
          <w:rtl/>
        </w:rPr>
        <w:t>–</w:t>
      </w:r>
      <w:r w:rsidR="00E70644">
        <w:rPr>
          <w:rStyle w:val="default"/>
          <w:rFonts w:cs="FrankRuehl" w:hint="cs"/>
          <w:rtl/>
        </w:rPr>
        <w:t xml:space="preserve"> ועדת הביקורת של התאגיד הפיננסי אם קיימת ועדה כאמור;</w:t>
      </w:r>
    </w:p>
    <w:p w:rsidR="00E70644" w:rsidRDefault="00E70644" w:rsidP="00E706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דירקטוריון התאגיד הפיננסי, ובתאגיד פיננסי שחלה לגביו חובה למנות דירקטורים חיצוניים או דירקטורים בלתי תלויים </w:t>
      </w:r>
      <w:r>
        <w:rPr>
          <w:rStyle w:val="default"/>
          <w:rFonts w:cs="FrankRuehl"/>
          <w:rtl/>
        </w:rPr>
        <w:t>–</w:t>
      </w:r>
      <w:r>
        <w:rPr>
          <w:rStyle w:val="default"/>
          <w:rFonts w:cs="FrankRuehl" w:hint="cs"/>
          <w:rtl/>
        </w:rPr>
        <w:t xml:space="preserve"> גם אישור של רוב הדירקטורים החיצוניים או הבלתי תלויים, לפי העניין;</w:t>
      </w:r>
    </w:p>
    <w:p w:rsidR="00E70644" w:rsidRDefault="00E70644" w:rsidP="00E706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בתאגיד פיננסי שהוא חברה ציבורית כהגדרתה בחוק החברות </w:t>
      </w:r>
      <w:r>
        <w:rPr>
          <w:rStyle w:val="default"/>
          <w:rFonts w:cs="FrankRuehl"/>
          <w:rtl/>
        </w:rPr>
        <w:t>–</w:t>
      </w:r>
      <w:r>
        <w:rPr>
          <w:rStyle w:val="default"/>
          <w:rFonts w:cs="FrankRuehl" w:hint="cs"/>
          <w:rtl/>
        </w:rPr>
        <w:t xml:space="preserve"> אישור האסיפה הכללית בהתאם להוראות סעיף 267א(ב) לחוק האמור, בשינויים המחויבים.</w:t>
      </w:r>
    </w:p>
    <w:p w:rsidR="00E70644" w:rsidRDefault="00E70644" w:rsidP="005A58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תאושר התקשרות כאמור בסעיף קטן (א), אלא אם כן היחס שבין ההוצאה החזויה, לפי עלות משרה מלאה, בשל התגמול האמור בסעיף קטן (א) לבין ההוצאה בשל התגמול הנמוך ביותר, לפי עלות משרה מלאה, ששילם התאגיד הפיננסי, במישרין או בעקיפין, לעובד התאגיד, לרבות עובד של קבלן כוח אדם שהתאגיד הפיננסי הוא המעסיק בפועל שלו, ועובד של קבלן שירות המועסק במתן שירות אצל התאגיד הפיננסי, בשנה שקדמה למועד ההתקשרות, קטן מ-35; לעניין זה, "קבלן כוח אדם", "קבלן שירות" ו"מעסיק בפועל" </w:t>
      </w:r>
      <w:r>
        <w:rPr>
          <w:rStyle w:val="default"/>
          <w:rFonts w:cs="FrankRuehl"/>
          <w:rtl/>
        </w:rPr>
        <w:t>–</w:t>
      </w:r>
      <w:r>
        <w:rPr>
          <w:rStyle w:val="default"/>
          <w:rFonts w:cs="FrankRuehl" w:hint="cs"/>
          <w:rtl/>
        </w:rPr>
        <w:t xml:space="preserve"> כהגדרתם בחוק העסקת עובדים על ידי קבלני כוח אדם, התשנ"ו-1996.</w:t>
      </w:r>
    </w:p>
    <w:p w:rsidR="00E70644" w:rsidRDefault="00E70644" w:rsidP="00BB62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280 לחוק החברות יחולו, בשינויים המחויבים, על התקשרות של תאגיד פיננסי עם נושא משרה בכירה או עובד כאמור בסעיף קטן (א) שלא אושרה בהתאם להוראות סעיף זה, ובכלל זה אם נפל בהליך האישור פגם מהותי או אם ההתקשרות נעשתה בחריגה מהותית מן האישור.</w:t>
      </w:r>
    </w:p>
    <w:p w:rsidR="00E70644" w:rsidRDefault="00E70644" w:rsidP="00BB62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סכום ההתקשרות יהיה צמוד למדד המחירים לצרכן שמפרסמת הלשכה המרכזית לסטטיסטיקה מיום פרסומו של חוק זה ואילך.</w:t>
      </w:r>
    </w:p>
    <w:p w:rsidR="00543E0D" w:rsidRDefault="00543E0D" w:rsidP="00E70644">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25.05pt;z-index:251657216" o:allowincell="f" filled="f" stroked="f" strokecolor="lime" strokeweight=".25pt">
            <v:textbox inset="0,0,0,0">
              <w:txbxContent>
                <w:p w:rsidR="00BB6225" w:rsidRDefault="00E70644">
                  <w:pPr>
                    <w:spacing w:line="160" w:lineRule="exact"/>
                    <w:jc w:val="left"/>
                    <w:rPr>
                      <w:rFonts w:cs="Miriam" w:hint="cs"/>
                      <w:noProof/>
                      <w:sz w:val="18"/>
                      <w:szCs w:val="18"/>
                      <w:rtl/>
                    </w:rPr>
                  </w:pPr>
                  <w:r>
                    <w:rPr>
                      <w:rFonts w:cs="Miriam" w:hint="cs"/>
                      <w:sz w:val="18"/>
                      <w:szCs w:val="18"/>
                      <w:rtl/>
                    </w:rPr>
                    <w:t>חישוב התגמול לגבי כהונה או העסקה בקבוצת חברות</w:t>
                  </w:r>
                </w:p>
              </w:txbxContent>
            </v:textbox>
            <w10:anchorlock/>
          </v:rect>
        </w:pict>
      </w:r>
      <w:r>
        <w:rPr>
          <w:rStyle w:val="big-number"/>
          <w:rFonts w:cs="Miriam"/>
          <w:rtl/>
        </w:rPr>
        <w:t>3</w:t>
      </w:r>
      <w:r w:rsidRPr="00D731FE">
        <w:rPr>
          <w:rStyle w:val="default"/>
          <w:rFonts w:cs="FrankRuehl"/>
          <w:rtl/>
        </w:rPr>
        <w:t>.</w:t>
      </w:r>
      <w:r w:rsidRPr="00D731FE">
        <w:rPr>
          <w:rStyle w:val="default"/>
          <w:rFonts w:cs="FrankRuehl"/>
          <w:rtl/>
        </w:rPr>
        <w:tab/>
      </w:r>
      <w:r w:rsidR="00E70644">
        <w:rPr>
          <w:rStyle w:val="default"/>
          <w:rFonts w:cs="FrankRuehl" w:hint="cs"/>
          <w:rtl/>
        </w:rPr>
        <w:t>חישוב סכום התגמול הניתן לנושא משרה בכירה או עובד בתאגיד פיננסי לעניין סעיף 2(א), יכלול את סך כל התגמולים המשולמים לו בקשר לכהונתו או העסקתו הן בתאגיד הפיננסי והן בתאגידים קשורים לתאגיד הפיננסי</w:t>
      </w:r>
      <w:r>
        <w:rPr>
          <w:rStyle w:val="default"/>
          <w:rFonts w:cs="FrankRuehl" w:hint="cs"/>
          <w:rtl/>
        </w:rPr>
        <w:t>.</w:t>
      </w:r>
    </w:p>
    <w:p w:rsidR="00543E0D" w:rsidRDefault="00543E0D" w:rsidP="00E70644">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8.3pt;z-index:251658240" o:allowincell="f" filled="f" stroked="f" strokecolor="lime" strokeweight=".25pt">
            <v:textbox inset="0,0,0,0">
              <w:txbxContent>
                <w:p w:rsidR="00BB6225" w:rsidRDefault="00E70644">
                  <w:pPr>
                    <w:spacing w:line="160" w:lineRule="exact"/>
                    <w:jc w:val="left"/>
                    <w:rPr>
                      <w:rFonts w:cs="Miriam" w:hint="cs"/>
                      <w:noProof/>
                      <w:sz w:val="18"/>
                      <w:szCs w:val="18"/>
                      <w:rtl/>
                    </w:rPr>
                  </w:pPr>
                  <w:r>
                    <w:rPr>
                      <w:rFonts w:cs="Miriam" w:hint="cs"/>
                      <w:sz w:val="18"/>
                      <w:szCs w:val="18"/>
                      <w:rtl/>
                    </w:rPr>
                    <w:t xml:space="preserve">תיקון פקודת מס הכנסה </w:t>
                  </w:r>
                  <w:r>
                    <w:rPr>
                      <w:rFonts w:cs="Miriam"/>
                      <w:sz w:val="18"/>
                      <w:szCs w:val="18"/>
                      <w:rtl/>
                    </w:rPr>
                    <w:t>–</w:t>
                  </w:r>
                  <w:r>
                    <w:rPr>
                      <w:rFonts w:cs="Miriam" w:hint="cs"/>
                      <w:sz w:val="18"/>
                      <w:szCs w:val="18"/>
                      <w:rtl/>
                    </w:rPr>
                    <w:t xml:space="preserve"> מס' 224</w:t>
                  </w:r>
                </w:p>
              </w:txbxContent>
            </v:textbox>
            <w10:anchorlock/>
          </v:rect>
        </w:pict>
      </w:r>
      <w:r>
        <w:rPr>
          <w:rStyle w:val="big-number"/>
          <w:rFonts w:cs="Miriam"/>
          <w:rtl/>
        </w:rPr>
        <w:t>4</w:t>
      </w:r>
      <w:r w:rsidRPr="00E70644">
        <w:rPr>
          <w:rStyle w:val="default"/>
          <w:rFonts w:cs="FrankRuehl"/>
          <w:rtl/>
        </w:rPr>
        <w:t>.</w:t>
      </w:r>
      <w:r w:rsidRPr="00E70644">
        <w:rPr>
          <w:rStyle w:val="default"/>
          <w:rFonts w:cs="FrankRuehl"/>
          <w:rtl/>
        </w:rPr>
        <w:tab/>
      </w:r>
      <w:r w:rsidR="00E70644">
        <w:rPr>
          <w:rStyle w:val="default"/>
          <w:rFonts w:cs="FrankRuehl" w:hint="cs"/>
          <w:rtl/>
        </w:rPr>
        <w:t xml:space="preserve">בפקודת מס הכנסה </w:t>
      </w:r>
      <w:r w:rsidR="00E70644">
        <w:rPr>
          <w:rStyle w:val="default"/>
          <w:rFonts w:cs="FrankRuehl"/>
          <w:rtl/>
        </w:rPr>
        <w:t>–</w:t>
      </w:r>
    </w:p>
    <w:p w:rsidR="00E70644" w:rsidRDefault="00E70644" w:rsidP="00E7064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32, אחרי פסקה (16) יבוא:</w:t>
      </w:r>
    </w:p>
    <w:p w:rsidR="00E70644" w:rsidRDefault="00E70644" w:rsidP="00E70644">
      <w:pPr>
        <w:pStyle w:val="P00"/>
        <w:spacing w:before="72"/>
        <w:ind w:left="1475" w:right="1134" w:hanging="454"/>
        <w:rPr>
          <w:rStyle w:val="default"/>
          <w:rFonts w:cs="FrankRuehl" w:hint="cs"/>
          <w:rtl/>
        </w:rPr>
      </w:pPr>
      <w:r>
        <w:rPr>
          <w:rStyle w:val="default"/>
          <w:rFonts w:cs="FrankRuehl" w:hint="cs"/>
          <w:rtl/>
        </w:rPr>
        <w:t xml:space="preserve">"(17) (א) הוצאה בשל עלות שכר שנשא בה תאגיד פיננסי, במישרין או בעקיפין, בשנת המס, בעד נושא משרה בכירה או עובד, העולה על התקרה לתשלום (בפסקה זו </w:t>
      </w:r>
      <w:r>
        <w:rPr>
          <w:rStyle w:val="default"/>
          <w:rFonts w:cs="FrankRuehl"/>
          <w:rtl/>
        </w:rPr>
        <w:t>–</w:t>
      </w:r>
      <w:r>
        <w:rPr>
          <w:rStyle w:val="default"/>
          <w:rFonts w:cs="FrankRuehl" w:hint="cs"/>
          <w:rtl/>
        </w:rPr>
        <w:t xml:space="preserve"> ההוצאה העודפת).</w:t>
      </w:r>
    </w:p>
    <w:p w:rsidR="00E70644" w:rsidRDefault="00E70644" w:rsidP="00E7064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חישוב עלות השכר לעניין פסקת משנה (א), לגבי נושא משרה בכירה או עובד בתאגיד פיננסי, יכלול את עלות השכר שנשאו בה הן התאגיד הפיננסי והן תאגידים קשורים לתאגיד הפיננסי בעד אותו נושא משרה בכירה או עובד (בפסקה זו </w:t>
      </w:r>
      <w:r>
        <w:rPr>
          <w:rStyle w:val="default"/>
          <w:rFonts w:cs="FrankRuehl"/>
          <w:rtl/>
        </w:rPr>
        <w:t>–</w:t>
      </w:r>
      <w:r>
        <w:rPr>
          <w:rStyle w:val="default"/>
          <w:rFonts w:cs="FrankRuehl" w:hint="cs"/>
          <w:rtl/>
        </w:rPr>
        <w:t xml:space="preserve"> עלות השכר הכוללת); ההוצאה העודפת תיוחס לתאגיד הפיננסי ולתאגידים קשורים לו, בהתאם ליחס בין עלות השכר שנשא בו כל אחד מהם לעלות השכר הכוללת.</w:t>
      </w:r>
    </w:p>
    <w:p w:rsidR="00E70644" w:rsidRDefault="00E70644" w:rsidP="00E7064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לעניין חישוב עלות השכר לפי פסקת משנה (א), יראו את ההוצאה בשל מענקי פרישה, כאילו הוצאה בחלקים שנתיים שווים בשנות העבודה שבשלהן משולמת ההוצאה (בפסקה זו </w:t>
      </w:r>
      <w:r>
        <w:rPr>
          <w:rStyle w:val="default"/>
          <w:rFonts w:cs="FrankRuehl"/>
          <w:rtl/>
        </w:rPr>
        <w:t>–</w:t>
      </w:r>
      <w:r>
        <w:rPr>
          <w:rStyle w:val="default"/>
          <w:rFonts w:cs="FrankRuehl" w:hint="cs"/>
          <w:rtl/>
        </w:rPr>
        <w:t xml:space="preserve"> תקופת העבודה); עלתה ההוצאה בשל עלות השכר בגין שנת המס שקדמה למועד ההוצאה בשל מענקי פרישה על התקרה לתשלום, ייווסף לעלות השכר בשנת ההוצאה בשל עלות פרישה החלק שבו עלתה ההוצאה האמורה על התקרה לתשלום באותה שנת מס, כשהיא מוכפלת בתקופת העבודה.</w:t>
      </w:r>
    </w:p>
    <w:p w:rsidR="00E70644" w:rsidRDefault="00E70644" w:rsidP="003E643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הסכומים הנקובים בפסקה זו יתואמו לפי הוראות סעיף 120</w:t>
      </w:r>
      <w:r w:rsidR="008A6D4B">
        <w:rPr>
          <w:rStyle w:val="default"/>
          <w:rFonts w:cs="FrankRuehl" w:hint="cs"/>
          <w:rtl/>
        </w:rPr>
        <w:t>ב</w:t>
      </w:r>
      <w:r>
        <w:rPr>
          <w:rStyle w:val="default"/>
          <w:rFonts w:cs="FrankRuehl" w:hint="cs"/>
          <w:rtl/>
        </w:rPr>
        <w:t>.</w:t>
      </w:r>
    </w:p>
    <w:p w:rsidR="00E70644" w:rsidRDefault="00E70644" w:rsidP="003E643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בפסקה זו </w:t>
      </w:r>
      <w:r>
        <w:rPr>
          <w:rStyle w:val="default"/>
          <w:rFonts w:cs="FrankRuehl"/>
          <w:rtl/>
        </w:rPr>
        <w:t>–</w:t>
      </w:r>
    </w:p>
    <w:p w:rsidR="00E70644" w:rsidRDefault="00E70644" w:rsidP="003E643F">
      <w:pPr>
        <w:pStyle w:val="P00"/>
        <w:spacing w:before="72"/>
        <w:ind w:left="1474" w:right="1134"/>
        <w:rPr>
          <w:rStyle w:val="default"/>
          <w:rFonts w:cs="FrankRuehl" w:hint="cs"/>
          <w:rtl/>
        </w:rPr>
      </w:pPr>
      <w:r>
        <w:rPr>
          <w:rStyle w:val="default"/>
          <w:rFonts w:cs="FrankRuehl" w:hint="cs"/>
          <w:rtl/>
        </w:rPr>
        <w:t xml:space="preserve">"הוצאה בשל הענקת מניות או זכות לקבלת מניות" </w:t>
      </w:r>
      <w:r>
        <w:rPr>
          <w:rStyle w:val="default"/>
          <w:rFonts w:cs="FrankRuehl"/>
          <w:rtl/>
        </w:rPr>
        <w:t>–</w:t>
      </w:r>
      <w:r>
        <w:rPr>
          <w:rStyle w:val="default"/>
          <w:rFonts w:cs="FrankRuehl" w:hint="cs"/>
          <w:rtl/>
        </w:rPr>
        <w:t xml:space="preserve"> סך ההוצאה השנתית שיש לרשום בדוחות הכספיים בשל הענקה של מניות או זכות לקבלת מניות, לנושא משרה בכירה או לעובד, והכול בהתאם לכללי החשבונאות המקובלים;</w:t>
      </w:r>
    </w:p>
    <w:p w:rsidR="00E70644" w:rsidRDefault="00E70644" w:rsidP="003E643F">
      <w:pPr>
        <w:pStyle w:val="P00"/>
        <w:spacing w:before="72"/>
        <w:ind w:left="1474" w:right="1134"/>
        <w:rPr>
          <w:rStyle w:val="default"/>
          <w:rFonts w:cs="FrankRuehl" w:hint="cs"/>
          <w:rtl/>
        </w:rPr>
      </w:pPr>
      <w:r>
        <w:rPr>
          <w:rStyle w:val="default"/>
          <w:rFonts w:cs="FrankRuehl" w:hint="cs"/>
          <w:rtl/>
        </w:rPr>
        <w:t xml:space="preserve">"הוצאה בשל מענקי פרישה" </w:t>
      </w:r>
      <w:r>
        <w:rPr>
          <w:rStyle w:val="default"/>
          <w:rFonts w:cs="FrankRuehl"/>
          <w:rtl/>
        </w:rPr>
        <w:t>–</w:t>
      </w:r>
      <w:r>
        <w:rPr>
          <w:rStyle w:val="default"/>
          <w:rFonts w:cs="FrankRuehl" w:hint="cs"/>
          <w:rtl/>
        </w:rPr>
        <w:t xml:space="preserve"> הוצאה בעד תשלומי מעביד לקופת גמל כמשמעותם בסעיף 17(5) או בעד מענק עקב פרישה או מענק עקב מוות כמשמעותם בסעיף 9(7א);</w:t>
      </w:r>
    </w:p>
    <w:p w:rsidR="00E70644" w:rsidRDefault="00E70644" w:rsidP="003E643F">
      <w:pPr>
        <w:pStyle w:val="P00"/>
        <w:spacing w:before="72"/>
        <w:ind w:left="1474" w:right="1134"/>
        <w:rPr>
          <w:rStyle w:val="default"/>
          <w:rFonts w:cs="FrankRuehl" w:hint="cs"/>
          <w:rtl/>
        </w:rPr>
      </w:pPr>
      <w:r>
        <w:rPr>
          <w:rStyle w:val="default"/>
          <w:rFonts w:cs="FrankRuehl" w:hint="cs"/>
          <w:rtl/>
        </w:rPr>
        <w:t xml:space="preserve">"כללי החשבונאות המקובלים", "נושא משרה בכירה", "תאגיד פיננסי", ו"תאגיד קשור" </w:t>
      </w:r>
      <w:r>
        <w:rPr>
          <w:rStyle w:val="default"/>
          <w:rFonts w:cs="FrankRuehl"/>
          <w:rtl/>
        </w:rPr>
        <w:t>–</w:t>
      </w:r>
      <w:r>
        <w:rPr>
          <w:rStyle w:val="default"/>
          <w:rFonts w:cs="FrankRuehl" w:hint="cs"/>
          <w:rtl/>
        </w:rPr>
        <w:t xml:space="preserve"> כהגדרתם בחוק תגמול לנושאי משרה בתאגידים פיננסיים (אישור מיוחד ואי-התרת הוצאה לצורכי מס בשל תגמול חריג), התשע"ו-2016;</w:t>
      </w:r>
    </w:p>
    <w:p w:rsidR="00E70644" w:rsidRDefault="00E70644" w:rsidP="003E643F">
      <w:pPr>
        <w:pStyle w:val="P00"/>
        <w:spacing w:before="72"/>
        <w:ind w:left="1474" w:right="1134"/>
        <w:rPr>
          <w:rStyle w:val="default"/>
          <w:rFonts w:cs="FrankRuehl" w:hint="cs"/>
          <w:rtl/>
        </w:rPr>
      </w:pPr>
      <w:r>
        <w:rPr>
          <w:rStyle w:val="default"/>
          <w:rFonts w:cs="FrankRuehl" w:hint="cs"/>
          <w:rtl/>
        </w:rPr>
        <w:t xml:space="preserve">"עודף עלות שכר" </w:t>
      </w:r>
      <w:r>
        <w:rPr>
          <w:rStyle w:val="default"/>
          <w:rFonts w:cs="FrankRuehl"/>
          <w:rtl/>
        </w:rPr>
        <w:t>–</w:t>
      </w:r>
      <w:r>
        <w:rPr>
          <w:rStyle w:val="default"/>
          <w:rFonts w:cs="FrankRuehl" w:hint="cs"/>
          <w:rtl/>
        </w:rPr>
        <w:t xml:space="preserve"> הפער שבין עלות שכר לשני מיליון וחצי שקלים חדשים, ובלבד שעלות השכר עולה על שני מיליון וחצי שקלים חדשים;</w:t>
      </w:r>
    </w:p>
    <w:p w:rsidR="00E70644" w:rsidRDefault="00E70644" w:rsidP="002B4621">
      <w:pPr>
        <w:pStyle w:val="P00"/>
        <w:spacing w:before="72"/>
        <w:ind w:left="1474" w:right="1134"/>
        <w:rPr>
          <w:rStyle w:val="default"/>
          <w:rFonts w:cs="FrankRuehl" w:hint="cs"/>
          <w:rtl/>
        </w:rPr>
      </w:pPr>
      <w:r>
        <w:rPr>
          <w:rStyle w:val="default"/>
          <w:rFonts w:cs="FrankRuehl" w:hint="cs"/>
          <w:rtl/>
        </w:rPr>
        <w:t xml:space="preserve">"עלות שכר" </w:t>
      </w:r>
      <w:r>
        <w:rPr>
          <w:rStyle w:val="default"/>
          <w:rFonts w:cs="FrankRuehl"/>
          <w:rtl/>
        </w:rPr>
        <w:t>–</w:t>
      </w:r>
      <w:r>
        <w:rPr>
          <w:rStyle w:val="default"/>
          <w:rFonts w:cs="FrankRuehl" w:hint="cs"/>
          <w:rtl/>
        </w:rPr>
        <w:t xml:space="preserve"> שכר, וכן כל סכום ששילם מעביד לקרן השתלמות או לקופת גמל, גם אם לפי סעיף 3 לא רואים אותו כהכנסת עבודה במועד ששולם לקרן ההשתלמות או לקופת הגמל, וכן סכום תשלום דמי ביטו</w:t>
      </w:r>
      <w:r w:rsidR="002B4621">
        <w:rPr>
          <w:rStyle w:val="default"/>
          <w:rFonts w:cs="FrankRuehl" w:hint="cs"/>
          <w:rtl/>
        </w:rPr>
        <w:t>ח</w:t>
      </w:r>
      <w:r>
        <w:rPr>
          <w:rStyle w:val="default"/>
          <w:rFonts w:cs="FrankRuehl" w:hint="cs"/>
          <w:rtl/>
        </w:rPr>
        <w:t xml:space="preserve"> ששילם מעביד בעד עובדו לפי חוק הביטוח הלאומי [נוסח משולב], התשנ"ה-1995;</w:t>
      </w:r>
    </w:p>
    <w:p w:rsidR="00E70644" w:rsidRDefault="00E70644" w:rsidP="003E643F">
      <w:pPr>
        <w:pStyle w:val="P00"/>
        <w:spacing w:before="72"/>
        <w:ind w:left="1474" w:right="1134"/>
        <w:rPr>
          <w:rStyle w:val="default"/>
          <w:rFonts w:cs="FrankRuehl" w:hint="cs"/>
          <w:rtl/>
        </w:rPr>
      </w:pPr>
      <w:r>
        <w:rPr>
          <w:rStyle w:val="default"/>
          <w:rFonts w:cs="FrankRuehl" w:hint="cs"/>
          <w:rtl/>
        </w:rPr>
        <w:t xml:space="preserve">"שכר" </w:t>
      </w:r>
      <w:r w:rsidR="003E643F">
        <w:rPr>
          <w:rStyle w:val="default"/>
          <w:rFonts w:cs="FrankRuehl"/>
          <w:rtl/>
        </w:rPr>
        <w:t>–</w:t>
      </w:r>
      <w:r>
        <w:rPr>
          <w:rStyle w:val="default"/>
          <w:rFonts w:cs="FrankRuehl" w:hint="cs"/>
          <w:rtl/>
        </w:rPr>
        <w:t xml:space="preserve"> </w:t>
      </w:r>
      <w:r w:rsidR="003E643F">
        <w:rPr>
          <w:rStyle w:val="default"/>
          <w:rFonts w:cs="FrankRuehl" w:hint="cs"/>
          <w:rtl/>
        </w:rPr>
        <w:t xml:space="preserve">כל אחד מהמנויים בפסקאות (1) עד (3) שלהלן, למעט זכות לרכישת נכס כמשמעותה בסעיף 3(ט) ומניה כהגדרתה בסעיף 102, אשר ניתן לנושא משרה בכירה או לעובד בקשר עם עבודתו או כהונתו בתאגיד פיננסי, בין במישרין ובין בעקיפין, לרבות באמצעות חברה שבשליטתו </w:t>
      </w:r>
      <w:r w:rsidR="003E643F">
        <w:rPr>
          <w:rStyle w:val="default"/>
          <w:rFonts w:cs="FrankRuehl"/>
          <w:rtl/>
        </w:rPr>
        <w:t>–</w:t>
      </w:r>
    </w:p>
    <w:p w:rsidR="003E643F" w:rsidRDefault="003E643F" w:rsidP="00AD0D5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AD0D51">
        <w:rPr>
          <w:rStyle w:val="default"/>
          <w:rFonts w:cs="FrankRuehl" w:hint="cs"/>
          <w:rtl/>
        </w:rPr>
        <w:t>הכנסה כאמור בסעיף 2(2);</w:t>
      </w:r>
    </w:p>
    <w:p w:rsidR="00AD0D51" w:rsidRDefault="00AD0D51" w:rsidP="00AD0D5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מענק עקב פרישה או מענק עקב מוות כמשמעותם בסעיף 9(7א);</w:t>
      </w:r>
    </w:p>
    <w:p w:rsidR="00AD0D51" w:rsidRDefault="00AD0D51" w:rsidP="00AD0D51">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השתכרות או רווח כמשמעותם בסעיף 2(1) ו-(10);</w:t>
      </w:r>
    </w:p>
    <w:p w:rsidR="00AD0D51" w:rsidRDefault="00AD0D51" w:rsidP="00AD0D51">
      <w:pPr>
        <w:pStyle w:val="P00"/>
        <w:spacing w:before="72"/>
        <w:ind w:left="1474" w:right="1134"/>
        <w:rPr>
          <w:rStyle w:val="default"/>
          <w:rFonts w:cs="FrankRuehl" w:hint="cs"/>
          <w:rtl/>
        </w:rPr>
      </w:pPr>
      <w:r>
        <w:rPr>
          <w:rStyle w:val="default"/>
          <w:rFonts w:cs="FrankRuehl" w:hint="cs"/>
          <w:rtl/>
        </w:rPr>
        <w:t xml:space="preserve">"תקרה לתשלום" </w:t>
      </w:r>
      <w:r>
        <w:rPr>
          <w:rStyle w:val="default"/>
          <w:rFonts w:cs="FrankRuehl"/>
          <w:rtl/>
        </w:rPr>
        <w:t>–</w:t>
      </w:r>
      <w:r>
        <w:rPr>
          <w:rStyle w:val="default"/>
          <w:rFonts w:cs="FrankRuehl" w:hint="cs"/>
          <w:rtl/>
        </w:rPr>
        <w:t xml:space="preserve"> שני מיליון וחצי שקלים חדשים לשנה וחלק יחסי מסכום זה בשל חלק משנה, בניכוי הוצאה בשל הענקת מניות או זכות לקבלת מניות, ובניכוי עודף עלות שכר;";</w:t>
      </w:r>
    </w:p>
    <w:p w:rsidR="00AD0D51" w:rsidRDefault="00AD0D51" w:rsidP="00E7064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141א יבוא:</w:t>
      </w:r>
    </w:p>
    <w:p w:rsidR="00AD0D51" w:rsidRDefault="00AD0D51" w:rsidP="00AD0D51">
      <w:pPr>
        <w:pStyle w:val="P00"/>
        <w:spacing w:before="72"/>
        <w:ind w:left="1021" w:right="1134"/>
        <w:rPr>
          <w:rStyle w:val="default"/>
          <w:rFonts w:cs="FrankRuehl" w:hint="cs"/>
          <w:rtl/>
        </w:rPr>
      </w:pPr>
      <w:r>
        <w:rPr>
          <w:rStyle w:val="default"/>
          <w:rFonts w:cs="FrankRuehl" w:hint="cs"/>
          <w:rtl/>
        </w:rPr>
        <w:t>"</w:t>
      </w:r>
      <w:r w:rsidRPr="00AD0D51">
        <w:rPr>
          <w:rStyle w:val="default"/>
          <w:rFonts w:cs="Miriam" w:hint="cs"/>
          <w:sz w:val="18"/>
          <w:szCs w:val="18"/>
          <w:rtl/>
        </w:rPr>
        <w:t>חובת דיווח על נושא משרה בכירה או עובד בתאגיד פיננסי שעלות השכר שלו עולה על התקרה לתשלום</w:t>
      </w:r>
    </w:p>
    <w:p w:rsidR="00AD0D51" w:rsidRDefault="00AD0D51" w:rsidP="00AD0D51">
      <w:pPr>
        <w:pStyle w:val="P00"/>
        <w:spacing w:before="72"/>
        <w:ind w:left="1021" w:right="1134"/>
        <w:rPr>
          <w:rStyle w:val="default"/>
          <w:rFonts w:cs="FrankRuehl" w:hint="cs"/>
          <w:rtl/>
        </w:rPr>
      </w:pPr>
      <w:r>
        <w:rPr>
          <w:rStyle w:val="default"/>
          <w:rFonts w:cs="FrankRuehl" w:hint="cs"/>
          <w:rtl/>
        </w:rPr>
        <w:t>141ב. (א) תאגיד פיננסי ידווח למנהל, במועד האמור בסעיף 132</w:t>
      </w:r>
      <w:r w:rsidR="00FE780B">
        <w:rPr>
          <w:rStyle w:val="default"/>
          <w:rFonts w:cs="FrankRuehl" w:hint="cs"/>
          <w:rtl/>
        </w:rPr>
        <w:t xml:space="preserve"> ובטופס שיקבע המנהל, על כל נושא משרה בכירה או עובד אשר עלות השכר המשולמת לו בידי התאגיד הפיננסי, בעצמו או יחד עם תאגידים קשורים לו, עולה על התקרה לתשלום; התאגיד הפיננסי יצרף לדיווח האמור את אופן חישוב עלות השכר או עלות השכר הכוללת והתקרה לתשלום ויפרט לגבי כל תאגיד את החלק המשולם על ידו.</w:t>
      </w:r>
    </w:p>
    <w:p w:rsidR="00FE780B" w:rsidRDefault="00FE780B" w:rsidP="00AD0D51">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אם יש לתאגיד הפיננסי האמור באותו סעיף קטן תאגיד שליטה, תחול חובת הדיווח לגבי עלות שכר כוללת, על תאגיד השליטה.</w:t>
      </w:r>
    </w:p>
    <w:p w:rsidR="00FE780B" w:rsidRDefault="00FE780B" w:rsidP="00AD0D51">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העתק הדיווח לפי סעיף קטן (א) יועבר לתאגידים קשורים לתאגיד הפיננסי.</w:t>
      </w:r>
    </w:p>
    <w:p w:rsidR="00FE780B" w:rsidRDefault="00FE780B" w:rsidP="00AD0D51">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FE780B" w:rsidRDefault="00FE780B" w:rsidP="00AD0D51">
      <w:pPr>
        <w:pStyle w:val="P00"/>
        <w:spacing w:before="72"/>
        <w:ind w:left="1021" w:right="1134"/>
        <w:rPr>
          <w:rStyle w:val="default"/>
          <w:rFonts w:cs="FrankRuehl" w:hint="cs"/>
          <w:rtl/>
        </w:rPr>
      </w:pPr>
      <w:r>
        <w:rPr>
          <w:rStyle w:val="default"/>
          <w:rFonts w:cs="FrankRuehl" w:hint="cs"/>
          <w:rtl/>
        </w:rPr>
        <w:tab/>
        <w:t xml:space="preserve">"עלות השכר הכוללת" </w:t>
      </w:r>
      <w:r>
        <w:rPr>
          <w:rStyle w:val="default"/>
          <w:rFonts w:cs="FrankRuehl"/>
          <w:rtl/>
        </w:rPr>
        <w:t>–</w:t>
      </w:r>
      <w:r>
        <w:rPr>
          <w:rStyle w:val="default"/>
          <w:rFonts w:cs="FrankRuehl" w:hint="cs"/>
          <w:rtl/>
        </w:rPr>
        <w:t xml:space="preserve"> כמשמעותה בסעיף 32(17)(ב);</w:t>
      </w:r>
    </w:p>
    <w:p w:rsidR="00FE780B" w:rsidRDefault="00FE780B" w:rsidP="00AD0D51">
      <w:pPr>
        <w:pStyle w:val="P00"/>
        <w:spacing w:before="72"/>
        <w:ind w:left="1021" w:right="1134"/>
        <w:rPr>
          <w:rStyle w:val="default"/>
          <w:rFonts w:cs="FrankRuehl" w:hint="cs"/>
          <w:rtl/>
        </w:rPr>
      </w:pPr>
      <w:r>
        <w:rPr>
          <w:rStyle w:val="default"/>
          <w:rFonts w:cs="FrankRuehl" w:hint="cs"/>
          <w:rtl/>
        </w:rPr>
        <w:tab/>
        <w:t xml:space="preserve">"תקרה לתשלום" </w:t>
      </w:r>
      <w:r>
        <w:rPr>
          <w:rStyle w:val="default"/>
          <w:rFonts w:cs="FrankRuehl"/>
          <w:rtl/>
        </w:rPr>
        <w:t>–</w:t>
      </w:r>
      <w:r>
        <w:rPr>
          <w:rStyle w:val="default"/>
          <w:rFonts w:cs="FrankRuehl" w:hint="cs"/>
          <w:rtl/>
        </w:rPr>
        <w:t xml:space="preserve"> כהגדרתה בסעיף 32(17)(ה);</w:t>
      </w:r>
    </w:p>
    <w:p w:rsidR="00FE780B" w:rsidRDefault="00FE780B" w:rsidP="00AD0D51">
      <w:pPr>
        <w:pStyle w:val="P00"/>
        <w:spacing w:before="72"/>
        <w:ind w:left="1021" w:right="1134"/>
        <w:rPr>
          <w:rStyle w:val="default"/>
          <w:rFonts w:cs="FrankRuehl" w:hint="cs"/>
          <w:rtl/>
        </w:rPr>
      </w:pPr>
      <w:r>
        <w:rPr>
          <w:rStyle w:val="default"/>
          <w:rFonts w:cs="FrankRuehl" w:hint="cs"/>
          <w:rtl/>
        </w:rPr>
        <w:tab/>
        <w:t xml:space="preserve">"תאגיד פיננסי" ו"תאגיד שליטה" </w:t>
      </w:r>
      <w:r>
        <w:rPr>
          <w:rStyle w:val="default"/>
          <w:rFonts w:cs="FrankRuehl"/>
          <w:rtl/>
        </w:rPr>
        <w:t>–</w:t>
      </w:r>
      <w:r>
        <w:rPr>
          <w:rStyle w:val="default"/>
          <w:rFonts w:cs="FrankRuehl" w:hint="cs"/>
          <w:rtl/>
        </w:rPr>
        <w:t xml:space="preserve"> כהגדרתם בחוק תגמול לנושאי משרה בתאגידים פיננסיים (אישור מיוחד ואי-התרת הוצאה לצורכי מס בשל תגמול חריג), התשע"ו-2016."</w:t>
      </w:r>
    </w:p>
    <w:p w:rsidR="00D731FE" w:rsidRDefault="00D731FE" w:rsidP="00FE780B">
      <w:pPr>
        <w:pStyle w:val="P00"/>
        <w:spacing w:before="72"/>
        <w:ind w:left="0" w:right="1134"/>
        <w:rPr>
          <w:rStyle w:val="default"/>
          <w:rFonts w:cs="FrankRuehl" w:hint="cs"/>
          <w:rtl/>
        </w:rPr>
      </w:pPr>
      <w:bookmarkStart w:id="4" w:name="Seif5"/>
      <w:bookmarkEnd w:id="4"/>
      <w:r>
        <w:rPr>
          <w:lang w:val="he-IL"/>
        </w:rPr>
        <w:pict>
          <v:rect id="_x0000_s3120" style="position:absolute;left:0;text-align:left;margin-left:464.5pt;margin-top:8.05pt;width:75.05pt;height:14.55pt;z-index:251659264" o:allowincell="f" filled="f" stroked="f" strokecolor="lime" strokeweight=".25pt">
            <v:textbox inset="0,0,0,0">
              <w:txbxContent>
                <w:p w:rsidR="00BB6225" w:rsidRDefault="00FE780B" w:rsidP="00D731FE">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sidR="00FE780B">
        <w:rPr>
          <w:rStyle w:val="big-number"/>
          <w:rFonts w:cs="Miriam" w:hint="cs"/>
          <w:rtl/>
        </w:rPr>
        <w:t>5</w:t>
      </w:r>
      <w:r w:rsidRPr="00D731FE">
        <w:rPr>
          <w:rStyle w:val="default"/>
          <w:rFonts w:cs="FrankRuehl"/>
          <w:rtl/>
        </w:rPr>
        <w:t>.</w:t>
      </w:r>
      <w:r w:rsidRPr="00D731FE">
        <w:rPr>
          <w:rStyle w:val="default"/>
          <w:rFonts w:cs="FrankRuehl"/>
          <w:rtl/>
        </w:rPr>
        <w:tab/>
      </w:r>
      <w:r w:rsidR="00FE780B">
        <w:rPr>
          <w:rStyle w:val="default"/>
          <w:rFonts w:cs="FrankRuehl" w:hint="cs"/>
          <w:rtl/>
        </w:rPr>
        <w:t>שר האוצר ממונה על ביצוע חוק זה והוא רשאי, באישור ועדת הכספים של הכנסת, להתקין תקנות בכל עניין הנוגע לביצועו</w:t>
      </w:r>
      <w:r>
        <w:rPr>
          <w:rStyle w:val="default"/>
          <w:rFonts w:cs="FrankRuehl" w:hint="cs"/>
          <w:rtl/>
        </w:rPr>
        <w:t>.</w:t>
      </w:r>
    </w:p>
    <w:p w:rsidR="00D731FE" w:rsidRDefault="00D731FE" w:rsidP="00FE780B">
      <w:pPr>
        <w:pStyle w:val="P00"/>
        <w:spacing w:before="72"/>
        <w:ind w:left="0" w:right="1134"/>
        <w:rPr>
          <w:rStyle w:val="default"/>
          <w:rFonts w:cs="FrankRuehl" w:hint="cs"/>
          <w:rtl/>
        </w:rPr>
      </w:pPr>
      <w:bookmarkStart w:id="5" w:name="Seif6"/>
      <w:bookmarkEnd w:id="5"/>
      <w:r>
        <w:rPr>
          <w:lang w:val="he-IL"/>
        </w:rPr>
        <w:pict>
          <v:rect id="_x0000_s3121" style="position:absolute;left:0;text-align:left;margin-left:464.5pt;margin-top:8.05pt;width:75.05pt;height:9.65pt;z-index:251660288" o:allowincell="f" filled="f" stroked="f" strokecolor="lime" strokeweight=".25pt">
            <v:textbox inset="0,0,0,0">
              <w:txbxContent>
                <w:p w:rsidR="00BB6225" w:rsidRDefault="00FE780B" w:rsidP="00D731FE">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sidR="00FE780B">
        <w:rPr>
          <w:rStyle w:val="big-number"/>
          <w:rFonts w:cs="Miriam" w:hint="cs"/>
          <w:rtl/>
        </w:rPr>
        <w:t>6</w:t>
      </w:r>
      <w:r w:rsidRPr="00D731FE">
        <w:rPr>
          <w:rStyle w:val="default"/>
          <w:rFonts w:cs="FrankRuehl"/>
          <w:rtl/>
        </w:rPr>
        <w:t>.</w:t>
      </w:r>
      <w:r w:rsidRPr="00D731FE">
        <w:rPr>
          <w:rStyle w:val="default"/>
          <w:rFonts w:cs="FrankRuehl"/>
          <w:rtl/>
        </w:rPr>
        <w:tab/>
      </w:r>
      <w:r w:rsidR="00FE780B">
        <w:rPr>
          <w:rStyle w:val="default"/>
          <w:rFonts w:cs="FrankRuehl" w:hint="cs"/>
          <w:rtl/>
        </w:rPr>
        <w:t>(א)</w:t>
      </w:r>
      <w:r w:rsidR="00FE780B">
        <w:rPr>
          <w:rStyle w:val="default"/>
          <w:rFonts w:cs="FrankRuehl" w:hint="cs"/>
          <w:rtl/>
        </w:rPr>
        <w:tab/>
        <w:t xml:space="preserve">הוראות חוק זה יחולו על התקשרות כאמור בסעיף 2(א) שאושרה החל ביום פרסום חוק זה (להלן </w:t>
      </w:r>
      <w:r w:rsidR="00FE780B">
        <w:rPr>
          <w:rStyle w:val="default"/>
          <w:rFonts w:cs="FrankRuehl"/>
          <w:rtl/>
        </w:rPr>
        <w:t>–</w:t>
      </w:r>
      <w:r w:rsidR="00FE780B">
        <w:rPr>
          <w:rStyle w:val="default"/>
          <w:rFonts w:cs="FrankRuehl" w:hint="cs"/>
          <w:rtl/>
        </w:rPr>
        <w:t xml:space="preserve"> יום הפרסום) ואילך, ואולם לגבי התקשרות כאמור שאושרה לפני יום הפרסום, יחולו הוראות חוק זה החל מתום שישה חודשים מיום הפרסום והיא תהיה טעונה אישור לפי הסעיף האמור עד לאותו מועד</w:t>
      </w:r>
      <w:r>
        <w:rPr>
          <w:rStyle w:val="default"/>
          <w:rFonts w:cs="FrankRuehl" w:hint="cs"/>
          <w:rtl/>
        </w:rPr>
        <w:t>.</w:t>
      </w:r>
    </w:p>
    <w:p w:rsidR="00FE780B" w:rsidRDefault="00FE780B" w:rsidP="00FE78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תחילתם של סעיפים 32(17) ו-141ב לפקודת מס הכנסה, כנוסחם בסעיף 4 לחוק זה, תהיה כמפורט להלן, והם יחולו לגבי עלות שכר, כהגדרתה בסעיף 32(17) האמור, שנשא בה תאגיד פיננסי מהמועדים האמורים בפסקה (1) או (2), לפי העניין:</w:t>
      </w:r>
    </w:p>
    <w:p w:rsidR="00FE780B" w:rsidRDefault="00FE780B" w:rsidP="00FE78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התקשרות שאושרה לפני יום הפרסום </w:t>
      </w:r>
      <w:r>
        <w:rPr>
          <w:rStyle w:val="default"/>
          <w:rFonts w:cs="FrankRuehl"/>
          <w:rtl/>
        </w:rPr>
        <w:t>–</w:t>
      </w:r>
      <w:r>
        <w:rPr>
          <w:rStyle w:val="default"/>
          <w:rFonts w:cs="FrankRuehl" w:hint="cs"/>
          <w:rtl/>
        </w:rPr>
        <w:t xml:space="preserve"> שישה חודשים מיום הפרסום, והתקרה לתשלום, כהגדרתה בסעיף 32(17) האמור, תחושב באופן יחסי למספר חודשי העבודה של נושא המשרה הבכירה או עובד התאגיד הפיננסי;</w:t>
      </w:r>
    </w:p>
    <w:p w:rsidR="00FE780B" w:rsidRDefault="00FE780B" w:rsidP="00FE78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התקשרות שאושרה אחרי יום הפרסום </w:t>
      </w:r>
      <w:r>
        <w:rPr>
          <w:rStyle w:val="default"/>
          <w:rFonts w:cs="FrankRuehl"/>
          <w:rtl/>
        </w:rPr>
        <w:t>–</w:t>
      </w:r>
      <w:r>
        <w:rPr>
          <w:rStyle w:val="default"/>
          <w:rFonts w:cs="FrankRuehl" w:hint="cs"/>
          <w:rtl/>
        </w:rPr>
        <w:t xml:space="preserve"> יום ג' בטבת התשע"ז (1 בינואר 2017).</w:t>
      </w:r>
    </w:p>
    <w:p w:rsidR="002A532E" w:rsidRDefault="002A532E">
      <w:pPr>
        <w:pStyle w:val="P00"/>
        <w:spacing w:before="72"/>
        <w:ind w:left="0" w:right="1134"/>
        <w:rPr>
          <w:rStyle w:val="default"/>
          <w:rFonts w:cs="FrankRuehl" w:hint="cs"/>
          <w:rtl/>
        </w:rPr>
      </w:pPr>
    </w:p>
    <w:p w:rsidR="00085AEC" w:rsidRDefault="00085AEC">
      <w:pPr>
        <w:pStyle w:val="P00"/>
        <w:spacing w:before="72"/>
        <w:ind w:left="0" w:right="1134"/>
        <w:rPr>
          <w:rStyle w:val="default"/>
          <w:rFonts w:cs="FrankRuehl" w:hint="cs"/>
          <w:rtl/>
        </w:rPr>
      </w:pPr>
    </w:p>
    <w:p w:rsidR="00543E0D" w:rsidRDefault="00543E0D" w:rsidP="00D10FA6">
      <w:pPr>
        <w:pStyle w:val="sig-1"/>
        <w:widowControl/>
        <w:tabs>
          <w:tab w:val="clear" w:pos="851"/>
          <w:tab w:val="clear" w:pos="4820"/>
          <w:tab w:val="center" w:pos="1134"/>
          <w:tab w:val="center" w:pos="2835"/>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בני</w:t>
      </w:r>
      <w:r>
        <w:rPr>
          <w:rFonts w:cs="FrankRuehl"/>
          <w:sz w:val="26"/>
          <w:szCs w:val="26"/>
          <w:rtl/>
        </w:rPr>
        <w:t>מי</w:t>
      </w:r>
      <w:r>
        <w:rPr>
          <w:rFonts w:cs="FrankRuehl" w:hint="cs"/>
          <w:sz w:val="26"/>
          <w:szCs w:val="26"/>
          <w:rtl/>
        </w:rPr>
        <w:t>ן נתניהו</w:t>
      </w:r>
      <w:r>
        <w:rPr>
          <w:rFonts w:cs="FrankRuehl"/>
          <w:sz w:val="26"/>
          <w:szCs w:val="26"/>
          <w:rtl/>
        </w:rPr>
        <w:tab/>
      </w:r>
      <w:r>
        <w:rPr>
          <w:rFonts w:cs="FrankRuehl"/>
          <w:sz w:val="26"/>
          <w:szCs w:val="26"/>
          <w:rtl/>
        </w:rPr>
        <w:tab/>
      </w:r>
      <w:r w:rsidR="00D10FA6">
        <w:rPr>
          <w:rFonts w:cs="FrankRuehl" w:hint="cs"/>
          <w:sz w:val="26"/>
          <w:szCs w:val="26"/>
          <w:rtl/>
        </w:rPr>
        <w:t>משה כחלון</w:t>
      </w:r>
    </w:p>
    <w:p w:rsidR="00543E0D" w:rsidRDefault="00543E0D" w:rsidP="00D10FA6">
      <w:pPr>
        <w:pStyle w:val="sig-1"/>
        <w:widowControl/>
        <w:tabs>
          <w:tab w:val="clear" w:pos="851"/>
          <w:tab w:val="clear" w:pos="4820"/>
          <w:tab w:val="center" w:pos="1134"/>
          <w:tab w:val="center" w:pos="2835"/>
          <w:tab w:val="center" w:pos="4536"/>
          <w:tab w:val="center" w:pos="6237"/>
        </w:tabs>
        <w:ind w:left="0" w:right="1134"/>
        <w:rPr>
          <w:rStyle w:val="default"/>
          <w:rFonts w:cs="FrankRuehl"/>
          <w:sz w:val="22"/>
          <w:szCs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sz w:val="22"/>
          <w:rtl/>
        </w:rPr>
        <w:tab/>
      </w:r>
      <w:r>
        <w:rPr>
          <w:rStyle w:val="default"/>
          <w:rFonts w:cs="FrankRuehl"/>
          <w:sz w:val="22"/>
          <w:szCs w:val="22"/>
          <w:rtl/>
        </w:rPr>
        <w:t>ש</w:t>
      </w:r>
      <w:r>
        <w:rPr>
          <w:rStyle w:val="default"/>
          <w:rFonts w:cs="FrankRuehl" w:hint="cs"/>
          <w:sz w:val="22"/>
          <w:szCs w:val="22"/>
          <w:rtl/>
        </w:rPr>
        <w:t xml:space="preserve">ר </w:t>
      </w:r>
      <w:r w:rsidR="00D10FA6">
        <w:rPr>
          <w:rStyle w:val="default"/>
          <w:rFonts w:cs="FrankRuehl" w:hint="cs"/>
          <w:sz w:val="22"/>
          <w:szCs w:val="22"/>
          <w:rtl/>
        </w:rPr>
        <w:t>האוצר</w:t>
      </w:r>
    </w:p>
    <w:p w:rsidR="00543E0D" w:rsidRDefault="00543E0D" w:rsidP="00D10FA6">
      <w:pPr>
        <w:pStyle w:val="sig-1"/>
        <w:widowControl/>
        <w:tabs>
          <w:tab w:val="clear" w:pos="851"/>
          <w:tab w:val="clear" w:pos="4820"/>
          <w:tab w:val="center" w:pos="1134"/>
          <w:tab w:val="center" w:pos="2835"/>
          <w:tab w:val="center" w:pos="4536"/>
          <w:tab w:val="center" w:pos="6237"/>
        </w:tabs>
        <w:spacing w:before="72"/>
        <w:ind w:left="0" w:right="1134"/>
        <w:rPr>
          <w:rFonts w:cs="FrankRuehl"/>
          <w:sz w:val="26"/>
          <w:szCs w:val="26"/>
          <w:rtl/>
        </w:rPr>
      </w:pPr>
      <w:r>
        <w:rPr>
          <w:rFonts w:cs="FrankRuehl"/>
          <w:sz w:val="26"/>
          <w:szCs w:val="26"/>
          <w:rtl/>
        </w:rPr>
        <w:tab/>
      </w:r>
      <w:r w:rsidR="00D10FA6">
        <w:rPr>
          <w:rFonts w:cs="FrankRuehl" w:hint="cs"/>
          <w:sz w:val="26"/>
          <w:szCs w:val="26"/>
          <w:rtl/>
        </w:rPr>
        <w:t>ראובן ריבלין</w:t>
      </w:r>
      <w:r w:rsidR="007F1C0B">
        <w:rPr>
          <w:rFonts w:cs="FrankRuehl" w:hint="cs"/>
          <w:sz w:val="26"/>
          <w:szCs w:val="26"/>
          <w:rtl/>
        </w:rPr>
        <w:tab/>
      </w:r>
      <w:r>
        <w:rPr>
          <w:rFonts w:cs="FrankRuehl"/>
          <w:sz w:val="26"/>
          <w:szCs w:val="26"/>
          <w:rtl/>
        </w:rPr>
        <w:tab/>
      </w:r>
      <w:r w:rsidR="00D10FA6">
        <w:rPr>
          <w:rFonts w:cs="FrankRuehl" w:hint="cs"/>
          <w:sz w:val="26"/>
          <w:szCs w:val="26"/>
          <w:rtl/>
        </w:rPr>
        <w:t>יולי יואל אדלשטיין</w:t>
      </w:r>
    </w:p>
    <w:p w:rsidR="00543E0D" w:rsidRDefault="00543E0D" w:rsidP="007F1C0B">
      <w:pPr>
        <w:pStyle w:val="sig-1"/>
        <w:widowControl/>
        <w:tabs>
          <w:tab w:val="clear" w:pos="851"/>
          <w:tab w:val="clear" w:pos="4820"/>
          <w:tab w:val="center" w:pos="1134"/>
          <w:tab w:val="center" w:pos="2835"/>
          <w:tab w:val="center" w:pos="4536"/>
          <w:tab w:val="center" w:pos="6237"/>
        </w:tabs>
        <w:ind w:left="0" w:right="1134"/>
        <w:rPr>
          <w:rStyle w:val="default"/>
          <w:rFonts w:cs="FrankRuehl"/>
          <w:sz w:val="22"/>
          <w:szCs w:val="22"/>
          <w:rtl/>
        </w:rPr>
      </w:pPr>
      <w:r>
        <w:rPr>
          <w:rFonts w:cs="FrankRuehl"/>
          <w:sz w:val="22"/>
          <w:rtl/>
        </w:rPr>
        <w:tab/>
      </w:r>
      <w:r>
        <w:rPr>
          <w:rStyle w:val="default"/>
          <w:rFonts w:cs="FrankRuehl"/>
          <w:sz w:val="22"/>
          <w:szCs w:val="22"/>
          <w:rtl/>
        </w:rPr>
        <w:t>נ</w:t>
      </w:r>
      <w:r>
        <w:rPr>
          <w:rStyle w:val="default"/>
          <w:rFonts w:cs="FrankRuehl" w:hint="cs"/>
          <w:sz w:val="22"/>
          <w:szCs w:val="22"/>
          <w:rtl/>
        </w:rPr>
        <w:t>שיא</w:t>
      </w:r>
      <w:r>
        <w:rPr>
          <w:rStyle w:val="default"/>
          <w:rFonts w:cs="FrankRuehl"/>
          <w:sz w:val="22"/>
          <w:szCs w:val="22"/>
          <w:rtl/>
        </w:rPr>
        <w:t xml:space="preserve"> </w:t>
      </w:r>
      <w:r>
        <w:rPr>
          <w:rStyle w:val="default"/>
          <w:rFonts w:cs="FrankRuehl" w:hint="cs"/>
          <w:sz w:val="22"/>
          <w:szCs w:val="22"/>
          <w:rtl/>
        </w:rPr>
        <w:t>המדינה</w:t>
      </w:r>
      <w:r>
        <w:rPr>
          <w:rStyle w:val="default"/>
          <w:rFonts w:cs="FrankRuehl"/>
          <w:sz w:val="22"/>
          <w:szCs w:val="22"/>
          <w:rtl/>
        </w:rPr>
        <w:tab/>
      </w:r>
      <w:r w:rsidR="007F1C0B">
        <w:rPr>
          <w:rStyle w:val="default"/>
          <w:rFonts w:cs="FrankRuehl" w:hint="cs"/>
          <w:sz w:val="22"/>
          <w:szCs w:val="22"/>
          <w:rtl/>
        </w:rPr>
        <w:tab/>
      </w:r>
      <w:r>
        <w:rPr>
          <w:rStyle w:val="default"/>
          <w:rFonts w:cs="FrankRuehl" w:hint="cs"/>
          <w:sz w:val="22"/>
          <w:szCs w:val="22"/>
          <w:rtl/>
        </w:rPr>
        <w:t>יוש</w:t>
      </w:r>
      <w:r>
        <w:rPr>
          <w:rStyle w:val="default"/>
          <w:rFonts w:cs="FrankRuehl"/>
          <w:sz w:val="22"/>
          <w:szCs w:val="22"/>
          <w:rtl/>
        </w:rPr>
        <w:t>ב</w:t>
      </w:r>
      <w:r>
        <w:rPr>
          <w:rStyle w:val="default"/>
          <w:rFonts w:cs="FrankRuehl" w:hint="cs"/>
          <w:sz w:val="22"/>
          <w:szCs w:val="22"/>
          <w:rtl/>
        </w:rPr>
        <w:t xml:space="preserve"> ראש הכנסת</w:t>
      </w:r>
    </w:p>
    <w:p w:rsidR="00D731FE" w:rsidRDefault="00D731FE">
      <w:pPr>
        <w:pStyle w:val="P00"/>
        <w:spacing w:before="72"/>
        <w:ind w:left="0" w:right="1134"/>
        <w:rPr>
          <w:rStyle w:val="default"/>
          <w:rFonts w:cs="FrankRuehl" w:hint="cs"/>
          <w:rtl/>
        </w:rPr>
      </w:pPr>
    </w:p>
    <w:p w:rsidR="008704B4" w:rsidRDefault="008704B4">
      <w:pPr>
        <w:pStyle w:val="P00"/>
        <w:spacing w:before="72"/>
        <w:ind w:left="0" w:right="1134"/>
        <w:rPr>
          <w:rStyle w:val="default"/>
          <w:rFonts w:cs="FrankRuehl" w:hint="cs"/>
          <w:rtl/>
        </w:rPr>
      </w:pPr>
    </w:p>
    <w:p w:rsidR="00543E0D" w:rsidRDefault="00543E0D">
      <w:pPr>
        <w:pStyle w:val="P00"/>
        <w:spacing w:before="72"/>
        <w:ind w:left="0" w:right="1134"/>
        <w:rPr>
          <w:rStyle w:val="default"/>
          <w:rFonts w:cs="FrankRuehl"/>
          <w:rtl/>
        </w:rPr>
      </w:pPr>
      <w:bookmarkStart w:id="6" w:name="LawPartEnd"/>
    </w:p>
    <w:bookmarkEnd w:id="6"/>
    <w:p w:rsidR="00FD64E3" w:rsidRDefault="00FD64E3">
      <w:pPr>
        <w:pStyle w:val="P00"/>
        <w:spacing w:before="72"/>
        <w:ind w:left="0" w:right="1134"/>
        <w:rPr>
          <w:rStyle w:val="default"/>
          <w:rFonts w:cs="FrankRuehl"/>
          <w:rtl/>
        </w:rPr>
      </w:pPr>
    </w:p>
    <w:p w:rsidR="00FD64E3" w:rsidRDefault="00FD64E3" w:rsidP="00FD64E3">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7247A9" w:rsidRPr="00FD64E3" w:rsidRDefault="007247A9" w:rsidP="00FD64E3">
      <w:pPr>
        <w:pStyle w:val="P00"/>
        <w:spacing w:before="72"/>
        <w:ind w:left="0" w:right="1134"/>
        <w:jc w:val="center"/>
        <w:rPr>
          <w:rStyle w:val="default"/>
          <w:rFonts w:cs="David"/>
          <w:color w:val="0000FF"/>
          <w:szCs w:val="24"/>
          <w:u w:val="single"/>
          <w:rtl/>
        </w:rPr>
      </w:pPr>
    </w:p>
    <w:sectPr w:rsidR="007247A9" w:rsidRPr="00FD64E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BB3" w:rsidRDefault="006C4BB3">
      <w:r>
        <w:separator/>
      </w:r>
    </w:p>
  </w:endnote>
  <w:endnote w:type="continuationSeparator" w:id="0">
    <w:p w:rsidR="006C4BB3" w:rsidRDefault="006C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225" w:rsidRDefault="00BB622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B6225" w:rsidRDefault="00BB62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B6225" w:rsidRDefault="00BB62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Z:\000-law\yael\2015\2015-05-20\139_002.doc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225" w:rsidRDefault="00BB622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C4881">
      <w:rPr>
        <w:rFonts w:hAnsi="FrankRuehl" w:cs="FrankRuehl"/>
        <w:noProof/>
        <w:sz w:val="24"/>
        <w:szCs w:val="24"/>
        <w:rtl/>
      </w:rPr>
      <w:t>4</w:t>
    </w:r>
    <w:r>
      <w:rPr>
        <w:rFonts w:hAnsi="FrankRuehl" w:cs="FrankRuehl"/>
        <w:sz w:val="24"/>
        <w:szCs w:val="24"/>
        <w:rtl/>
      </w:rPr>
      <w:fldChar w:fldCharType="end"/>
    </w:r>
  </w:p>
  <w:p w:rsidR="00BB6225" w:rsidRDefault="00BB62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B6225" w:rsidRDefault="00BB62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Z:\000-law\yael\2015\2015-05-20\139_002.doc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BB3" w:rsidRDefault="006C4BB3">
      <w:pPr>
        <w:spacing w:before="60" w:line="240" w:lineRule="auto"/>
        <w:ind w:right="1134"/>
      </w:pPr>
      <w:r>
        <w:separator/>
      </w:r>
    </w:p>
  </w:footnote>
  <w:footnote w:type="continuationSeparator" w:id="0">
    <w:p w:rsidR="006C4BB3" w:rsidRDefault="006C4BB3">
      <w:pPr>
        <w:spacing w:before="60" w:line="240" w:lineRule="auto"/>
        <w:ind w:right="1134"/>
      </w:pPr>
      <w:r>
        <w:separator/>
      </w:r>
    </w:p>
  </w:footnote>
  <w:footnote w:id="1">
    <w:p w:rsidR="00FE2B1E" w:rsidRPr="00EE0A80" w:rsidRDefault="00BB6225" w:rsidP="00FE2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sidRPr="00FE2B1E">
          <w:rPr>
            <w:rStyle w:val="Hyperlink"/>
            <w:rFonts w:cs="FrankRuehl" w:hint="cs"/>
            <w:rtl/>
          </w:rPr>
          <w:t xml:space="preserve">ס"ח </w:t>
        </w:r>
        <w:r w:rsidRPr="00FE2B1E">
          <w:rPr>
            <w:rStyle w:val="Hyperlink"/>
            <w:rFonts w:cs="FrankRuehl" w:hint="cs"/>
            <w:rtl/>
          </w:rPr>
          <w:t xml:space="preserve">תשע"ו </w:t>
        </w:r>
        <w:r w:rsidRPr="00FE2B1E">
          <w:rPr>
            <w:rStyle w:val="Hyperlink"/>
            <w:rFonts w:cs="FrankRuehl" w:hint="cs"/>
            <w:rtl/>
          </w:rPr>
          <w:t>מס' 2552</w:t>
        </w:r>
      </w:hyperlink>
      <w:r>
        <w:rPr>
          <w:rFonts w:cs="FrankRuehl" w:hint="cs"/>
          <w:rtl/>
        </w:rPr>
        <w:t xml:space="preserve"> מיום 12.4.2016</w:t>
      </w:r>
      <w:r>
        <w:rPr>
          <w:rFonts w:cs="FrankRuehl"/>
          <w:rtl/>
        </w:rPr>
        <w:t xml:space="preserve"> </w:t>
      </w:r>
      <w:r>
        <w:rPr>
          <w:rFonts w:cs="FrankRuehl" w:hint="cs"/>
          <w:rtl/>
        </w:rPr>
        <w:t>ע</w:t>
      </w:r>
      <w:r>
        <w:rPr>
          <w:rFonts w:cs="FrankRuehl"/>
          <w:rtl/>
        </w:rPr>
        <w:t>מ</w:t>
      </w:r>
      <w:r>
        <w:rPr>
          <w:rFonts w:cs="FrankRuehl" w:hint="cs"/>
          <w:rtl/>
        </w:rPr>
        <w:t>' 874 (</w:t>
      </w:r>
      <w:hyperlink r:id="rId2" w:history="1">
        <w:r w:rsidRPr="002A6A2A">
          <w:rPr>
            <w:rStyle w:val="Hyperlink"/>
            <w:rFonts w:cs="FrankRuehl" w:hint="cs"/>
            <w:rtl/>
          </w:rPr>
          <w:t>ה"ח הממשלה תשע"ד מ</w:t>
        </w:r>
        <w:r w:rsidRPr="002A6A2A">
          <w:rPr>
            <w:rStyle w:val="Hyperlink"/>
            <w:rFonts w:cs="FrankRuehl"/>
            <w:rtl/>
          </w:rPr>
          <w:t>ס</w:t>
        </w:r>
        <w:r w:rsidRPr="002A6A2A">
          <w:rPr>
            <w:rStyle w:val="Hyperlink"/>
            <w:rFonts w:cs="FrankRuehl" w:hint="cs"/>
            <w:rtl/>
          </w:rPr>
          <w:t>' 883</w:t>
        </w:r>
      </w:hyperlink>
      <w:r>
        <w:rPr>
          <w:rFonts w:cs="FrankRuehl" w:hint="cs"/>
          <w:rtl/>
        </w:rPr>
        <w:t xml:space="preserve"> עמ</w:t>
      </w:r>
      <w:r>
        <w:rPr>
          <w:rFonts w:cs="FrankRuehl"/>
          <w:rtl/>
        </w:rPr>
        <w:t xml:space="preserve">' </w:t>
      </w:r>
      <w:r>
        <w:rPr>
          <w:rFonts w:cs="FrankRuehl" w:hint="cs"/>
          <w:rtl/>
        </w:rPr>
        <w:t>892</w:t>
      </w:r>
      <w:r>
        <w:rPr>
          <w:rFonts w:cs="FrankRuehl"/>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225" w:rsidRDefault="00BB622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החברות, תשנ"ט–1999</w:t>
    </w:r>
  </w:p>
  <w:p w:rsidR="00BB6225" w:rsidRDefault="00BB622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B6225" w:rsidRDefault="00BB622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225" w:rsidRDefault="00BB6225" w:rsidP="002A6A2A">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תגמול לנושאי משרה בתאגידים פיננסיים (אישור מיוחד ואי-התרת הוצאה לצורכי מס בשל תגמול חריג), תשע"ו-2016</w:t>
    </w:r>
  </w:p>
  <w:p w:rsidR="00BB6225" w:rsidRDefault="00BB622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B6225" w:rsidRDefault="00BB622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428E063F"/>
    <w:multiLevelType w:val="hybridMultilevel"/>
    <w:tmpl w:val="19E83F1A"/>
    <w:lvl w:ilvl="0" w:tplc="EE0857DC">
      <w:start w:val="2"/>
      <w:numFmt w:val="decimal"/>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2"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811019389">
    <w:abstractNumId w:val="0"/>
  </w:num>
  <w:num w:numId="2" w16cid:durableId="2013876080">
    <w:abstractNumId w:val="2"/>
  </w:num>
  <w:num w:numId="3" w16cid:durableId="134304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D7E"/>
    <w:rsid w:val="00001425"/>
    <w:rsid w:val="000205CA"/>
    <w:rsid w:val="00020726"/>
    <w:rsid w:val="00023E2D"/>
    <w:rsid w:val="00026115"/>
    <w:rsid w:val="00026256"/>
    <w:rsid w:val="000343B4"/>
    <w:rsid w:val="00036669"/>
    <w:rsid w:val="00043B97"/>
    <w:rsid w:val="000456CF"/>
    <w:rsid w:val="00050EEC"/>
    <w:rsid w:val="00051A72"/>
    <w:rsid w:val="00052F57"/>
    <w:rsid w:val="00056C01"/>
    <w:rsid w:val="000635B0"/>
    <w:rsid w:val="0006785A"/>
    <w:rsid w:val="00073997"/>
    <w:rsid w:val="00074833"/>
    <w:rsid w:val="000771B5"/>
    <w:rsid w:val="00085AEC"/>
    <w:rsid w:val="00092D00"/>
    <w:rsid w:val="000A0C41"/>
    <w:rsid w:val="000A2500"/>
    <w:rsid w:val="000A7430"/>
    <w:rsid w:val="000B5C44"/>
    <w:rsid w:val="000C3C9F"/>
    <w:rsid w:val="000C5313"/>
    <w:rsid w:val="000C6765"/>
    <w:rsid w:val="000D72FF"/>
    <w:rsid w:val="000F1BF4"/>
    <w:rsid w:val="000F750E"/>
    <w:rsid w:val="0010138B"/>
    <w:rsid w:val="0011664F"/>
    <w:rsid w:val="00124C10"/>
    <w:rsid w:val="001256DF"/>
    <w:rsid w:val="00130DFB"/>
    <w:rsid w:val="00135ABF"/>
    <w:rsid w:val="00136AF2"/>
    <w:rsid w:val="001422DF"/>
    <w:rsid w:val="00151B18"/>
    <w:rsid w:val="00153CFC"/>
    <w:rsid w:val="00161EE8"/>
    <w:rsid w:val="00187373"/>
    <w:rsid w:val="0018798F"/>
    <w:rsid w:val="00191F66"/>
    <w:rsid w:val="001B18E8"/>
    <w:rsid w:val="001B2A2E"/>
    <w:rsid w:val="001B625D"/>
    <w:rsid w:val="001B7CA7"/>
    <w:rsid w:val="001C60DC"/>
    <w:rsid w:val="001F360E"/>
    <w:rsid w:val="00211177"/>
    <w:rsid w:val="002244EF"/>
    <w:rsid w:val="002273A3"/>
    <w:rsid w:val="00233527"/>
    <w:rsid w:val="0023698C"/>
    <w:rsid w:val="00236DEE"/>
    <w:rsid w:val="00237CDA"/>
    <w:rsid w:val="00240FD2"/>
    <w:rsid w:val="00247D79"/>
    <w:rsid w:val="0025235A"/>
    <w:rsid w:val="0025329F"/>
    <w:rsid w:val="002538B2"/>
    <w:rsid w:val="002548CE"/>
    <w:rsid w:val="0026539D"/>
    <w:rsid w:val="00271438"/>
    <w:rsid w:val="00272B95"/>
    <w:rsid w:val="00274C24"/>
    <w:rsid w:val="0028063F"/>
    <w:rsid w:val="00293D73"/>
    <w:rsid w:val="0029753B"/>
    <w:rsid w:val="002A532E"/>
    <w:rsid w:val="002A64A0"/>
    <w:rsid w:val="002A65C3"/>
    <w:rsid w:val="002A6A2A"/>
    <w:rsid w:val="002A75B9"/>
    <w:rsid w:val="002B4621"/>
    <w:rsid w:val="002B6FD6"/>
    <w:rsid w:val="002C26BA"/>
    <w:rsid w:val="002C4931"/>
    <w:rsid w:val="002D0B01"/>
    <w:rsid w:val="002D1387"/>
    <w:rsid w:val="002D6489"/>
    <w:rsid w:val="002E22D1"/>
    <w:rsid w:val="002E6A59"/>
    <w:rsid w:val="003209EB"/>
    <w:rsid w:val="00323BB0"/>
    <w:rsid w:val="00324F61"/>
    <w:rsid w:val="00325607"/>
    <w:rsid w:val="003272C7"/>
    <w:rsid w:val="003403AF"/>
    <w:rsid w:val="00347A52"/>
    <w:rsid w:val="00347F16"/>
    <w:rsid w:val="00352329"/>
    <w:rsid w:val="00357ADD"/>
    <w:rsid w:val="0036015A"/>
    <w:rsid w:val="0036749D"/>
    <w:rsid w:val="003710B0"/>
    <w:rsid w:val="0037425C"/>
    <w:rsid w:val="00381C81"/>
    <w:rsid w:val="00386CFC"/>
    <w:rsid w:val="00395952"/>
    <w:rsid w:val="00395996"/>
    <w:rsid w:val="003971C7"/>
    <w:rsid w:val="003A48B4"/>
    <w:rsid w:val="003B0068"/>
    <w:rsid w:val="003C0DFE"/>
    <w:rsid w:val="003C1B30"/>
    <w:rsid w:val="003D3985"/>
    <w:rsid w:val="003D3CE4"/>
    <w:rsid w:val="003E643F"/>
    <w:rsid w:val="003F3ACE"/>
    <w:rsid w:val="003F463E"/>
    <w:rsid w:val="00401034"/>
    <w:rsid w:val="004023BE"/>
    <w:rsid w:val="00403873"/>
    <w:rsid w:val="004205C9"/>
    <w:rsid w:val="0042167E"/>
    <w:rsid w:val="00432505"/>
    <w:rsid w:val="00432D7E"/>
    <w:rsid w:val="00435D8C"/>
    <w:rsid w:val="00436C6E"/>
    <w:rsid w:val="004376CE"/>
    <w:rsid w:val="00447358"/>
    <w:rsid w:val="0046221A"/>
    <w:rsid w:val="004667BD"/>
    <w:rsid w:val="0047223A"/>
    <w:rsid w:val="00475EC1"/>
    <w:rsid w:val="00481655"/>
    <w:rsid w:val="004836E0"/>
    <w:rsid w:val="00495E3E"/>
    <w:rsid w:val="00497DB6"/>
    <w:rsid w:val="004A194A"/>
    <w:rsid w:val="004A292F"/>
    <w:rsid w:val="004B2DAA"/>
    <w:rsid w:val="004B37B0"/>
    <w:rsid w:val="004C036B"/>
    <w:rsid w:val="004D7267"/>
    <w:rsid w:val="004F0825"/>
    <w:rsid w:val="004F1FFB"/>
    <w:rsid w:val="004F6632"/>
    <w:rsid w:val="00500C67"/>
    <w:rsid w:val="005028F4"/>
    <w:rsid w:val="005032B0"/>
    <w:rsid w:val="00511F96"/>
    <w:rsid w:val="00516B84"/>
    <w:rsid w:val="00516E58"/>
    <w:rsid w:val="00527E94"/>
    <w:rsid w:val="00531A90"/>
    <w:rsid w:val="0053472E"/>
    <w:rsid w:val="005371EC"/>
    <w:rsid w:val="00541B4E"/>
    <w:rsid w:val="00543E0D"/>
    <w:rsid w:val="00554508"/>
    <w:rsid w:val="00557C7E"/>
    <w:rsid w:val="00560737"/>
    <w:rsid w:val="005744B4"/>
    <w:rsid w:val="00577C74"/>
    <w:rsid w:val="005A58E0"/>
    <w:rsid w:val="005A5FF9"/>
    <w:rsid w:val="005A6235"/>
    <w:rsid w:val="005E7E40"/>
    <w:rsid w:val="00610D50"/>
    <w:rsid w:val="00616529"/>
    <w:rsid w:val="00644C64"/>
    <w:rsid w:val="006609DE"/>
    <w:rsid w:val="00662AEE"/>
    <w:rsid w:val="00674DCF"/>
    <w:rsid w:val="00675F4C"/>
    <w:rsid w:val="0068772A"/>
    <w:rsid w:val="006878B5"/>
    <w:rsid w:val="006912EB"/>
    <w:rsid w:val="006A6F23"/>
    <w:rsid w:val="006A78B7"/>
    <w:rsid w:val="006A7F37"/>
    <w:rsid w:val="006B7F1E"/>
    <w:rsid w:val="006C4BB3"/>
    <w:rsid w:val="006E0D8F"/>
    <w:rsid w:val="006E35FC"/>
    <w:rsid w:val="006F11AE"/>
    <w:rsid w:val="006F3257"/>
    <w:rsid w:val="0070116B"/>
    <w:rsid w:val="007136F9"/>
    <w:rsid w:val="00717D0F"/>
    <w:rsid w:val="0072161C"/>
    <w:rsid w:val="00722235"/>
    <w:rsid w:val="00722D91"/>
    <w:rsid w:val="007237C2"/>
    <w:rsid w:val="007247A9"/>
    <w:rsid w:val="00732E3C"/>
    <w:rsid w:val="00732FD2"/>
    <w:rsid w:val="0075544E"/>
    <w:rsid w:val="00755E28"/>
    <w:rsid w:val="00756654"/>
    <w:rsid w:val="00765878"/>
    <w:rsid w:val="007741B6"/>
    <w:rsid w:val="00781D3E"/>
    <w:rsid w:val="00787863"/>
    <w:rsid w:val="007A2251"/>
    <w:rsid w:val="007B1136"/>
    <w:rsid w:val="007B4F02"/>
    <w:rsid w:val="007C250F"/>
    <w:rsid w:val="007D2B97"/>
    <w:rsid w:val="007D315E"/>
    <w:rsid w:val="007E7F2C"/>
    <w:rsid w:val="007F0908"/>
    <w:rsid w:val="007F1C0B"/>
    <w:rsid w:val="007F436C"/>
    <w:rsid w:val="00811D47"/>
    <w:rsid w:val="008164AC"/>
    <w:rsid w:val="00816703"/>
    <w:rsid w:val="00820247"/>
    <w:rsid w:val="00825035"/>
    <w:rsid w:val="00852CDF"/>
    <w:rsid w:val="00867242"/>
    <w:rsid w:val="008704B4"/>
    <w:rsid w:val="00871553"/>
    <w:rsid w:val="008717F3"/>
    <w:rsid w:val="00875F88"/>
    <w:rsid w:val="00881CF8"/>
    <w:rsid w:val="00882019"/>
    <w:rsid w:val="00884010"/>
    <w:rsid w:val="0089048F"/>
    <w:rsid w:val="00895777"/>
    <w:rsid w:val="0089711A"/>
    <w:rsid w:val="008A3722"/>
    <w:rsid w:val="008A5A4E"/>
    <w:rsid w:val="008A6D4B"/>
    <w:rsid w:val="008B279C"/>
    <w:rsid w:val="008B576B"/>
    <w:rsid w:val="008B6431"/>
    <w:rsid w:val="008C1E35"/>
    <w:rsid w:val="008C561B"/>
    <w:rsid w:val="008D3F5F"/>
    <w:rsid w:val="008E17F8"/>
    <w:rsid w:val="008E5DB0"/>
    <w:rsid w:val="008F1900"/>
    <w:rsid w:val="008F4A9A"/>
    <w:rsid w:val="009159C5"/>
    <w:rsid w:val="00924C5D"/>
    <w:rsid w:val="00932400"/>
    <w:rsid w:val="009329F8"/>
    <w:rsid w:val="009360BB"/>
    <w:rsid w:val="00936FAA"/>
    <w:rsid w:val="009414EB"/>
    <w:rsid w:val="00945F8D"/>
    <w:rsid w:val="009514B7"/>
    <w:rsid w:val="00953310"/>
    <w:rsid w:val="00961602"/>
    <w:rsid w:val="00961F03"/>
    <w:rsid w:val="00980AAA"/>
    <w:rsid w:val="00983EE7"/>
    <w:rsid w:val="009849D4"/>
    <w:rsid w:val="00992044"/>
    <w:rsid w:val="00996315"/>
    <w:rsid w:val="009A1F75"/>
    <w:rsid w:val="009A527E"/>
    <w:rsid w:val="009A611A"/>
    <w:rsid w:val="009C4881"/>
    <w:rsid w:val="009D685D"/>
    <w:rsid w:val="009F18BC"/>
    <w:rsid w:val="009F75C6"/>
    <w:rsid w:val="00A04710"/>
    <w:rsid w:val="00A05D9E"/>
    <w:rsid w:val="00A10F80"/>
    <w:rsid w:val="00A144E0"/>
    <w:rsid w:val="00A23539"/>
    <w:rsid w:val="00A311FE"/>
    <w:rsid w:val="00A42E62"/>
    <w:rsid w:val="00A63B31"/>
    <w:rsid w:val="00A837BC"/>
    <w:rsid w:val="00A92574"/>
    <w:rsid w:val="00A9782A"/>
    <w:rsid w:val="00AA4AFF"/>
    <w:rsid w:val="00AC1318"/>
    <w:rsid w:val="00AD0D51"/>
    <w:rsid w:val="00AD5870"/>
    <w:rsid w:val="00AE2E38"/>
    <w:rsid w:val="00AE4DAB"/>
    <w:rsid w:val="00AF3A8B"/>
    <w:rsid w:val="00B003B2"/>
    <w:rsid w:val="00B11288"/>
    <w:rsid w:val="00B165B1"/>
    <w:rsid w:val="00B2017A"/>
    <w:rsid w:val="00B55379"/>
    <w:rsid w:val="00B56479"/>
    <w:rsid w:val="00B62B8F"/>
    <w:rsid w:val="00B64C87"/>
    <w:rsid w:val="00B6593E"/>
    <w:rsid w:val="00B713A6"/>
    <w:rsid w:val="00B74F20"/>
    <w:rsid w:val="00B82DD8"/>
    <w:rsid w:val="00B85948"/>
    <w:rsid w:val="00B938C6"/>
    <w:rsid w:val="00B94578"/>
    <w:rsid w:val="00BA133B"/>
    <w:rsid w:val="00BA1418"/>
    <w:rsid w:val="00BA4229"/>
    <w:rsid w:val="00BA4249"/>
    <w:rsid w:val="00BB14F4"/>
    <w:rsid w:val="00BB42A5"/>
    <w:rsid w:val="00BB5702"/>
    <w:rsid w:val="00BB6225"/>
    <w:rsid w:val="00BC4297"/>
    <w:rsid w:val="00BD0A3E"/>
    <w:rsid w:val="00BE0423"/>
    <w:rsid w:val="00BF2829"/>
    <w:rsid w:val="00BF41D7"/>
    <w:rsid w:val="00C10098"/>
    <w:rsid w:val="00C132B0"/>
    <w:rsid w:val="00C256BA"/>
    <w:rsid w:val="00C26CB3"/>
    <w:rsid w:val="00C31B2E"/>
    <w:rsid w:val="00C40B80"/>
    <w:rsid w:val="00C42D39"/>
    <w:rsid w:val="00C64C2A"/>
    <w:rsid w:val="00C67BC1"/>
    <w:rsid w:val="00C73C0A"/>
    <w:rsid w:val="00CA2DAE"/>
    <w:rsid w:val="00CB2E37"/>
    <w:rsid w:val="00CC7E55"/>
    <w:rsid w:val="00CE4DDC"/>
    <w:rsid w:val="00CF2100"/>
    <w:rsid w:val="00D062A6"/>
    <w:rsid w:val="00D10FA6"/>
    <w:rsid w:val="00D13416"/>
    <w:rsid w:val="00D14425"/>
    <w:rsid w:val="00D30724"/>
    <w:rsid w:val="00D320A5"/>
    <w:rsid w:val="00D42CC0"/>
    <w:rsid w:val="00D45B9D"/>
    <w:rsid w:val="00D51A71"/>
    <w:rsid w:val="00D5355F"/>
    <w:rsid w:val="00D54D82"/>
    <w:rsid w:val="00D731FE"/>
    <w:rsid w:val="00D8113F"/>
    <w:rsid w:val="00D839DF"/>
    <w:rsid w:val="00D92607"/>
    <w:rsid w:val="00D934DE"/>
    <w:rsid w:val="00D95CB5"/>
    <w:rsid w:val="00DA7170"/>
    <w:rsid w:val="00DC02B7"/>
    <w:rsid w:val="00DC080D"/>
    <w:rsid w:val="00DC42E9"/>
    <w:rsid w:val="00DD4E8F"/>
    <w:rsid w:val="00DE7D4A"/>
    <w:rsid w:val="00DF0A38"/>
    <w:rsid w:val="00DF6E39"/>
    <w:rsid w:val="00E0337D"/>
    <w:rsid w:val="00E134FA"/>
    <w:rsid w:val="00E23EA5"/>
    <w:rsid w:val="00E25A90"/>
    <w:rsid w:val="00E336D8"/>
    <w:rsid w:val="00E3540E"/>
    <w:rsid w:val="00E37761"/>
    <w:rsid w:val="00E458D9"/>
    <w:rsid w:val="00E45CBE"/>
    <w:rsid w:val="00E55744"/>
    <w:rsid w:val="00E574E5"/>
    <w:rsid w:val="00E57AEB"/>
    <w:rsid w:val="00E6612E"/>
    <w:rsid w:val="00E70644"/>
    <w:rsid w:val="00E7097D"/>
    <w:rsid w:val="00E753E5"/>
    <w:rsid w:val="00E767FF"/>
    <w:rsid w:val="00E929A8"/>
    <w:rsid w:val="00E92E91"/>
    <w:rsid w:val="00EA3064"/>
    <w:rsid w:val="00EA33FD"/>
    <w:rsid w:val="00EA39F0"/>
    <w:rsid w:val="00EA7B9D"/>
    <w:rsid w:val="00EB01D7"/>
    <w:rsid w:val="00EB35C4"/>
    <w:rsid w:val="00EB4280"/>
    <w:rsid w:val="00EB4296"/>
    <w:rsid w:val="00ED0E0E"/>
    <w:rsid w:val="00EE0383"/>
    <w:rsid w:val="00EE0A80"/>
    <w:rsid w:val="00EE32EC"/>
    <w:rsid w:val="00EF7370"/>
    <w:rsid w:val="00F0034D"/>
    <w:rsid w:val="00F00686"/>
    <w:rsid w:val="00F017D8"/>
    <w:rsid w:val="00F01D7E"/>
    <w:rsid w:val="00F03303"/>
    <w:rsid w:val="00F1111D"/>
    <w:rsid w:val="00F16290"/>
    <w:rsid w:val="00F17BB1"/>
    <w:rsid w:val="00F36918"/>
    <w:rsid w:val="00F40511"/>
    <w:rsid w:val="00F42E27"/>
    <w:rsid w:val="00F45D2F"/>
    <w:rsid w:val="00F477E6"/>
    <w:rsid w:val="00F478B1"/>
    <w:rsid w:val="00F51202"/>
    <w:rsid w:val="00F532D3"/>
    <w:rsid w:val="00F611E2"/>
    <w:rsid w:val="00F66D56"/>
    <w:rsid w:val="00F66D88"/>
    <w:rsid w:val="00F7365C"/>
    <w:rsid w:val="00F74FB2"/>
    <w:rsid w:val="00F76666"/>
    <w:rsid w:val="00F8354B"/>
    <w:rsid w:val="00F850C2"/>
    <w:rsid w:val="00F94403"/>
    <w:rsid w:val="00FB6C14"/>
    <w:rsid w:val="00FC291D"/>
    <w:rsid w:val="00FD4FA7"/>
    <w:rsid w:val="00FD64E3"/>
    <w:rsid w:val="00FE291C"/>
    <w:rsid w:val="00FE2B1E"/>
    <w:rsid w:val="00FE675F"/>
    <w:rsid w:val="00FE69F0"/>
    <w:rsid w:val="00FE78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1,3"/>
    </o:shapelayout>
  </w:shapeDefaults>
  <w:decimalSymbol w:val="."/>
  <w:listSeparator w:val=","/>
  <w15:chartTrackingRefBased/>
  <w15:docId w15:val="{DB7C0744-1791-4F5C-A9C8-EB3EA13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paragraph" w:styleId="3">
    <w:name w:val="heading 3"/>
    <w:basedOn w:val="a"/>
    <w:next w:val="a"/>
    <w:qFormat/>
    <w:pPr>
      <w:keepNext/>
      <w:spacing w:line="240" w:lineRule="auto"/>
      <w:ind w:right="1134"/>
      <w:outlineLvl w:val="2"/>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basedOn w:val="a0"/>
    <w:semiHidden/>
    <w:rPr>
      <w:rFonts w:ascii="Times New Roman" w:hAnsi="Times New Roman" w:cs="Times New Roman"/>
      <w:vertAlign w:val="superscript"/>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883.pdf" TargetMode="External"/><Relationship Id="rId1" Type="http://schemas.openxmlformats.org/officeDocument/2006/relationships/hyperlink" Target="http://www.nevo.co.il/law_word/law14/law-25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9882</CharactersWithSpaces>
  <SharedDoc>false</SharedDoc>
  <HLinks>
    <vt:vector size="54"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7602264</vt:i4>
      </vt:variant>
      <vt:variant>
        <vt:i4>3</vt:i4>
      </vt:variant>
      <vt:variant>
        <vt:i4>0</vt:i4>
      </vt:variant>
      <vt:variant>
        <vt:i4>5</vt:i4>
      </vt:variant>
      <vt:variant>
        <vt:lpwstr>http://www.nevo.co.il/Law_word/law15/memshala-883.pdf</vt:lpwstr>
      </vt:variant>
      <vt:variant>
        <vt:lpwstr/>
      </vt:variant>
      <vt:variant>
        <vt:i4>7864334</vt:i4>
      </vt:variant>
      <vt:variant>
        <vt:i4>0</vt:i4>
      </vt:variant>
      <vt:variant>
        <vt:i4>0</vt:i4>
      </vt:variant>
      <vt:variant>
        <vt:i4>5</vt:i4>
      </vt:variant>
      <vt:variant>
        <vt:lpwstr>http://www.nevo.co.il/law_word/law14/law-2552.pdf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חברות</vt:lpwstr>
  </property>
  <property fmtid="{D5CDD505-2E9C-101B-9397-08002B2CF9AE}" pid="4" name="LAWNAME">
    <vt:lpwstr>חוק תגמול לנושאי משרה בתאגידים פיננסיים (אישור מיוחד ואי-התרת הוצאה לצורכי מס בשל תגמול חריג), תשע"ו-2016</vt:lpwstr>
  </property>
  <property fmtid="{D5CDD505-2E9C-101B-9397-08002B2CF9AE}" pid="5" name="LAWNUMBER">
    <vt:lpwstr>0391</vt:lpwstr>
  </property>
  <property fmtid="{D5CDD505-2E9C-101B-9397-08002B2CF9AE}" pid="6" name="TYPE">
    <vt:lpwstr>01</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mekor_samchut">
    <vt:lpwstr/>
  </property>
  <property fmtid="{D5CDD505-2E9C-101B-9397-08002B2CF9AE}" pid="15" name="MEKORSAMCHUT">
    <vt:lpwstr/>
  </property>
  <property fmtid="{D5CDD505-2E9C-101B-9397-08002B2CF9AE}" pid="16" name="NOSE11">
    <vt:lpwstr>משפט פרטי וכלכלה</vt:lpwstr>
  </property>
  <property fmtid="{D5CDD505-2E9C-101B-9397-08002B2CF9AE}" pid="17" name="NOSE21">
    <vt:lpwstr>תאגידים וניירות ערך</vt:lpwstr>
  </property>
  <property fmtid="{D5CDD505-2E9C-101B-9397-08002B2CF9AE}" pid="18" name="NOSE31">
    <vt:lpwstr>תאגיד בנקאי</vt:lpwstr>
  </property>
  <property fmtid="{D5CDD505-2E9C-101B-9397-08002B2CF9AE}" pid="19" name="NOSE41">
    <vt:lpwstr/>
  </property>
  <property fmtid="{D5CDD505-2E9C-101B-9397-08002B2CF9AE}" pid="20" name="NOSE12">
    <vt:lpwstr>מסים</vt:lpwstr>
  </property>
  <property fmtid="{D5CDD505-2E9C-101B-9397-08002B2CF9AE}" pid="21" name="NOSE22">
    <vt:lpwstr>מס הכנסה</vt:lpwstr>
  </property>
  <property fmtid="{D5CDD505-2E9C-101B-9397-08002B2CF9AE}" pid="22" name="NOSE32">
    <vt:lpwstr>ניכויים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1">
    <vt:lpwstr>http://www.nevo.co.il/law_word/law14/law-2552.pdf;‎רשומות - ספר חוקים#פורסם ס"ח תשע"ו מס' ‏‏2552 #מיום 12.4.2016 עמ' 874‏</vt:lpwstr>
  </property>
  <property fmtid="{D5CDD505-2E9C-101B-9397-08002B2CF9AE}" pid="57" name="LINKK2">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ies>
</file>