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5D5C" w:rsidRDefault="001F7845" w:rsidP="00C66049">
      <w:pPr>
        <w:pStyle w:val="big-header"/>
        <w:ind w:left="0" w:right="1134"/>
        <w:rPr>
          <w:rFonts w:cs="FrankRuehl" w:hint="cs"/>
          <w:sz w:val="32"/>
          <w:rtl/>
        </w:rPr>
      </w:pPr>
      <w:r>
        <w:rPr>
          <w:rFonts w:cs="FrankRuehl" w:hint="cs"/>
          <w:sz w:val="32"/>
          <w:rtl/>
        </w:rPr>
        <w:t>כללי בנק ישראל (</w:t>
      </w:r>
      <w:r w:rsidR="00C66049">
        <w:rPr>
          <w:rFonts w:cs="FrankRuehl" w:hint="cs"/>
          <w:sz w:val="32"/>
          <w:rtl/>
        </w:rPr>
        <w:t>כללים להפעלה סדירה של מערכת המטבע), תשע"ז-2017</w:t>
      </w:r>
    </w:p>
    <w:p w:rsidR="00155F05" w:rsidRPr="00155F05" w:rsidRDefault="00155F05" w:rsidP="00155F05">
      <w:pPr>
        <w:spacing w:line="320" w:lineRule="auto"/>
        <w:rPr>
          <w:rFonts w:cs="FrankRuehl"/>
          <w:szCs w:val="26"/>
          <w:rtl/>
        </w:rPr>
      </w:pPr>
    </w:p>
    <w:p w:rsidR="00155F05" w:rsidRDefault="00155F05" w:rsidP="00155F05">
      <w:pPr>
        <w:spacing w:line="320" w:lineRule="auto"/>
        <w:rPr>
          <w:rtl/>
        </w:rPr>
      </w:pPr>
    </w:p>
    <w:p w:rsidR="00155F05" w:rsidRDefault="00155F05" w:rsidP="00155F05">
      <w:pPr>
        <w:spacing w:line="320" w:lineRule="auto"/>
        <w:rPr>
          <w:rFonts w:cs="Miriam"/>
          <w:szCs w:val="22"/>
          <w:rtl/>
        </w:rPr>
      </w:pPr>
      <w:r w:rsidRPr="00155F05">
        <w:rPr>
          <w:rFonts w:cs="Miriam"/>
          <w:szCs w:val="22"/>
          <w:rtl/>
        </w:rPr>
        <w:t>משפט פרטי וכלכלה</w:t>
      </w:r>
      <w:r w:rsidRPr="00155F05">
        <w:rPr>
          <w:rFonts w:cs="FrankRuehl"/>
          <w:szCs w:val="26"/>
          <w:rtl/>
        </w:rPr>
        <w:t xml:space="preserve"> – כספים – מטבע</w:t>
      </w:r>
    </w:p>
    <w:p w:rsidR="00155F05" w:rsidRPr="00155F05" w:rsidRDefault="00155F05" w:rsidP="00155F05">
      <w:pPr>
        <w:spacing w:line="320" w:lineRule="auto"/>
        <w:rPr>
          <w:rFonts w:cs="Miriam" w:hint="cs"/>
          <w:szCs w:val="22"/>
          <w:rtl/>
        </w:rPr>
      </w:pPr>
      <w:r w:rsidRPr="00155F05">
        <w:rPr>
          <w:rFonts w:cs="Miriam"/>
          <w:szCs w:val="22"/>
          <w:rtl/>
        </w:rPr>
        <w:t>משפט פרטי וכלכלה</w:t>
      </w:r>
      <w:r w:rsidRPr="00155F05">
        <w:rPr>
          <w:rFonts w:cs="FrankRuehl"/>
          <w:szCs w:val="26"/>
          <w:rtl/>
        </w:rPr>
        <w:t xml:space="preserve"> – כספים – בנק ישראל – שטרי כסף ומעות</w:t>
      </w:r>
    </w:p>
    <w:p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1 </w:t>
            </w:r>
          </w:p>
        </w:tc>
        <w:tc>
          <w:tcPr>
            <w:tcW w:w="5669" w:type="dxa"/>
          </w:tcPr>
          <w:p w:rsidR="00282856" w:rsidRPr="00282856" w:rsidRDefault="00282856" w:rsidP="00282856">
            <w:pPr>
              <w:rPr>
                <w:rFonts w:cs="Frankruhel"/>
                <w:rtl/>
              </w:rPr>
            </w:pPr>
            <w:r>
              <w:rPr>
                <w:rtl/>
              </w:rPr>
              <w:t>הגדרות</w:t>
            </w:r>
          </w:p>
        </w:tc>
        <w:tc>
          <w:tcPr>
            <w:tcW w:w="567" w:type="dxa"/>
          </w:tcPr>
          <w:p w:rsidR="00282856" w:rsidRPr="00282856" w:rsidRDefault="00282856" w:rsidP="00282856">
            <w:pPr>
              <w:rPr>
                <w:rStyle w:val="Hyperlink"/>
                <w:rtl/>
              </w:rPr>
            </w:pPr>
            <w:hyperlink w:anchor="Seif1" w:tooltip="הגדרות"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2 </w:t>
            </w:r>
          </w:p>
        </w:tc>
        <w:tc>
          <w:tcPr>
            <w:tcW w:w="5669" w:type="dxa"/>
          </w:tcPr>
          <w:p w:rsidR="00282856" w:rsidRPr="00282856" w:rsidRDefault="00282856" w:rsidP="00282856">
            <w:pPr>
              <w:rPr>
                <w:rFonts w:cs="Frankruhel"/>
                <w:rtl/>
              </w:rPr>
            </w:pPr>
            <w:r>
              <w:rPr>
                <w:rtl/>
              </w:rPr>
              <w:t>הפעלת מרכז מזומנים</w:t>
            </w:r>
          </w:p>
        </w:tc>
        <w:tc>
          <w:tcPr>
            <w:tcW w:w="567" w:type="dxa"/>
          </w:tcPr>
          <w:p w:rsidR="00282856" w:rsidRPr="00282856" w:rsidRDefault="00282856" w:rsidP="00282856">
            <w:pPr>
              <w:rPr>
                <w:rStyle w:val="Hyperlink"/>
                <w:rtl/>
              </w:rPr>
            </w:pPr>
            <w:hyperlink w:anchor="Seif2" w:tooltip="הפעלת מרכז מזומנים"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3 </w:t>
            </w:r>
          </w:p>
        </w:tc>
        <w:tc>
          <w:tcPr>
            <w:tcW w:w="5669" w:type="dxa"/>
          </w:tcPr>
          <w:p w:rsidR="00282856" w:rsidRPr="00282856" w:rsidRDefault="00282856" w:rsidP="00282856">
            <w:pPr>
              <w:rPr>
                <w:rFonts w:cs="Frankruhel"/>
                <w:rtl/>
              </w:rPr>
            </w:pPr>
            <w:r>
              <w:rPr>
                <w:rtl/>
              </w:rPr>
              <w:t>הסדרת פעילות מטבע בתאגיד</w:t>
            </w:r>
          </w:p>
        </w:tc>
        <w:tc>
          <w:tcPr>
            <w:tcW w:w="567" w:type="dxa"/>
          </w:tcPr>
          <w:p w:rsidR="00282856" w:rsidRPr="00282856" w:rsidRDefault="00282856" w:rsidP="00282856">
            <w:pPr>
              <w:rPr>
                <w:rStyle w:val="Hyperlink"/>
                <w:rtl/>
              </w:rPr>
            </w:pPr>
            <w:hyperlink w:anchor="Seif3" w:tooltip="הסדרת פעילות מטבע בתאגיד"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4 </w:t>
            </w:r>
          </w:p>
        </w:tc>
        <w:tc>
          <w:tcPr>
            <w:tcW w:w="5669" w:type="dxa"/>
          </w:tcPr>
          <w:p w:rsidR="00282856" w:rsidRPr="00282856" w:rsidRDefault="00282856" w:rsidP="00282856">
            <w:pPr>
              <w:rPr>
                <w:rFonts w:cs="Frankruhel"/>
                <w:rtl/>
              </w:rPr>
            </w:pPr>
            <w:r>
              <w:rPr>
                <w:rtl/>
              </w:rPr>
              <w:t>הבטחת מקוריות ואיכות מטבע בתאגיד</w:t>
            </w:r>
          </w:p>
        </w:tc>
        <w:tc>
          <w:tcPr>
            <w:tcW w:w="567" w:type="dxa"/>
          </w:tcPr>
          <w:p w:rsidR="00282856" w:rsidRPr="00282856" w:rsidRDefault="00282856" w:rsidP="00282856">
            <w:pPr>
              <w:rPr>
                <w:rStyle w:val="Hyperlink"/>
                <w:rtl/>
              </w:rPr>
            </w:pPr>
            <w:hyperlink w:anchor="Seif4" w:tooltip="הבטחת מקוריות ואיכות מטבע בתאגיד"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5 </w:t>
            </w:r>
          </w:p>
        </w:tc>
        <w:tc>
          <w:tcPr>
            <w:tcW w:w="5669" w:type="dxa"/>
          </w:tcPr>
          <w:p w:rsidR="00282856" w:rsidRPr="00282856" w:rsidRDefault="00282856" w:rsidP="00282856">
            <w:pPr>
              <w:rPr>
                <w:rFonts w:cs="Frankruhel"/>
                <w:rtl/>
              </w:rPr>
            </w:pPr>
            <w:r>
              <w:rPr>
                <w:rtl/>
              </w:rPr>
              <w:t>מיחזור מטבע בתאגיד</w:t>
            </w:r>
          </w:p>
        </w:tc>
        <w:tc>
          <w:tcPr>
            <w:tcW w:w="567" w:type="dxa"/>
          </w:tcPr>
          <w:p w:rsidR="00282856" w:rsidRPr="00282856" w:rsidRDefault="00282856" w:rsidP="00282856">
            <w:pPr>
              <w:rPr>
                <w:rStyle w:val="Hyperlink"/>
                <w:rtl/>
              </w:rPr>
            </w:pPr>
            <w:hyperlink w:anchor="Seif5" w:tooltip="מיחזור מטבע בתאגיד"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6 </w:t>
            </w:r>
          </w:p>
        </w:tc>
        <w:tc>
          <w:tcPr>
            <w:tcW w:w="5669" w:type="dxa"/>
          </w:tcPr>
          <w:p w:rsidR="00282856" w:rsidRPr="00282856" w:rsidRDefault="00282856" w:rsidP="00282856">
            <w:pPr>
              <w:rPr>
                <w:rFonts w:cs="Frankruhel"/>
                <w:rtl/>
              </w:rPr>
            </w:pPr>
            <w:r>
              <w:rPr>
                <w:rtl/>
              </w:rPr>
              <w:t>ניהול מלאי מטבע בתאגיד</w:t>
            </w:r>
          </w:p>
        </w:tc>
        <w:tc>
          <w:tcPr>
            <w:tcW w:w="567" w:type="dxa"/>
          </w:tcPr>
          <w:p w:rsidR="00282856" w:rsidRPr="00282856" w:rsidRDefault="00282856" w:rsidP="00282856">
            <w:pPr>
              <w:rPr>
                <w:rStyle w:val="Hyperlink"/>
                <w:rtl/>
              </w:rPr>
            </w:pPr>
            <w:hyperlink w:anchor="Seif6" w:tooltip="ניהול מלאי מטבע בתאגיד"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7 </w:t>
            </w:r>
          </w:p>
        </w:tc>
        <w:tc>
          <w:tcPr>
            <w:tcW w:w="5669" w:type="dxa"/>
          </w:tcPr>
          <w:p w:rsidR="00282856" w:rsidRPr="00282856" w:rsidRDefault="00282856" w:rsidP="00282856">
            <w:pPr>
              <w:rPr>
                <w:rFonts w:cs="Frankruhel"/>
                <w:rtl/>
              </w:rPr>
            </w:pPr>
            <w:r>
              <w:rPr>
                <w:rtl/>
              </w:rPr>
              <w:t>שירותי הבנק בתחום המטבע</w:t>
            </w:r>
          </w:p>
        </w:tc>
        <w:tc>
          <w:tcPr>
            <w:tcW w:w="567" w:type="dxa"/>
          </w:tcPr>
          <w:p w:rsidR="00282856" w:rsidRPr="00282856" w:rsidRDefault="00282856" w:rsidP="00282856">
            <w:pPr>
              <w:rPr>
                <w:rStyle w:val="Hyperlink"/>
                <w:rtl/>
              </w:rPr>
            </w:pPr>
            <w:hyperlink w:anchor="Seif7" w:tooltip="שירותי הבנק בתחום המטבע"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8 </w:t>
            </w:r>
          </w:p>
        </w:tc>
        <w:tc>
          <w:tcPr>
            <w:tcW w:w="5669" w:type="dxa"/>
          </w:tcPr>
          <w:p w:rsidR="00282856" w:rsidRPr="00282856" w:rsidRDefault="00282856" w:rsidP="00282856">
            <w:pPr>
              <w:rPr>
                <w:rFonts w:cs="Frankruhel"/>
                <w:rtl/>
              </w:rPr>
            </w:pPr>
            <w:r>
              <w:rPr>
                <w:rtl/>
              </w:rPr>
              <w:t>דיווח בדבר פעילות במטבע</w:t>
            </w:r>
          </w:p>
        </w:tc>
        <w:tc>
          <w:tcPr>
            <w:tcW w:w="567" w:type="dxa"/>
          </w:tcPr>
          <w:p w:rsidR="00282856" w:rsidRPr="00282856" w:rsidRDefault="00282856" w:rsidP="00282856">
            <w:pPr>
              <w:rPr>
                <w:rStyle w:val="Hyperlink"/>
                <w:rtl/>
              </w:rPr>
            </w:pPr>
            <w:hyperlink w:anchor="Seif8" w:tooltip="דיווח בדבר פעילות במטבע"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9 </w:t>
            </w:r>
          </w:p>
        </w:tc>
        <w:tc>
          <w:tcPr>
            <w:tcW w:w="5669" w:type="dxa"/>
          </w:tcPr>
          <w:p w:rsidR="00282856" w:rsidRPr="00282856" w:rsidRDefault="00282856" w:rsidP="00282856">
            <w:pPr>
              <w:rPr>
                <w:rFonts w:cs="Frankruhel"/>
                <w:rtl/>
              </w:rPr>
            </w:pPr>
            <w:r>
              <w:rPr>
                <w:rtl/>
              </w:rPr>
              <w:t>תמהיל מטבע במכונה אוטומטית לביצוע פעולות במטבע</w:t>
            </w:r>
          </w:p>
        </w:tc>
        <w:tc>
          <w:tcPr>
            <w:tcW w:w="567" w:type="dxa"/>
          </w:tcPr>
          <w:p w:rsidR="00282856" w:rsidRPr="00282856" w:rsidRDefault="00282856" w:rsidP="00282856">
            <w:pPr>
              <w:rPr>
                <w:rStyle w:val="Hyperlink"/>
                <w:rtl/>
              </w:rPr>
            </w:pPr>
            <w:hyperlink w:anchor="Seif9" w:tooltip="תמהיל מטבע במכונה אוטומטית לביצוע פעולות במטבע"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10 </w:t>
            </w:r>
          </w:p>
        </w:tc>
        <w:tc>
          <w:tcPr>
            <w:tcW w:w="5669" w:type="dxa"/>
          </w:tcPr>
          <w:p w:rsidR="00282856" w:rsidRPr="00282856" w:rsidRDefault="00282856" w:rsidP="00282856">
            <w:pPr>
              <w:rPr>
                <w:rFonts w:cs="Frankruhel"/>
                <w:rtl/>
              </w:rPr>
            </w:pPr>
            <w:r>
              <w:rPr>
                <w:rtl/>
              </w:rPr>
              <w:t>פעולות מיוחדות</w:t>
            </w:r>
          </w:p>
        </w:tc>
        <w:tc>
          <w:tcPr>
            <w:tcW w:w="567" w:type="dxa"/>
          </w:tcPr>
          <w:p w:rsidR="00282856" w:rsidRPr="00282856" w:rsidRDefault="00282856" w:rsidP="00282856">
            <w:pPr>
              <w:rPr>
                <w:rStyle w:val="Hyperlink"/>
                <w:rtl/>
              </w:rPr>
            </w:pPr>
            <w:hyperlink w:anchor="Seif10" w:tooltip="פעולות מיוחדות"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11 </w:t>
            </w:r>
          </w:p>
        </w:tc>
        <w:tc>
          <w:tcPr>
            <w:tcW w:w="5669" w:type="dxa"/>
          </w:tcPr>
          <w:p w:rsidR="00282856" w:rsidRPr="00282856" w:rsidRDefault="00282856" w:rsidP="00282856">
            <w:pPr>
              <w:rPr>
                <w:rFonts w:cs="Frankruhel"/>
                <w:rtl/>
              </w:rPr>
            </w:pPr>
            <w:r>
              <w:rPr>
                <w:rtl/>
              </w:rPr>
              <w:t>בקרה</w:t>
            </w:r>
          </w:p>
        </w:tc>
        <w:tc>
          <w:tcPr>
            <w:tcW w:w="567" w:type="dxa"/>
          </w:tcPr>
          <w:p w:rsidR="00282856" w:rsidRPr="00282856" w:rsidRDefault="00282856" w:rsidP="00282856">
            <w:pPr>
              <w:rPr>
                <w:rStyle w:val="Hyperlink"/>
                <w:rtl/>
              </w:rPr>
            </w:pPr>
            <w:hyperlink w:anchor="Seif11" w:tooltip="בקרה"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12 </w:t>
            </w:r>
          </w:p>
        </w:tc>
        <w:tc>
          <w:tcPr>
            <w:tcW w:w="5669" w:type="dxa"/>
          </w:tcPr>
          <w:p w:rsidR="00282856" w:rsidRPr="00282856" w:rsidRDefault="00282856" w:rsidP="00282856">
            <w:pPr>
              <w:rPr>
                <w:rFonts w:cs="Frankruhel"/>
                <w:rtl/>
              </w:rPr>
            </w:pPr>
            <w:r>
              <w:rPr>
                <w:rtl/>
              </w:rPr>
              <w:t>הפרות</w:t>
            </w:r>
          </w:p>
        </w:tc>
        <w:tc>
          <w:tcPr>
            <w:tcW w:w="567" w:type="dxa"/>
          </w:tcPr>
          <w:p w:rsidR="00282856" w:rsidRPr="00282856" w:rsidRDefault="00282856" w:rsidP="00282856">
            <w:pPr>
              <w:rPr>
                <w:rStyle w:val="Hyperlink"/>
                <w:rtl/>
              </w:rPr>
            </w:pPr>
            <w:hyperlink w:anchor="Seif12" w:tooltip="הפרות"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r>
              <w:rPr>
                <w:rtl/>
              </w:rPr>
              <w:t xml:space="preserve">סעיף 13 </w:t>
            </w:r>
          </w:p>
        </w:tc>
        <w:tc>
          <w:tcPr>
            <w:tcW w:w="5669" w:type="dxa"/>
          </w:tcPr>
          <w:p w:rsidR="00282856" w:rsidRPr="00282856" w:rsidRDefault="00282856" w:rsidP="00282856">
            <w:pPr>
              <w:rPr>
                <w:rFonts w:cs="Frankruhel"/>
                <w:rtl/>
              </w:rPr>
            </w:pPr>
            <w:r>
              <w:rPr>
                <w:rtl/>
              </w:rPr>
              <w:t>תחילה</w:t>
            </w:r>
          </w:p>
        </w:tc>
        <w:tc>
          <w:tcPr>
            <w:tcW w:w="567" w:type="dxa"/>
          </w:tcPr>
          <w:p w:rsidR="00282856" w:rsidRPr="00282856" w:rsidRDefault="00282856" w:rsidP="00282856">
            <w:pPr>
              <w:rPr>
                <w:rStyle w:val="Hyperlink"/>
                <w:rtl/>
              </w:rPr>
            </w:pPr>
            <w:hyperlink w:anchor="Seif13" w:tooltip="תחילה"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p>
        </w:tc>
        <w:tc>
          <w:tcPr>
            <w:tcW w:w="5669" w:type="dxa"/>
          </w:tcPr>
          <w:p w:rsidR="00282856" w:rsidRPr="00282856" w:rsidRDefault="00282856" w:rsidP="00282856">
            <w:pPr>
              <w:rPr>
                <w:rFonts w:cs="Frankruhel"/>
                <w:rtl/>
              </w:rPr>
            </w:pPr>
            <w:r>
              <w:rPr>
                <w:rtl/>
              </w:rPr>
              <w:t>תוספת ראשונה</w:t>
            </w:r>
          </w:p>
        </w:tc>
        <w:tc>
          <w:tcPr>
            <w:tcW w:w="567" w:type="dxa"/>
          </w:tcPr>
          <w:p w:rsidR="00282856" w:rsidRPr="00282856" w:rsidRDefault="00282856" w:rsidP="00282856">
            <w:pPr>
              <w:rPr>
                <w:rStyle w:val="Hyperlink"/>
                <w:rtl/>
              </w:rPr>
            </w:pPr>
            <w:hyperlink w:anchor="med0" w:tooltip="תוספת ראשונה"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med0</w:instrText>
            </w:r>
            <w:r>
              <w:rPr>
                <w:rtl/>
              </w:rPr>
              <w:instrText xml:space="preserve"> </w:instrText>
            </w:r>
            <w:r>
              <w:rPr>
                <w:rFonts w:cs="Frankruhel"/>
                <w:rtl/>
              </w:rPr>
              <w:fldChar w:fldCharType="separate"/>
            </w:r>
            <w:r>
              <w:rPr>
                <w:noProof/>
                <w:rtl/>
              </w:rPr>
              <w:t>4</w:t>
            </w:r>
            <w:r>
              <w:rPr>
                <w:rFonts w:cs="Frankruhel"/>
                <w:rtl/>
              </w:rPr>
              <w:fldChar w:fldCharType="end"/>
            </w:r>
          </w:p>
        </w:tc>
      </w:tr>
      <w:tr w:rsidR="00282856" w:rsidRPr="00282856" w:rsidTr="00282856">
        <w:tblPrEx>
          <w:tblCellMar>
            <w:top w:w="0" w:type="dxa"/>
            <w:bottom w:w="0" w:type="dxa"/>
          </w:tblCellMar>
        </w:tblPrEx>
        <w:tc>
          <w:tcPr>
            <w:tcW w:w="1247" w:type="dxa"/>
          </w:tcPr>
          <w:p w:rsidR="00282856" w:rsidRPr="00282856" w:rsidRDefault="00282856" w:rsidP="00282856">
            <w:pPr>
              <w:rPr>
                <w:rFonts w:cs="Frankruhel"/>
                <w:rtl/>
              </w:rPr>
            </w:pPr>
          </w:p>
        </w:tc>
        <w:tc>
          <w:tcPr>
            <w:tcW w:w="5669" w:type="dxa"/>
          </w:tcPr>
          <w:p w:rsidR="00282856" w:rsidRPr="00282856" w:rsidRDefault="00282856" w:rsidP="00282856">
            <w:pPr>
              <w:rPr>
                <w:rFonts w:cs="Frankruhel"/>
                <w:rtl/>
              </w:rPr>
            </w:pPr>
            <w:r>
              <w:rPr>
                <w:rtl/>
              </w:rPr>
              <w:t>תוספת שנייה</w:t>
            </w:r>
          </w:p>
        </w:tc>
        <w:tc>
          <w:tcPr>
            <w:tcW w:w="567" w:type="dxa"/>
          </w:tcPr>
          <w:p w:rsidR="00282856" w:rsidRPr="00282856" w:rsidRDefault="00282856" w:rsidP="00282856">
            <w:pPr>
              <w:rPr>
                <w:rStyle w:val="Hyperlink"/>
                <w:rtl/>
              </w:rPr>
            </w:pPr>
            <w:hyperlink w:anchor="med1" w:tooltip="תוספת שנייה" w:history="1">
              <w:r w:rsidRPr="00282856">
                <w:rPr>
                  <w:rStyle w:val="Hyperlink"/>
                </w:rPr>
                <w:t>Go</w:t>
              </w:r>
            </w:hyperlink>
          </w:p>
        </w:tc>
        <w:tc>
          <w:tcPr>
            <w:tcW w:w="850" w:type="dxa"/>
          </w:tcPr>
          <w:p w:rsidR="00282856" w:rsidRPr="00282856" w:rsidRDefault="00282856" w:rsidP="00282856">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med1</w:instrText>
            </w:r>
            <w:r>
              <w:rPr>
                <w:rtl/>
              </w:rPr>
              <w:instrText xml:space="preserve"> </w:instrText>
            </w:r>
            <w:r>
              <w:rPr>
                <w:rFonts w:cs="Frankruhel"/>
                <w:rtl/>
              </w:rPr>
              <w:fldChar w:fldCharType="separate"/>
            </w:r>
            <w:r>
              <w:rPr>
                <w:noProof/>
                <w:rtl/>
              </w:rPr>
              <w:t>5</w:t>
            </w:r>
            <w:r>
              <w:rPr>
                <w:rFonts w:cs="Frankruhel"/>
                <w:rtl/>
              </w:rPr>
              <w:fldChar w:fldCharType="end"/>
            </w:r>
          </w:p>
        </w:tc>
      </w:tr>
    </w:tbl>
    <w:p w:rsidR="00D25D5C" w:rsidRDefault="00D25D5C" w:rsidP="00C66049">
      <w:pPr>
        <w:pStyle w:val="big-header"/>
        <w:ind w:left="0" w:right="1134"/>
        <w:rPr>
          <w:rStyle w:val="default"/>
          <w:rFonts w:hint="cs"/>
          <w:sz w:val="22"/>
          <w:szCs w:val="22"/>
          <w:rtl/>
        </w:rPr>
      </w:pPr>
      <w:r>
        <w:rPr>
          <w:rFonts w:cs="FrankRuehl"/>
          <w:sz w:val="32"/>
          <w:rtl/>
        </w:rPr>
        <w:br w:type="page"/>
      </w:r>
      <w:r w:rsidR="00C66049">
        <w:rPr>
          <w:rFonts w:cs="FrankRuehl" w:hint="cs"/>
          <w:sz w:val="32"/>
          <w:rtl/>
        </w:rPr>
        <w:lastRenderedPageBreak/>
        <w:t>כללי בנק ישראל (כללים להפעלה סדירה של מערכת המטבע), תשע"ז-2017</w:t>
      </w:r>
      <w:r>
        <w:rPr>
          <w:rStyle w:val="default"/>
          <w:sz w:val="22"/>
          <w:szCs w:val="22"/>
          <w:rtl/>
        </w:rPr>
        <w:footnoteReference w:customMarkFollows="1" w:id="1"/>
        <w:t>*</w:t>
      </w:r>
    </w:p>
    <w:p w:rsidR="008C2526" w:rsidRDefault="008C2526" w:rsidP="00C66049">
      <w:pPr>
        <w:pStyle w:val="P00"/>
        <w:spacing w:before="72"/>
        <w:ind w:left="0" w:right="1134"/>
        <w:rPr>
          <w:rStyle w:val="default"/>
          <w:rFonts w:cs="FrankRuehl" w:hint="cs"/>
          <w:rtl/>
        </w:rPr>
      </w:pPr>
      <w:r>
        <w:rPr>
          <w:rStyle w:val="default"/>
          <w:rFonts w:cs="FrankRuehl" w:hint="cs"/>
          <w:rtl/>
        </w:rPr>
        <w:tab/>
        <w:t xml:space="preserve">בתוקף </w:t>
      </w:r>
      <w:r w:rsidR="001F7845">
        <w:rPr>
          <w:rStyle w:val="default"/>
          <w:rFonts w:cs="FrankRuehl" w:hint="cs"/>
          <w:rtl/>
        </w:rPr>
        <w:t>סמכותי לפי סעי</w:t>
      </w:r>
      <w:r w:rsidR="00C66049">
        <w:rPr>
          <w:rStyle w:val="default"/>
          <w:rFonts w:cs="FrankRuehl" w:hint="cs"/>
          <w:rtl/>
        </w:rPr>
        <w:t>פים</w:t>
      </w:r>
      <w:r w:rsidR="001F7845">
        <w:rPr>
          <w:rStyle w:val="default"/>
          <w:rFonts w:cs="FrankRuehl" w:hint="cs"/>
          <w:rtl/>
        </w:rPr>
        <w:t xml:space="preserve"> </w:t>
      </w:r>
      <w:r w:rsidR="00C66049">
        <w:rPr>
          <w:rStyle w:val="default"/>
          <w:rFonts w:cs="FrankRuehl" w:hint="cs"/>
          <w:rtl/>
        </w:rPr>
        <w:t>46 ו-47</w:t>
      </w:r>
      <w:r w:rsidR="001F7845">
        <w:rPr>
          <w:rStyle w:val="default"/>
          <w:rFonts w:cs="FrankRuehl" w:hint="cs"/>
          <w:rtl/>
        </w:rPr>
        <w:t xml:space="preserve"> לחוק בנק ישראל, התש"ע-2010 (להלן </w:t>
      </w:r>
      <w:r w:rsidR="001F7845">
        <w:rPr>
          <w:rStyle w:val="default"/>
          <w:rFonts w:cs="FrankRuehl"/>
          <w:rtl/>
        </w:rPr>
        <w:t>–</w:t>
      </w:r>
      <w:r w:rsidR="001F7845">
        <w:rPr>
          <w:rStyle w:val="default"/>
          <w:rFonts w:cs="FrankRuehl" w:hint="cs"/>
          <w:rtl/>
        </w:rPr>
        <w:t xml:space="preserve"> החוק), </w:t>
      </w:r>
      <w:r w:rsidR="00C66049">
        <w:rPr>
          <w:rStyle w:val="default"/>
          <w:rFonts w:cs="FrankRuehl" w:hint="cs"/>
          <w:rtl/>
        </w:rPr>
        <w:t xml:space="preserve">ובאישור המועצה המינהלית כמשמעותה בסימן ב' לפרק ד' לחוק, </w:t>
      </w:r>
      <w:r w:rsidR="001F7845">
        <w:rPr>
          <w:rStyle w:val="default"/>
          <w:rFonts w:cs="FrankRuehl" w:hint="cs"/>
          <w:rtl/>
        </w:rPr>
        <w:t>אני קובע</w:t>
      </w:r>
      <w:r w:rsidR="00C66049">
        <w:rPr>
          <w:rStyle w:val="default"/>
          <w:rFonts w:cs="FrankRuehl" w:hint="cs"/>
          <w:rtl/>
        </w:rPr>
        <w:t>ת</w:t>
      </w:r>
      <w:r w:rsidR="001F7845">
        <w:rPr>
          <w:rStyle w:val="default"/>
          <w:rFonts w:cs="FrankRuehl" w:hint="cs"/>
          <w:rtl/>
        </w:rPr>
        <w:t xml:space="preserve"> כללים אלה</w:t>
      </w:r>
      <w:r>
        <w:rPr>
          <w:rStyle w:val="default"/>
          <w:rFonts w:cs="FrankRuehl" w:hint="cs"/>
          <w:rtl/>
        </w:rPr>
        <w:t>:</w:t>
      </w:r>
    </w:p>
    <w:p w:rsidR="0075069C" w:rsidRDefault="00D25D5C" w:rsidP="00AE77CF">
      <w:pPr>
        <w:pStyle w:val="P00"/>
        <w:spacing w:before="72"/>
        <w:ind w:left="0" w:right="1134"/>
        <w:rPr>
          <w:rStyle w:val="default"/>
          <w:rFonts w:cs="FrankRuehl" w:hint="cs"/>
          <w:rtl/>
        </w:rPr>
      </w:pPr>
      <w:bookmarkStart w:id="0" w:name="Seif1"/>
      <w:bookmarkEnd w:id="0"/>
      <w:r>
        <w:rPr>
          <w:rFonts w:cs="Miriam"/>
          <w:lang w:val="he-IL"/>
        </w:rPr>
        <w:pict>
          <v:rect id="_x0000_s1026" style="position:absolute;left:0;text-align:left;margin-left:464.5pt;margin-top:8.05pt;width:75.05pt;height:14pt;z-index:251651584" o:allowincell="f" filled="f" stroked="f" strokecolor="lime" strokeweight=".25pt">
            <v:textbox inset="0,0,0,0">
              <w:txbxContent>
                <w:p w:rsidR="0092091E" w:rsidRDefault="00AE77CF">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F7845">
        <w:rPr>
          <w:rStyle w:val="default"/>
          <w:rFonts w:cs="FrankRuehl" w:hint="cs"/>
          <w:rtl/>
        </w:rPr>
        <w:t>בכללים אלה</w:t>
      </w:r>
      <w:r w:rsidR="00AE77CF">
        <w:rPr>
          <w:rStyle w:val="default"/>
          <w:rFonts w:cs="FrankRuehl" w:hint="cs"/>
          <w:rtl/>
        </w:rPr>
        <w:t xml:space="preserve"> </w:t>
      </w:r>
      <w:r w:rsidR="00AE77CF">
        <w:rPr>
          <w:rStyle w:val="default"/>
          <w:rFonts w:cs="FrankRuehl"/>
          <w:rtl/>
        </w:rPr>
        <w:t>–</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"איכות ראויה" </w:t>
      </w:r>
      <w:r>
        <w:rPr>
          <w:rStyle w:val="default"/>
          <w:rFonts w:cs="FrankRuehl"/>
          <w:rtl/>
        </w:rPr>
        <w:t>–</w:t>
      </w:r>
      <w:r>
        <w:rPr>
          <w:rStyle w:val="default"/>
          <w:rFonts w:cs="FrankRuehl" w:hint="cs"/>
          <w:rtl/>
        </w:rPr>
        <w:t xml:space="preserve"> שטר הראוי למיחזור, שאינו נכלל באחת מאמות המידה המפורטות בתוספת הראשונה;</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"לקוח" </w:t>
      </w:r>
      <w:r>
        <w:rPr>
          <w:rStyle w:val="default"/>
          <w:rFonts w:cs="FrankRuehl"/>
          <w:rtl/>
        </w:rPr>
        <w:t>–</w:t>
      </w:r>
      <w:r>
        <w:rPr>
          <w:rStyle w:val="default"/>
          <w:rFonts w:cs="FrankRuehl" w:hint="cs"/>
          <w:rtl/>
        </w:rPr>
        <w:t xml:space="preserve"> מי מהציבור;</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w:t>
      </w:r>
      <w:r>
        <w:rPr>
          <w:rStyle w:val="default"/>
          <w:rFonts w:cs="FrankRuehl"/>
          <w:rtl/>
        </w:rPr>
        <w:t>–</w:t>
      </w:r>
      <w:r>
        <w:rPr>
          <w:rStyle w:val="default"/>
          <w:rFonts w:cs="FrankRuehl" w:hint="cs"/>
          <w:rtl/>
        </w:rPr>
        <w:t xml:space="preserve"> שטר או מעה שהנפיק הבנק למיחזור ומשמש הילך חוקי לפי החוק;</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דחוי" </w:t>
      </w:r>
      <w:r>
        <w:rPr>
          <w:rStyle w:val="default"/>
          <w:rFonts w:cs="FrankRuehl"/>
          <w:rtl/>
        </w:rPr>
        <w:t>–</w:t>
      </w:r>
      <w:r>
        <w:rPr>
          <w:rStyle w:val="default"/>
          <w:rFonts w:cs="FrankRuehl" w:hint="cs"/>
          <w:rtl/>
        </w:rPr>
        <w:t xml:space="preserve"> מטבע שמכונת ספירה דחתה או קופאי מיין כחשוד להיות מזויף;</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לא ראוי" </w:t>
      </w:r>
      <w:r>
        <w:rPr>
          <w:rStyle w:val="default"/>
          <w:rFonts w:cs="FrankRuehl"/>
          <w:rtl/>
        </w:rPr>
        <w:t>–</w:t>
      </w:r>
      <w:r>
        <w:rPr>
          <w:rStyle w:val="default"/>
          <w:rFonts w:cs="FrankRuehl" w:hint="cs"/>
          <w:rtl/>
        </w:rPr>
        <w:t xml:space="preserve"> מטבע ספור שמכונת ספירה או קופאי שספר לא מצאו שהוא מקורי ובאיכות ראויה;</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לא ספור" </w:t>
      </w:r>
      <w:r>
        <w:rPr>
          <w:rStyle w:val="default"/>
          <w:rFonts w:cs="FrankRuehl"/>
          <w:rtl/>
        </w:rPr>
        <w:t>–</w:t>
      </w:r>
      <w:r>
        <w:rPr>
          <w:rStyle w:val="default"/>
          <w:rFonts w:cs="FrankRuehl" w:hint="cs"/>
          <w:rtl/>
        </w:rPr>
        <w:t xml:space="preserve"> מטבע שטרם נספר במכונת ספירה או באופן ידני בידי קופאי;</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ראוי" </w:t>
      </w:r>
      <w:r>
        <w:rPr>
          <w:rStyle w:val="default"/>
          <w:rFonts w:cs="FrankRuehl"/>
          <w:rtl/>
        </w:rPr>
        <w:t>–</w:t>
      </w:r>
      <w:r>
        <w:rPr>
          <w:rStyle w:val="default"/>
          <w:rFonts w:cs="FrankRuehl" w:hint="cs"/>
          <w:rtl/>
        </w:rPr>
        <w:t xml:space="preserve"> מטבע שמכונת ספירה ספרה ומצאה שהוא מקורי ובאיכות ראויה;</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ראוי בנק ישראל" </w:t>
      </w:r>
      <w:r>
        <w:rPr>
          <w:rStyle w:val="default"/>
          <w:rFonts w:cs="FrankRuehl"/>
          <w:rtl/>
        </w:rPr>
        <w:t>–</w:t>
      </w:r>
      <w:r>
        <w:rPr>
          <w:rStyle w:val="default"/>
          <w:rFonts w:cs="FrankRuehl" w:hint="cs"/>
          <w:rtl/>
        </w:rPr>
        <w:t xml:space="preserve"> מטבע באריזתו המקורית מהמדפיס או מהמטבעה, או מטבע שנספר, מוין ונארז בבנק;</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"מטבע ראוי קופאי" </w:t>
      </w:r>
      <w:r>
        <w:rPr>
          <w:rStyle w:val="default"/>
          <w:rFonts w:cs="FrankRuehl"/>
          <w:rtl/>
        </w:rPr>
        <w:t>–</w:t>
      </w:r>
      <w:r>
        <w:rPr>
          <w:rStyle w:val="default"/>
          <w:rFonts w:cs="FrankRuehl" w:hint="cs"/>
          <w:rtl/>
        </w:rPr>
        <w:t xml:space="preserve"> מטבע בלא פגם או שינוי הנראים לעין, שקופאי ספר ומצא שהוא מקורי ובאיכות ראויה;</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"מיחזור" </w:t>
      </w:r>
      <w:r>
        <w:rPr>
          <w:rStyle w:val="default"/>
          <w:rFonts w:cs="FrankRuehl"/>
          <w:rtl/>
        </w:rPr>
        <w:t>–</w:t>
      </w:r>
      <w:r>
        <w:rPr>
          <w:rStyle w:val="default"/>
          <w:rFonts w:cs="FrankRuehl" w:hint="cs"/>
          <w:rtl/>
        </w:rPr>
        <w:t xml:space="preserve"> מסירת מטבע מתאגיד ללקוח, העברת מטבע של תאגיד בין סניפיו, העברת מטבע בין תאגידים, העברת מטבע בין מרכזי מזומנים;</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"מכונה אוטומטית לביצוע פעולות במטבע" </w:t>
      </w:r>
      <w:r>
        <w:rPr>
          <w:rStyle w:val="default"/>
          <w:rFonts w:cs="FrankRuehl"/>
          <w:rtl/>
        </w:rPr>
        <w:t>–</w:t>
      </w:r>
      <w:r>
        <w:rPr>
          <w:rStyle w:val="default"/>
          <w:rFonts w:cs="FrankRuehl" w:hint="cs"/>
          <w:rtl/>
        </w:rPr>
        <w:t xml:space="preserve"> מכונה אוטומטית המאפשרת ללקוח להפקיד או למשוך מטבע;</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"מכונת ספירה" </w:t>
      </w:r>
      <w:r>
        <w:rPr>
          <w:rStyle w:val="default"/>
          <w:rFonts w:cs="FrankRuehl"/>
          <w:rtl/>
        </w:rPr>
        <w:t>–</w:t>
      </w:r>
      <w:r>
        <w:rPr>
          <w:rStyle w:val="default"/>
          <w:rFonts w:cs="FrankRuehl" w:hint="cs"/>
          <w:rtl/>
        </w:rPr>
        <w:t xml:space="preserve"> מכונה לספירה ומיון של מטבע שאישר הבנק, לרבות מכונה אוטומטית לביצוע פעולות במטבע;</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"מרכז מזומנים" </w:t>
      </w:r>
      <w:r>
        <w:rPr>
          <w:rStyle w:val="default"/>
          <w:rFonts w:cs="FrankRuehl"/>
          <w:rtl/>
        </w:rPr>
        <w:t>–</w:t>
      </w:r>
      <w:r>
        <w:rPr>
          <w:rStyle w:val="default"/>
          <w:rFonts w:cs="FrankRuehl" w:hint="cs"/>
          <w:rtl/>
        </w:rPr>
        <w:t xml:space="preserve"> מקום שבו תאגיד סופר ומאחסן מטבע, בין השאר, לצורך ויסות מטבע בינו לבין תאגידים אחרים או בינו לבין לקוחותיו, ושקיבל את אישור הבנק להיות מרכז מזומנים;</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"ספירה" </w:t>
      </w:r>
      <w:r>
        <w:rPr>
          <w:rStyle w:val="default"/>
          <w:rFonts w:cs="FrankRuehl"/>
          <w:rtl/>
        </w:rPr>
        <w:t>–</w:t>
      </w:r>
      <w:r>
        <w:rPr>
          <w:rStyle w:val="default"/>
          <w:rFonts w:cs="FrankRuehl" w:hint="cs"/>
          <w:rtl/>
        </w:rPr>
        <w:t xml:space="preserve"> ספירה כמותית של מטבע שבמהלכה נבדקת מקוריות המטבע ואיכותו;</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"סניף" </w:t>
      </w:r>
      <w:r>
        <w:rPr>
          <w:rStyle w:val="default"/>
          <w:rFonts w:cs="FrankRuehl"/>
          <w:rtl/>
        </w:rPr>
        <w:t>–</w:t>
      </w:r>
      <w:r>
        <w:rPr>
          <w:rStyle w:val="default"/>
          <w:rFonts w:cs="FrankRuehl" w:hint="cs"/>
          <w:rtl/>
        </w:rPr>
        <w:t xml:space="preserve"> כהגדרתו בחוק הבנקאות (רישוי), התשמ"א-1981 (להלן </w:t>
      </w:r>
      <w:r>
        <w:rPr>
          <w:rStyle w:val="default"/>
          <w:rFonts w:cs="FrankRuehl"/>
          <w:rtl/>
        </w:rPr>
        <w:t>–</w:t>
      </w:r>
      <w:r>
        <w:rPr>
          <w:rStyle w:val="default"/>
          <w:rFonts w:cs="FrankRuehl" w:hint="cs"/>
          <w:rtl/>
        </w:rPr>
        <w:t xml:space="preserve"> חוק הבנקאות (רישוי));</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"עריך" </w:t>
      </w:r>
      <w:r>
        <w:rPr>
          <w:rStyle w:val="default"/>
          <w:rFonts w:cs="FrankRuehl"/>
          <w:rtl/>
        </w:rPr>
        <w:t>–</w:t>
      </w:r>
      <w:r>
        <w:rPr>
          <w:rStyle w:val="default"/>
          <w:rFonts w:cs="FrankRuehl" w:hint="cs"/>
          <w:rtl/>
        </w:rPr>
        <w:t xml:space="preserve"> הערך הנקוב של מטבע;</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"קופאי" </w:t>
      </w:r>
      <w:r>
        <w:rPr>
          <w:rStyle w:val="default"/>
          <w:rFonts w:cs="FrankRuehl"/>
          <w:rtl/>
        </w:rPr>
        <w:t>–</w:t>
      </w:r>
      <w:r>
        <w:rPr>
          <w:rStyle w:val="default"/>
          <w:rFonts w:cs="FrankRuehl" w:hint="cs"/>
          <w:rtl/>
        </w:rPr>
        <w:t xml:space="preserve"> עובד בסניף המבצע פעולות של קבלה, ספירה או מסירה של מטבע, ושעבר הכשרה מתאימה לכך;</w:t>
      </w:r>
    </w:p>
    <w:p w:rsidR="00AE77CF" w:rsidRDefault="00AE77CF" w:rsidP="00AE77CF">
      <w:pPr>
        <w:pStyle w:val="P00"/>
        <w:spacing w:before="72"/>
        <w:ind w:left="0" w:right="1134"/>
        <w:rPr>
          <w:rStyle w:val="default"/>
          <w:rFonts w:cs="FrankRuehl" w:hint="cs"/>
          <w:rtl/>
        </w:rPr>
      </w:pPr>
      <w:r>
        <w:rPr>
          <w:rStyle w:val="default"/>
          <w:rFonts w:cs="FrankRuehl" w:hint="cs"/>
          <w:rtl/>
        </w:rPr>
        <w:tab/>
        <w:t xml:space="preserve">"תאגיד", "תאגיד בנקאי", "תאגיד עזר" ו"חברת הדואר" </w:t>
      </w:r>
      <w:r>
        <w:rPr>
          <w:rStyle w:val="default"/>
          <w:rFonts w:cs="FrankRuehl"/>
          <w:rtl/>
        </w:rPr>
        <w:t>–</w:t>
      </w:r>
      <w:r>
        <w:rPr>
          <w:rStyle w:val="default"/>
          <w:rFonts w:cs="FrankRuehl" w:hint="cs"/>
          <w:rtl/>
        </w:rPr>
        <w:t xml:space="preserve"> כהגדרתם בחוק הבנקאות (רישוי).</w:t>
      </w:r>
    </w:p>
    <w:p w:rsidR="0087478D" w:rsidRDefault="0087478D" w:rsidP="00AE77CF">
      <w:pPr>
        <w:pStyle w:val="P00"/>
        <w:spacing w:before="72"/>
        <w:ind w:left="0" w:right="1134"/>
        <w:rPr>
          <w:rStyle w:val="default"/>
          <w:rFonts w:cs="FrankRuehl" w:hint="cs"/>
          <w:rtl/>
        </w:rPr>
      </w:pPr>
      <w:bookmarkStart w:id="1" w:name="Seif2"/>
      <w:bookmarkEnd w:id="1"/>
      <w:r>
        <w:rPr>
          <w:rFonts w:cs="Miriam"/>
          <w:lang w:val="he-IL"/>
        </w:rPr>
        <w:pict>
          <v:rect id="_x0000_s1103" style="position:absolute;left:0;text-align:left;margin-left:464.5pt;margin-top:8.05pt;width:75.05pt;height:11.65pt;z-index:251652608" o:allowincell="f" filled="f" stroked="f" strokecolor="lime" strokeweight=".25pt">
            <v:textbox inset="0,0,0,0">
              <w:txbxContent>
                <w:p w:rsidR="0092091E" w:rsidRDefault="00AE77CF" w:rsidP="0087478D">
                  <w:pPr>
                    <w:spacing w:line="160" w:lineRule="exact"/>
                    <w:rPr>
                      <w:rFonts w:cs="Miriam" w:hint="cs"/>
                      <w:noProof/>
                      <w:sz w:val="18"/>
                      <w:szCs w:val="18"/>
                      <w:rtl/>
                    </w:rPr>
                  </w:pPr>
                  <w:r>
                    <w:rPr>
                      <w:rFonts w:cs="Miriam" w:hint="cs"/>
                      <w:sz w:val="18"/>
                      <w:szCs w:val="18"/>
                      <w:rtl/>
                    </w:rPr>
                    <w:t>הפעלת מרכז מזומנים</w:t>
                  </w:r>
                </w:p>
              </w:txbxContent>
            </v:textbox>
            <w10:anchorlock/>
          </v:rect>
        </w:pict>
      </w:r>
      <w:r w:rsidR="00691519">
        <w:rPr>
          <w:rStyle w:val="big-number"/>
          <w:rFonts w:cs="Miriam" w:hint="cs"/>
          <w:rtl/>
        </w:rPr>
        <w:t>2</w:t>
      </w:r>
      <w:r>
        <w:rPr>
          <w:rStyle w:val="big-number"/>
          <w:rFonts w:cs="FrankRuehl"/>
          <w:sz w:val="26"/>
          <w:szCs w:val="26"/>
          <w:rtl/>
        </w:rPr>
        <w:t>.</w:t>
      </w:r>
      <w:r>
        <w:rPr>
          <w:rStyle w:val="big-number"/>
          <w:rFonts w:cs="FrankRuehl"/>
          <w:sz w:val="26"/>
          <w:szCs w:val="26"/>
          <w:rtl/>
        </w:rPr>
        <w:tab/>
      </w:r>
      <w:r w:rsidR="00AE77CF">
        <w:rPr>
          <w:rStyle w:val="default"/>
          <w:rFonts w:cs="FrankRuehl" w:hint="cs"/>
          <w:rtl/>
        </w:rPr>
        <w:t>(א)</w:t>
      </w:r>
      <w:r w:rsidR="00AE77CF">
        <w:rPr>
          <w:rStyle w:val="default"/>
          <w:rFonts w:cs="FrankRuehl" w:hint="cs"/>
          <w:rtl/>
        </w:rPr>
        <w:tab/>
        <w:t>תאגיד יפעיל מרכז מזומנים אחד לפחות; הבנק רשאי לאשר לתאגיד הפעלת מרכז מזומנים באמצעות אחר, ולהתנות אישור כאמור בתנאים שיבטיחו הפעלה סדירה של מערכת המטבע</w:t>
      </w:r>
      <w:r w:rsidR="003B7A18">
        <w:rPr>
          <w:rStyle w:val="default"/>
          <w:rFonts w:cs="FrankRuehl" w:hint="cs"/>
          <w:rtl/>
        </w:rPr>
        <w:t>.</w:t>
      </w:r>
    </w:p>
    <w:p w:rsidR="00AE77CF" w:rsidRDefault="00AE77CF" w:rsidP="00AE77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רשאי לאשר הפעלה של מרכז מזומנים נוסף לתאגיד, וישקול בין השאר, שיקולים של יעילות ופריסה גאוגרפית.</w:t>
      </w:r>
    </w:p>
    <w:p w:rsidR="0087478D" w:rsidRDefault="0087478D" w:rsidP="00AE77CF">
      <w:pPr>
        <w:pStyle w:val="P00"/>
        <w:spacing w:before="72"/>
        <w:ind w:left="0" w:right="1134"/>
        <w:rPr>
          <w:rStyle w:val="default"/>
          <w:rFonts w:cs="FrankRuehl" w:hint="cs"/>
          <w:rtl/>
        </w:rPr>
      </w:pPr>
      <w:bookmarkStart w:id="2" w:name="Seif3"/>
      <w:bookmarkEnd w:id="2"/>
      <w:r>
        <w:rPr>
          <w:rFonts w:cs="Miriam"/>
          <w:lang w:val="he-IL"/>
        </w:rPr>
        <w:pict>
          <v:rect id="_x0000_s1104" style="position:absolute;left:0;text-align:left;margin-left:464.5pt;margin-top:8.05pt;width:75.05pt;height:23.95pt;z-index:251653632" o:allowincell="f" filled="f" stroked="f" strokecolor="lime" strokeweight=".25pt">
            <v:textbox inset="0,0,0,0">
              <w:txbxContent>
                <w:p w:rsidR="0092091E" w:rsidRDefault="00AE77CF" w:rsidP="0087478D">
                  <w:pPr>
                    <w:spacing w:line="160" w:lineRule="exact"/>
                    <w:rPr>
                      <w:rFonts w:cs="Miriam" w:hint="cs"/>
                      <w:noProof/>
                      <w:sz w:val="18"/>
                      <w:szCs w:val="18"/>
                      <w:rtl/>
                    </w:rPr>
                  </w:pPr>
                  <w:r>
                    <w:rPr>
                      <w:rFonts w:cs="Miriam" w:hint="cs"/>
                      <w:sz w:val="18"/>
                      <w:szCs w:val="18"/>
                      <w:rtl/>
                    </w:rPr>
                    <w:t>הסדרת פעילות מטבע בתאגיד</w:t>
                  </w:r>
                </w:p>
              </w:txbxContent>
            </v:textbox>
            <w10:anchorlock/>
          </v:rect>
        </w:pict>
      </w:r>
      <w:r w:rsidR="00691519">
        <w:rPr>
          <w:rStyle w:val="big-number"/>
          <w:rFonts w:cs="Miriam" w:hint="cs"/>
          <w:rtl/>
        </w:rPr>
        <w:t>3</w:t>
      </w:r>
      <w:r>
        <w:rPr>
          <w:rStyle w:val="big-number"/>
          <w:rFonts w:cs="FrankRuehl"/>
          <w:sz w:val="26"/>
          <w:szCs w:val="26"/>
          <w:rtl/>
        </w:rPr>
        <w:t>.</w:t>
      </w:r>
      <w:r>
        <w:rPr>
          <w:rStyle w:val="big-number"/>
          <w:rFonts w:cs="FrankRuehl"/>
          <w:sz w:val="26"/>
          <w:szCs w:val="26"/>
          <w:rtl/>
        </w:rPr>
        <w:tab/>
      </w:r>
      <w:r w:rsidR="00AE77CF">
        <w:rPr>
          <w:rStyle w:val="default"/>
          <w:rFonts w:cs="FrankRuehl" w:hint="cs"/>
          <w:rtl/>
        </w:rPr>
        <w:t>(א)</w:t>
      </w:r>
      <w:r w:rsidR="00AE77CF">
        <w:rPr>
          <w:rStyle w:val="default"/>
          <w:rFonts w:cs="FrankRuehl" w:hint="cs"/>
          <w:rtl/>
        </w:rPr>
        <w:tab/>
        <w:t xml:space="preserve">תאגיד יחליט על נוהלי עבודה להפקדה, משיכה ומיחזור מטבע, לרבות לתפעול מרכז המזומנים, וכן להתנהלותו מול הבנק; הבנק רשאי לדרוש תיקון או שינוי בנוהלי העבודה של </w:t>
      </w:r>
      <w:r w:rsidR="00AE77CF">
        <w:rPr>
          <w:rStyle w:val="default"/>
          <w:rFonts w:cs="FrankRuehl" w:hint="cs"/>
          <w:rtl/>
        </w:rPr>
        <w:lastRenderedPageBreak/>
        <w:t>התאגיד, לפי שיקול דעתו, לרבות אישור האמצעים לתפעול מטבע והכול כדי להבטיח הפעלה סדירה של מערכת המטבע בשגרה ובחירום</w:t>
      </w:r>
      <w:r w:rsidR="003B7A18">
        <w:rPr>
          <w:rStyle w:val="default"/>
          <w:rFonts w:cs="FrankRuehl" w:hint="cs"/>
          <w:rtl/>
        </w:rPr>
        <w:t>.</w:t>
      </w:r>
    </w:p>
    <w:p w:rsidR="00AE77CF" w:rsidRDefault="00AE77CF" w:rsidP="00AE77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יכין תכנית בקרה פנימית על פעילות מרכז המזומנים שהוא מפעיל ועל קיום הנהלים, ויבצע ביקורות בתדירות של פעמיים בשנה לכל הפחות באמצעות המבקר הפנימי של התאגיד, ואחת לשנה לכל הפחות באמצעות רואה חשבון חיצוני.</w:t>
      </w:r>
    </w:p>
    <w:p w:rsidR="00591AD8" w:rsidRDefault="00591AD8" w:rsidP="00AE77CF">
      <w:pPr>
        <w:pStyle w:val="P00"/>
        <w:spacing w:before="72"/>
        <w:ind w:left="0" w:right="1134"/>
        <w:rPr>
          <w:rStyle w:val="default"/>
          <w:rFonts w:cs="FrankRuehl" w:hint="cs"/>
          <w:rtl/>
        </w:rPr>
      </w:pPr>
      <w:bookmarkStart w:id="3" w:name="Seif4"/>
      <w:bookmarkEnd w:id="3"/>
      <w:r>
        <w:rPr>
          <w:rFonts w:cs="Miriam"/>
          <w:lang w:val="he-IL"/>
        </w:rPr>
        <w:pict>
          <v:rect id="_x0000_s1105" style="position:absolute;left:0;text-align:left;margin-left:464.5pt;margin-top:8.05pt;width:75.05pt;height:24.75pt;z-index:251654656" o:allowincell="f" filled="f" stroked="f" strokecolor="lime" strokeweight=".25pt">
            <v:textbox inset="0,0,0,0">
              <w:txbxContent>
                <w:p w:rsidR="0092091E" w:rsidRDefault="00AE77CF" w:rsidP="00591AD8">
                  <w:pPr>
                    <w:spacing w:line="160" w:lineRule="exact"/>
                    <w:rPr>
                      <w:rFonts w:cs="Miriam" w:hint="cs"/>
                      <w:noProof/>
                      <w:sz w:val="18"/>
                      <w:szCs w:val="18"/>
                      <w:rtl/>
                    </w:rPr>
                  </w:pPr>
                  <w:r>
                    <w:rPr>
                      <w:rFonts w:cs="Miriam" w:hint="cs"/>
                      <w:sz w:val="18"/>
                      <w:szCs w:val="18"/>
                      <w:rtl/>
                    </w:rPr>
                    <w:t>הבטחת מקוריות ואיכות מטבע בתאגיד</w:t>
                  </w:r>
                </w:p>
              </w:txbxContent>
            </v:textbox>
            <w10:anchorlock/>
          </v:rect>
        </w:pict>
      </w:r>
      <w:r w:rsidR="003B7A18">
        <w:rPr>
          <w:rStyle w:val="big-number"/>
          <w:rFonts w:cs="Miriam" w:hint="cs"/>
          <w:rtl/>
        </w:rPr>
        <w:t>4</w:t>
      </w:r>
      <w:r>
        <w:rPr>
          <w:rStyle w:val="big-number"/>
          <w:rFonts w:cs="FrankRuehl"/>
          <w:sz w:val="26"/>
          <w:szCs w:val="26"/>
          <w:rtl/>
        </w:rPr>
        <w:t>.</w:t>
      </w:r>
      <w:r>
        <w:rPr>
          <w:rStyle w:val="big-number"/>
          <w:rFonts w:cs="FrankRuehl"/>
          <w:sz w:val="26"/>
          <w:szCs w:val="26"/>
          <w:rtl/>
        </w:rPr>
        <w:tab/>
      </w:r>
      <w:r w:rsidR="001F7845">
        <w:rPr>
          <w:rStyle w:val="default"/>
          <w:rFonts w:cs="FrankRuehl" w:hint="cs"/>
          <w:rtl/>
        </w:rPr>
        <w:t>(א)</w:t>
      </w:r>
      <w:r w:rsidR="001F7845">
        <w:rPr>
          <w:rStyle w:val="default"/>
          <w:rFonts w:cs="FrankRuehl" w:hint="cs"/>
          <w:rtl/>
        </w:rPr>
        <w:tab/>
      </w:r>
      <w:r w:rsidR="00AE77CF">
        <w:rPr>
          <w:rStyle w:val="default"/>
          <w:rFonts w:cs="FrankRuehl" w:hint="cs"/>
          <w:rtl/>
        </w:rPr>
        <w:t>תאגיד יספור וימיין מטבע, למעט מטבע ראוי בנק ישראל או מטבע ראוי, באמצעות מכונת ספירה או באופן ידני באמצעות קופאי; מטבע ראוי קופאי יימסר ללקוח רק בסניף שבו הופקד, נספר ומוין המטבע.</w:t>
      </w:r>
    </w:p>
    <w:p w:rsidR="00AE77CF" w:rsidRDefault="00AE77CF" w:rsidP="00AE77C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רשאי להורות לתאגיד להפעיל מכונת ספירה בכל סניף או אתר שלו, נוסף על מכונות הספירה שבמרכז המזומנים שהוא מפעיל.</w:t>
      </w:r>
    </w:p>
    <w:p w:rsidR="00AE77CF" w:rsidRDefault="00AE77CF" w:rsidP="00AE77C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תאגיד ידווח לבנק אחת לשישה חודשים, כי מכונת ספירה שהוא מפעיל במרכז מזומנים, בכל סניף או באתר שלו היא מדגם שאישר הבנק ועומדת בתנאים שעליהם הורה הבנק.</w:t>
      </w:r>
    </w:p>
    <w:p w:rsidR="00AE77CF" w:rsidRDefault="00AE77CF" w:rsidP="00AE77C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מטבע </w:t>
      </w:r>
      <w:r w:rsidR="00EB368B">
        <w:rPr>
          <w:rStyle w:val="default"/>
          <w:rFonts w:cs="FrankRuehl" w:hint="cs"/>
          <w:rtl/>
        </w:rPr>
        <w:t>שנספר באמצעות מכונת ספירה ימוין וייארז באופן שיסווג בין מטבע ראוי, מטבע לא ראוי או מטבע דחוי; מטבע שנספר באמצעות קופאי ימוין באופן שיסווג בין מטבע ראוי קופאי, למטבע לא ראוי או מטבע דחוי.</w:t>
      </w:r>
    </w:p>
    <w:p w:rsidR="00591AD8" w:rsidRDefault="00591AD8" w:rsidP="00EB368B">
      <w:pPr>
        <w:pStyle w:val="P00"/>
        <w:spacing w:before="72"/>
        <w:ind w:left="0" w:right="1134"/>
        <w:rPr>
          <w:rStyle w:val="default"/>
          <w:rFonts w:cs="FrankRuehl" w:hint="cs"/>
          <w:rtl/>
        </w:rPr>
      </w:pPr>
      <w:bookmarkStart w:id="4" w:name="Seif5"/>
      <w:bookmarkEnd w:id="4"/>
      <w:r>
        <w:rPr>
          <w:rFonts w:cs="Miriam"/>
          <w:lang w:val="he-IL"/>
        </w:rPr>
        <w:pict>
          <v:rect id="_x0000_s1106" style="position:absolute;left:0;text-align:left;margin-left:464.5pt;margin-top:8.05pt;width:75.05pt;height:12.05pt;z-index:251655680" o:allowincell="f" filled="f" stroked="f" strokecolor="lime" strokeweight=".25pt">
            <v:textbox inset="0,0,0,0">
              <w:txbxContent>
                <w:p w:rsidR="0092091E" w:rsidRDefault="00EB368B" w:rsidP="00591AD8">
                  <w:pPr>
                    <w:spacing w:line="160" w:lineRule="exact"/>
                    <w:rPr>
                      <w:rFonts w:cs="Miriam" w:hint="cs"/>
                      <w:noProof/>
                      <w:sz w:val="18"/>
                      <w:szCs w:val="18"/>
                      <w:rtl/>
                    </w:rPr>
                  </w:pPr>
                  <w:r>
                    <w:rPr>
                      <w:rFonts w:cs="Miriam" w:hint="cs"/>
                      <w:sz w:val="18"/>
                      <w:szCs w:val="18"/>
                      <w:rtl/>
                    </w:rPr>
                    <w:t>מיחזור מטבע בתאגיד</w:t>
                  </w:r>
                </w:p>
              </w:txbxContent>
            </v:textbox>
            <w10:anchorlock/>
          </v:rect>
        </w:pict>
      </w:r>
      <w:r w:rsidR="003B7A18">
        <w:rPr>
          <w:rStyle w:val="big-number"/>
          <w:rFonts w:cs="Miriam" w:hint="cs"/>
          <w:rtl/>
        </w:rPr>
        <w:t>5</w:t>
      </w:r>
      <w:r>
        <w:rPr>
          <w:rStyle w:val="big-number"/>
          <w:rFonts w:cs="FrankRuehl"/>
          <w:sz w:val="26"/>
          <w:szCs w:val="26"/>
          <w:rtl/>
        </w:rPr>
        <w:t>.</w:t>
      </w:r>
      <w:r>
        <w:rPr>
          <w:rStyle w:val="big-number"/>
          <w:rFonts w:cs="FrankRuehl"/>
          <w:sz w:val="26"/>
          <w:szCs w:val="26"/>
          <w:rtl/>
        </w:rPr>
        <w:tab/>
      </w:r>
      <w:r w:rsidR="003B7A18">
        <w:rPr>
          <w:rStyle w:val="default"/>
          <w:rFonts w:cs="FrankRuehl" w:hint="cs"/>
          <w:rtl/>
        </w:rPr>
        <w:t>(א)</w:t>
      </w:r>
      <w:r w:rsidR="003B7A18">
        <w:rPr>
          <w:rStyle w:val="default"/>
          <w:rFonts w:cs="FrankRuehl" w:hint="cs"/>
          <w:rtl/>
        </w:rPr>
        <w:tab/>
      </w:r>
      <w:r w:rsidR="00EB368B">
        <w:rPr>
          <w:rStyle w:val="default"/>
          <w:rFonts w:cs="FrankRuehl" w:hint="cs"/>
          <w:rtl/>
        </w:rPr>
        <w:t xml:space="preserve">תאגיד רשאי למחזר </w:t>
      </w:r>
      <w:r w:rsidR="00EB368B">
        <w:rPr>
          <w:rStyle w:val="default"/>
          <w:rFonts w:cs="FrankRuehl"/>
          <w:rtl/>
        </w:rPr>
        <w:t>–</w:t>
      </w:r>
    </w:p>
    <w:p w:rsidR="00EB368B" w:rsidRDefault="00EB368B" w:rsidP="00685F5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מטבע ראוי בנק ישראל ומטבע ראוי בכל דרך אחרת שיראה לנכון, לרבות באמצעות מכונה אוטומטית לביצוע פעולות במטבע או באמצעות קופאי;</w:t>
      </w:r>
    </w:p>
    <w:p w:rsidR="00EB368B" w:rsidRDefault="00EB368B" w:rsidP="00685F5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מטבע ראוי קופאי </w:t>
      </w:r>
      <w:r w:rsidR="00685F50">
        <w:rPr>
          <w:rStyle w:val="default"/>
          <w:rFonts w:cs="FrankRuehl"/>
          <w:rtl/>
        </w:rPr>
        <w:t>–</w:t>
      </w:r>
      <w:r w:rsidR="00685F50">
        <w:rPr>
          <w:rStyle w:val="default"/>
          <w:rFonts w:cs="FrankRuehl" w:hint="cs"/>
          <w:rtl/>
        </w:rPr>
        <w:t xml:space="preserve"> רק באמצעות קופאי בסניף שבו התקבל המטבע.</w:t>
      </w:r>
    </w:p>
    <w:p w:rsidR="00685F50" w:rsidRDefault="00685F50" w:rsidP="00EB368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רשאי לקבוע לתאגיד את תמהיל המטבע בעת מיחזור.</w:t>
      </w:r>
    </w:p>
    <w:p w:rsidR="00591AD8" w:rsidRDefault="00591AD8" w:rsidP="00685F50">
      <w:pPr>
        <w:pStyle w:val="P00"/>
        <w:spacing w:before="72"/>
        <w:ind w:left="0" w:right="1134"/>
        <w:rPr>
          <w:rStyle w:val="default"/>
          <w:rFonts w:cs="FrankRuehl" w:hint="cs"/>
          <w:rtl/>
        </w:rPr>
      </w:pPr>
      <w:bookmarkStart w:id="5" w:name="Seif6"/>
      <w:bookmarkEnd w:id="5"/>
      <w:r>
        <w:rPr>
          <w:rFonts w:cs="Miriam"/>
          <w:lang w:val="he-IL"/>
        </w:rPr>
        <w:pict>
          <v:rect id="_x0000_s1107" style="position:absolute;left:0;text-align:left;margin-left:464.5pt;margin-top:8.05pt;width:75.05pt;height:19.3pt;z-index:251656704" o:allowincell="f" filled="f" stroked="f" strokecolor="lime" strokeweight=".25pt">
            <v:textbox inset="0,0,0,0">
              <w:txbxContent>
                <w:p w:rsidR="0092091E" w:rsidRDefault="00685F50" w:rsidP="00591AD8">
                  <w:pPr>
                    <w:spacing w:line="160" w:lineRule="exact"/>
                    <w:rPr>
                      <w:rFonts w:cs="Miriam" w:hint="cs"/>
                      <w:noProof/>
                      <w:sz w:val="18"/>
                      <w:szCs w:val="18"/>
                      <w:rtl/>
                    </w:rPr>
                  </w:pPr>
                  <w:r>
                    <w:rPr>
                      <w:rFonts w:cs="Miriam" w:hint="cs"/>
                      <w:sz w:val="18"/>
                      <w:szCs w:val="18"/>
                      <w:rtl/>
                    </w:rPr>
                    <w:t>ניהול מלאי מטבע בתאגיד</w:t>
                  </w:r>
                </w:p>
              </w:txbxContent>
            </v:textbox>
            <w10:anchorlock/>
          </v:rect>
        </w:pict>
      </w:r>
      <w:r w:rsidR="00576CBA">
        <w:rPr>
          <w:rStyle w:val="big-number"/>
          <w:rFonts w:cs="Miriam" w:hint="cs"/>
          <w:rtl/>
        </w:rPr>
        <w:t>6</w:t>
      </w:r>
      <w:r>
        <w:rPr>
          <w:rStyle w:val="big-number"/>
          <w:rFonts w:cs="FrankRuehl"/>
          <w:sz w:val="26"/>
          <w:szCs w:val="26"/>
          <w:rtl/>
        </w:rPr>
        <w:t>.</w:t>
      </w:r>
      <w:r>
        <w:rPr>
          <w:rStyle w:val="big-number"/>
          <w:rFonts w:cs="FrankRuehl"/>
          <w:sz w:val="26"/>
          <w:szCs w:val="26"/>
          <w:rtl/>
        </w:rPr>
        <w:tab/>
      </w:r>
      <w:r w:rsidR="00685F50">
        <w:rPr>
          <w:rStyle w:val="default"/>
          <w:rFonts w:cs="FrankRuehl" w:hint="cs"/>
          <w:rtl/>
        </w:rPr>
        <w:t>(א)</w:t>
      </w:r>
      <w:r w:rsidR="00685F50">
        <w:rPr>
          <w:rStyle w:val="default"/>
          <w:rFonts w:cs="FrankRuehl" w:hint="cs"/>
          <w:rtl/>
        </w:rPr>
        <w:tab/>
        <w:t>הבנק רשאי להורות לתאגיד לשמור מלאי מטבע מזערי וכן לקבוע את אופן פיזורו הגאוגרפי.</w:t>
      </w:r>
    </w:p>
    <w:p w:rsidR="00685F50" w:rsidRDefault="00685F50" w:rsidP="00685F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תאגיד יאזן, באמצעות מרכז מזומנים שהוא מפעיל, עודפי היצע של מטבע ראוי כנגד עודפי הביקוש מול לקוחותיו ומול מרכזי מזומנים אחרים, וימשוך מהבנק רק את עודפי הביקוש למטבע לאחר איזון כאמור.</w:t>
      </w:r>
    </w:p>
    <w:p w:rsidR="00685F50" w:rsidRDefault="00685F50" w:rsidP="00685F5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0320ED">
        <w:rPr>
          <w:rStyle w:val="default"/>
          <w:rFonts w:cs="FrankRuehl" w:hint="cs"/>
          <w:rtl/>
        </w:rPr>
        <w:t>הבנק, בהתבסס בין השאר, על פעילות תאגיד ומרכז המזומנים שהוא מפעיל, יורה לתאגיד את הכמות המזערית או המרבית להפקדת מטבע בו או משיכת מטבע ממנו בכל עריך, וזאת לפי שיקול דעתו, לשם ויסות המטבע בין מרכזי המזומנים ושמירה על איכות המטבע במשק ולשם הפעלה סדירה של מערכת המטבע.</w:t>
      </w:r>
    </w:p>
    <w:p w:rsidR="00576CBA" w:rsidRDefault="00591AD8" w:rsidP="000320ED">
      <w:pPr>
        <w:pStyle w:val="P00"/>
        <w:spacing w:before="72"/>
        <w:ind w:left="0" w:right="1134"/>
        <w:rPr>
          <w:rStyle w:val="default"/>
          <w:rFonts w:cs="FrankRuehl" w:hint="cs"/>
          <w:rtl/>
        </w:rPr>
      </w:pPr>
      <w:bookmarkStart w:id="6" w:name="Seif7"/>
      <w:bookmarkEnd w:id="6"/>
      <w:r>
        <w:rPr>
          <w:rFonts w:cs="Miriam"/>
          <w:lang w:val="he-IL"/>
        </w:rPr>
        <w:pict>
          <v:rect id="_x0000_s1108" style="position:absolute;left:0;text-align:left;margin-left:464.5pt;margin-top:8.05pt;width:75.05pt;height:23.2pt;z-index:251657728" o:allowincell="f" filled="f" stroked="f" strokecolor="lime" strokeweight=".25pt">
            <v:textbox inset="0,0,0,0">
              <w:txbxContent>
                <w:p w:rsidR="0092091E" w:rsidRDefault="000320ED" w:rsidP="00591AD8">
                  <w:pPr>
                    <w:spacing w:line="160" w:lineRule="exact"/>
                    <w:rPr>
                      <w:rFonts w:cs="Miriam" w:hint="cs"/>
                      <w:noProof/>
                      <w:sz w:val="18"/>
                      <w:szCs w:val="18"/>
                      <w:rtl/>
                    </w:rPr>
                  </w:pPr>
                  <w:r>
                    <w:rPr>
                      <w:rFonts w:cs="Miriam" w:hint="cs"/>
                      <w:sz w:val="18"/>
                      <w:szCs w:val="18"/>
                      <w:rtl/>
                    </w:rPr>
                    <w:t>שירותי הבנק בתחום המטבע</w:t>
                  </w:r>
                </w:p>
              </w:txbxContent>
            </v:textbox>
            <w10:anchorlock/>
          </v:rect>
        </w:pict>
      </w:r>
      <w:r w:rsidR="00576CBA">
        <w:rPr>
          <w:rStyle w:val="big-number"/>
          <w:rFonts w:cs="Miriam" w:hint="cs"/>
          <w:rtl/>
        </w:rPr>
        <w:t>7</w:t>
      </w:r>
      <w:r>
        <w:rPr>
          <w:rStyle w:val="big-number"/>
          <w:rFonts w:cs="FrankRuehl"/>
          <w:sz w:val="26"/>
          <w:szCs w:val="26"/>
          <w:rtl/>
        </w:rPr>
        <w:t>.</w:t>
      </w:r>
      <w:r>
        <w:rPr>
          <w:rStyle w:val="big-number"/>
          <w:rFonts w:cs="FrankRuehl"/>
          <w:sz w:val="26"/>
          <w:szCs w:val="26"/>
          <w:rtl/>
        </w:rPr>
        <w:tab/>
      </w:r>
      <w:r w:rsidR="00576CBA">
        <w:rPr>
          <w:rStyle w:val="default"/>
          <w:rFonts w:cs="FrankRuehl" w:hint="cs"/>
          <w:rtl/>
        </w:rPr>
        <w:t>(א)</w:t>
      </w:r>
      <w:r w:rsidR="00576CBA">
        <w:rPr>
          <w:rStyle w:val="default"/>
          <w:rFonts w:cs="FrankRuehl" w:hint="cs"/>
          <w:rtl/>
        </w:rPr>
        <w:tab/>
      </w:r>
      <w:r w:rsidR="000320ED">
        <w:rPr>
          <w:rStyle w:val="default"/>
          <w:rFonts w:cs="FrankRuehl" w:hint="cs"/>
          <w:rtl/>
        </w:rPr>
        <w:t>הבנק רשאי לתת שירותי הפקדה ומשיכה של מטבע לתאגיד, שהתקשר עם הבנק בהסכם להפקדה ומשיכה של מטבע.</w:t>
      </w:r>
    </w:p>
    <w:p w:rsidR="000320ED" w:rsidRDefault="000320ED" w:rsidP="000320E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רשאי, לפי החלטת הנגיד ובאישור המועצה, לתת שירותי הפקדה ומשיכה של מטבע לבנקים מרכזיים, רשויות מוניטריות ובנקים זרים, והכול כפי שיורה הנגיד.</w:t>
      </w:r>
    </w:p>
    <w:p w:rsidR="000320ED" w:rsidRDefault="000320ED" w:rsidP="000320E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DE7FAD">
        <w:rPr>
          <w:rStyle w:val="default"/>
          <w:rFonts w:cs="FrankRuehl" w:hint="cs"/>
          <w:rtl/>
        </w:rPr>
        <w:t>תאגיד יפקיד בבנק מטבע לא ראוי, מטבע דחוי  או מדגם ממטבע ראוי כפי שיורה הבנק; במקרים חריגים ובאישור מראש של הבנק יהיה רשאי תאגיד להפקיד מטבע ראוי בנק ישראל, מטבע ראוי או מטבע לא ספור.</w:t>
      </w:r>
    </w:p>
    <w:p w:rsidR="00DE7FAD" w:rsidRDefault="00DE7FAD" w:rsidP="000320E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הבנק ייתן שירותי הפקדה ומשיכה של מטבע לתאגיד באמצעות מרכז המזומנים שהוא מפעיל; תאגיד רשאי לבקש לבצע הפקדה של מטבע בבנק או משיכה של מטבע מהבנק באופן ישיר; הבנק רשאי לאשר, לסרב או לקבוע תנאים לאישור בקשה כאמור, ובלבד ששיקולי הבנק יבטיחו הפעלה סדירה של מערכת המטבע.</w:t>
      </w:r>
    </w:p>
    <w:p w:rsidR="00591AD8" w:rsidRDefault="00591AD8" w:rsidP="00DE7FAD">
      <w:pPr>
        <w:pStyle w:val="P00"/>
        <w:spacing w:before="72"/>
        <w:ind w:left="0" w:right="1134"/>
        <w:rPr>
          <w:rStyle w:val="default"/>
          <w:rFonts w:cs="FrankRuehl" w:hint="cs"/>
          <w:rtl/>
        </w:rPr>
      </w:pPr>
      <w:bookmarkStart w:id="7" w:name="Seif8"/>
      <w:bookmarkEnd w:id="7"/>
      <w:r>
        <w:rPr>
          <w:rFonts w:cs="Miriam"/>
          <w:lang w:val="he-IL"/>
        </w:rPr>
        <w:pict>
          <v:rect id="_x0000_s1109" style="position:absolute;left:0;text-align:left;margin-left:464.5pt;margin-top:8.05pt;width:75.05pt;height:24.45pt;z-index:251658752" o:allowincell="f" filled="f" stroked="f" strokecolor="lime" strokeweight=".25pt">
            <v:textbox inset="0,0,0,0">
              <w:txbxContent>
                <w:p w:rsidR="0092091E" w:rsidRDefault="00DE7FAD" w:rsidP="00591AD8">
                  <w:pPr>
                    <w:spacing w:line="160" w:lineRule="exact"/>
                    <w:rPr>
                      <w:rFonts w:cs="Miriam" w:hint="cs"/>
                      <w:noProof/>
                      <w:sz w:val="18"/>
                      <w:szCs w:val="18"/>
                      <w:rtl/>
                    </w:rPr>
                  </w:pPr>
                  <w:r>
                    <w:rPr>
                      <w:rFonts w:cs="Miriam" w:hint="cs"/>
                      <w:sz w:val="18"/>
                      <w:szCs w:val="18"/>
                      <w:rtl/>
                    </w:rPr>
                    <w:t>דיווח בדבר פעילות במטבע</w:t>
                  </w:r>
                </w:p>
              </w:txbxContent>
            </v:textbox>
            <w10:anchorlock/>
          </v:rect>
        </w:pict>
      </w:r>
      <w:r w:rsidR="00576CBA">
        <w:rPr>
          <w:rStyle w:val="big-number"/>
          <w:rFonts w:cs="Miriam" w:hint="cs"/>
          <w:rtl/>
        </w:rPr>
        <w:t>8</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תאגיד ידווח לבנק על פעילותו במטבע כאמור בתוספת השנייה.</w:t>
      </w:r>
    </w:p>
    <w:p w:rsidR="00C66049" w:rsidRDefault="00C66049" w:rsidP="00DE7FAD">
      <w:pPr>
        <w:pStyle w:val="P00"/>
        <w:spacing w:before="72"/>
        <w:ind w:left="0" w:right="1134"/>
        <w:rPr>
          <w:rStyle w:val="default"/>
          <w:rFonts w:cs="FrankRuehl" w:hint="cs"/>
          <w:rtl/>
        </w:rPr>
      </w:pPr>
      <w:bookmarkStart w:id="8" w:name="Seif9"/>
      <w:bookmarkEnd w:id="8"/>
      <w:r>
        <w:rPr>
          <w:rFonts w:cs="Miriam"/>
          <w:lang w:val="he-IL"/>
        </w:rPr>
        <w:pict>
          <v:rect id="_x0000_s1124" style="position:absolute;left:0;text-align:left;margin-left:464.5pt;margin-top:8.05pt;width:75.05pt;height:29.2pt;z-index:251659776" o:allowincell="f" filled="f" stroked="f" strokecolor="lime" strokeweight=".25pt">
            <v:textbox inset="0,0,0,0">
              <w:txbxContent>
                <w:p w:rsidR="00C66049" w:rsidRDefault="00DE7FAD" w:rsidP="00C66049">
                  <w:pPr>
                    <w:spacing w:line="160" w:lineRule="exact"/>
                    <w:rPr>
                      <w:rFonts w:cs="Miriam" w:hint="cs"/>
                      <w:noProof/>
                      <w:sz w:val="18"/>
                      <w:szCs w:val="18"/>
                      <w:rtl/>
                    </w:rPr>
                  </w:pPr>
                  <w:r>
                    <w:rPr>
                      <w:rFonts w:cs="Miriam" w:hint="cs"/>
                      <w:sz w:val="18"/>
                      <w:szCs w:val="18"/>
                      <w:rtl/>
                    </w:rPr>
                    <w:t>תמהיל מטבע במכונה אוטומטית לביצוע פעולות במטבע</w:t>
                  </w:r>
                </w:p>
              </w:txbxContent>
            </v:textbox>
            <w10:anchorlock/>
          </v:rect>
        </w:pict>
      </w:r>
      <w:r w:rsidR="00DE7FAD">
        <w:rPr>
          <w:rStyle w:val="big-number"/>
          <w:rFonts w:cs="Miriam" w:hint="cs"/>
          <w:rtl/>
        </w:rPr>
        <w:t>9</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(א)</w:t>
      </w:r>
      <w:r w:rsidR="00DE7FAD">
        <w:rPr>
          <w:rStyle w:val="default"/>
          <w:rFonts w:cs="FrankRuehl" w:hint="cs"/>
          <w:rtl/>
        </w:rPr>
        <w:tab/>
        <w:t>תאגיד המפעיל או המחבר למערכותיו מכונות אוטומטיות לביצוע פעולות במטבע יבטיח כי במכונות כאמור ימוחזר רק מטבע ראוי או מטבע ראוי בנק ישראל, וידווח לבנק כפי שיידרש בדבר תמהיל המטבע במשיכה ובהפקדה, והנוסחה שלפיה נקבע תמהיל המטבע כאמור וכן על כל עדכון בהם.</w:t>
      </w:r>
    </w:p>
    <w:p w:rsidR="00DE7FAD" w:rsidRDefault="00DE7FAD" w:rsidP="00DE7F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הבנק רשאי להורות לתאגיד המפעיל או המחבר למערכותיו מכונות אוטומטיות לביצוע פעולות במטבע לשנות את סכום המשיכה וההפקדה המרבי, את תמהיל המטבע, את הנוסחה שלפיה נקבע תמהיל המטבע, והכול בהיקף ולתקופה שיראה לנכון, לשם הבטחת הפעלה סדירה של מערכת המטבע.</w:t>
      </w:r>
    </w:p>
    <w:p w:rsidR="00C66049" w:rsidRDefault="00C66049" w:rsidP="00DE7FAD">
      <w:pPr>
        <w:pStyle w:val="P00"/>
        <w:spacing w:before="72"/>
        <w:ind w:left="0" w:right="1134"/>
        <w:rPr>
          <w:rStyle w:val="default"/>
          <w:rFonts w:cs="FrankRuehl" w:hint="cs"/>
          <w:rtl/>
        </w:rPr>
      </w:pPr>
      <w:bookmarkStart w:id="9" w:name="Seif10"/>
      <w:bookmarkEnd w:id="9"/>
      <w:r>
        <w:rPr>
          <w:rFonts w:cs="Miriam"/>
          <w:lang w:val="he-IL"/>
        </w:rPr>
        <w:pict>
          <v:rect id="_x0000_s1125" style="position:absolute;left:0;text-align:left;margin-left:464.5pt;margin-top:8.05pt;width:75.05pt;height:9.75pt;z-index:251660800" o:allowincell="f" filled="f" stroked="f" strokecolor="lime" strokeweight=".25pt">
            <v:textbox inset="0,0,0,0">
              <w:txbxContent>
                <w:p w:rsidR="00C66049" w:rsidRDefault="00DE7FAD" w:rsidP="00C66049">
                  <w:pPr>
                    <w:spacing w:line="160" w:lineRule="exact"/>
                    <w:rPr>
                      <w:rFonts w:cs="Miriam" w:hint="cs"/>
                      <w:noProof/>
                      <w:sz w:val="18"/>
                      <w:szCs w:val="18"/>
                      <w:rtl/>
                    </w:rPr>
                  </w:pPr>
                  <w:r>
                    <w:rPr>
                      <w:rFonts w:cs="Miriam" w:hint="cs"/>
                      <w:sz w:val="18"/>
                      <w:szCs w:val="18"/>
                      <w:rtl/>
                    </w:rPr>
                    <w:t>פעולות מיוחדות</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סבר הבנק שיש מקום להסדרת הפעלתה הסדירה של מערכת המטבע בנסיבות מיוחדות, רשאי הבנק להוציא הוראה זמנית לתאגיד, הוראה מיוחדת כפי שיראה הבנק לנכון; הוראה כאמור תיכנס לתוקף מיד עם הגיעה לידי התאגיד ותעמוד בתוקפה לתקופה קצובה כפי שיורה.</w:t>
      </w:r>
    </w:p>
    <w:p w:rsidR="00C66049" w:rsidRDefault="00C66049" w:rsidP="00DE7FAD">
      <w:pPr>
        <w:pStyle w:val="P00"/>
        <w:spacing w:before="72"/>
        <w:ind w:left="0" w:right="1134"/>
        <w:rPr>
          <w:rStyle w:val="default"/>
          <w:rFonts w:cs="FrankRuehl" w:hint="cs"/>
          <w:rtl/>
        </w:rPr>
      </w:pPr>
      <w:bookmarkStart w:id="10" w:name="Seif11"/>
      <w:bookmarkEnd w:id="10"/>
      <w:r>
        <w:rPr>
          <w:rFonts w:cs="Miriam"/>
          <w:lang w:val="he-IL"/>
        </w:rPr>
        <w:pict>
          <v:rect id="_x0000_s1126" style="position:absolute;left:0;text-align:left;margin-left:464.5pt;margin-top:8.05pt;width:75.05pt;height:9.25pt;z-index:251661824" o:allowincell="f" filled="f" stroked="f" strokecolor="lime" strokeweight=".25pt">
            <v:textbox inset="0,0,0,0">
              <w:txbxContent>
                <w:p w:rsidR="00C66049" w:rsidRDefault="00DE7FAD" w:rsidP="00C66049">
                  <w:pPr>
                    <w:spacing w:line="160" w:lineRule="exact"/>
                    <w:rPr>
                      <w:rFonts w:cs="Miriam" w:hint="cs"/>
                      <w:noProof/>
                      <w:sz w:val="18"/>
                      <w:szCs w:val="18"/>
                      <w:rtl/>
                    </w:rPr>
                  </w:pPr>
                  <w:r>
                    <w:rPr>
                      <w:rFonts w:cs="Miriam" w:hint="cs"/>
                      <w:sz w:val="18"/>
                      <w:szCs w:val="18"/>
                      <w:rtl/>
                    </w:rPr>
                    <w:t>בקרה</w:t>
                  </w:r>
                </w:p>
              </w:txbxContent>
            </v:textbox>
            <w10:anchorlock/>
          </v:rect>
        </w:pict>
      </w:r>
      <w:r>
        <w:rPr>
          <w:rStyle w:val="big-number"/>
          <w:rFonts w:cs="Miriam" w:hint="cs"/>
          <w:rtl/>
        </w:rPr>
        <w:t>1</w:t>
      </w:r>
      <w:r w:rsidR="00DE7FAD">
        <w:rPr>
          <w:rStyle w:val="big-number"/>
          <w:rFonts w:cs="Miriam" w:hint="cs"/>
          <w:rtl/>
        </w:rPr>
        <w:t>1</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הבנק ישלב מערכות בקרה, לרבות אמצעי בקרה מרחוק על איכות המטבע שבתאגיד.</w:t>
      </w:r>
    </w:p>
    <w:p w:rsidR="00C66049" w:rsidRDefault="00C66049" w:rsidP="00DE7FAD">
      <w:pPr>
        <w:pStyle w:val="P00"/>
        <w:spacing w:before="72"/>
        <w:ind w:left="0" w:right="1134"/>
        <w:rPr>
          <w:rStyle w:val="default"/>
          <w:rFonts w:cs="FrankRuehl" w:hint="cs"/>
          <w:rtl/>
        </w:rPr>
      </w:pPr>
      <w:bookmarkStart w:id="11" w:name="Seif12"/>
      <w:bookmarkEnd w:id="11"/>
      <w:r>
        <w:rPr>
          <w:rFonts w:cs="Miriam"/>
          <w:lang w:val="he-IL"/>
        </w:rPr>
        <w:pict>
          <v:rect id="_x0000_s1127" style="position:absolute;left:0;text-align:left;margin-left:464.5pt;margin-top:8.05pt;width:75.05pt;height:9.25pt;z-index:251662848" o:allowincell="f" filled="f" stroked="f" strokecolor="lime" strokeweight=".25pt">
            <v:textbox inset="0,0,0,0">
              <w:txbxContent>
                <w:p w:rsidR="00C66049" w:rsidRDefault="00DE7FAD" w:rsidP="00C66049">
                  <w:pPr>
                    <w:spacing w:line="160" w:lineRule="exact"/>
                    <w:rPr>
                      <w:rFonts w:cs="Miriam" w:hint="cs"/>
                      <w:noProof/>
                      <w:sz w:val="18"/>
                      <w:szCs w:val="18"/>
                      <w:rtl/>
                    </w:rPr>
                  </w:pPr>
                  <w:r>
                    <w:rPr>
                      <w:rFonts w:cs="Miriam" w:hint="cs"/>
                      <w:sz w:val="18"/>
                      <w:szCs w:val="18"/>
                      <w:rtl/>
                    </w:rPr>
                    <w:t>הפרות</w:t>
                  </w:r>
                </w:p>
              </w:txbxContent>
            </v:textbox>
            <w10:anchorlock/>
          </v:rect>
        </w:pict>
      </w:r>
      <w:r>
        <w:rPr>
          <w:rStyle w:val="big-number"/>
          <w:rFonts w:cs="Miriam" w:hint="cs"/>
          <w:rtl/>
        </w:rPr>
        <w:t>1</w:t>
      </w:r>
      <w:r w:rsidR="00DE7FAD">
        <w:rPr>
          <w:rStyle w:val="big-number"/>
          <w:rFonts w:cs="Miriam" w:hint="cs"/>
          <w:rtl/>
        </w:rPr>
        <w:t>2</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(א)</w:t>
      </w:r>
      <w:r w:rsidR="00DE7FAD">
        <w:rPr>
          <w:rStyle w:val="default"/>
          <w:rFonts w:cs="FrankRuehl" w:hint="cs"/>
          <w:rtl/>
        </w:rPr>
        <w:tab/>
        <w:t>הפר תאגיד כללים אלה, יודיע הבנק לתאגיד על הליקויים שנמצאו בקיום הכללים ויורה לו לתקן את הליקויים בפרק הזמן שיורה.</w:t>
      </w:r>
    </w:p>
    <w:p w:rsidR="00DE7FAD" w:rsidRDefault="00DE7FAD" w:rsidP="00DE7F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פעל תאגיד לתיקון הליקויים כאמור בסעיף קטן (א) בתוך פרק הזמן שעליו הורה הבנק או לא תיקן את הליקויים האמורים לשביעות רצון הבנק, רשאי הבנק </w:t>
      </w:r>
      <w:r>
        <w:rPr>
          <w:rStyle w:val="default"/>
          <w:rFonts w:cs="FrankRuehl"/>
          <w:rtl/>
        </w:rPr>
        <w:t>–</w:t>
      </w:r>
    </w:p>
    <w:p w:rsidR="00DE7FAD" w:rsidRDefault="00DE7FAD" w:rsidP="00DE7FA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לא לקבל הפקדות מטבע מהתאגיד ולמנוע ממנו למשוך מטבע עד תיקון הליקויים לשביעות רצון הבנק;</w:t>
      </w:r>
    </w:p>
    <w:p w:rsidR="00DE7FAD" w:rsidRDefault="00DE7FAD" w:rsidP="00DE7FA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לאסור על תאגידים אחרים לפעול מול התאגיד או שלוחו;</w:t>
      </w:r>
    </w:p>
    <w:p w:rsidR="00DE7FAD" w:rsidRDefault="00DE7FAD" w:rsidP="00DE7FA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להורות לתאגיד לחדול מהפעלת מרכז המזומנים באופן מלא או חלקי, באופן קבוע או לתקופה שעליה יורה, ובלבד שניתנה לתאגיד התראה של 30 ימים בטרם ניתנה הוראה כאמור וניתנה לו הזדמנות להשמיע את טענותיו.</w:t>
      </w:r>
    </w:p>
    <w:p w:rsidR="00C66049" w:rsidRDefault="00C66049" w:rsidP="00DE7FAD">
      <w:pPr>
        <w:pStyle w:val="P00"/>
        <w:spacing w:before="72"/>
        <w:ind w:left="0" w:right="1134"/>
        <w:rPr>
          <w:rStyle w:val="default"/>
          <w:rFonts w:cs="FrankRuehl" w:hint="cs"/>
          <w:rtl/>
        </w:rPr>
      </w:pPr>
      <w:bookmarkStart w:id="12" w:name="Seif13"/>
      <w:bookmarkEnd w:id="12"/>
      <w:r>
        <w:rPr>
          <w:rFonts w:cs="Miriam"/>
          <w:lang w:val="he-IL"/>
        </w:rPr>
        <w:pict>
          <v:rect id="_x0000_s1128" style="position:absolute;left:0;text-align:left;margin-left:464.5pt;margin-top:8.05pt;width:75.05pt;height:9.25pt;z-index:251663872" o:allowincell="f" filled="f" stroked="f" strokecolor="lime" strokeweight=".25pt">
            <v:textbox inset="0,0,0,0">
              <w:txbxContent>
                <w:p w:rsidR="00C66049" w:rsidRDefault="00DE7FAD" w:rsidP="00C66049">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DE7FAD">
        <w:rPr>
          <w:rStyle w:val="big-number"/>
          <w:rFonts w:cs="Miriam" w:hint="cs"/>
          <w:rtl/>
        </w:rPr>
        <w:t>3</w:t>
      </w:r>
      <w:r>
        <w:rPr>
          <w:rStyle w:val="big-number"/>
          <w:rFonts w:cs="FrankRuehl"/>
          <w:sz w:val="26"/>
          <w:szCs w:val="26"/>
          <w:rtl/>
        </w:rPr>
        <w:t>.</w:t>
      </w:r>
      <w:r>
        <w:rPr>
          <w:rStyle w:val="big-number"/>
          <w:rFonts w:cs="FrankRuehl"/>
          <w:sz w:val="26"/>
          <w:szCs w:val="26"/>
          <w:rtl/>
        </w:rPr>
        <w:tab/>
      </w:r>
      <w:r w:rsidR="00DE7FAD">
        <w:rPr>
          <w:rStyle w:val="default"/>
          <w:rFonts w:cs="FrankRuehl" w:hint="cs"/>
          <w:rtl/>
        </w:rPr>
        <w:t>תחילתם של כללים אלה 90 ימים מיום פרסומם.</w:t>
      </w:r>
    </w:p>
    <w:p w:rsidR="00D763FA" w:rsidRDefault="00D763FA" w:rsidP="00431CAA">
      <w:pPr>
        <w:pStyle w:val="P00"/>
        <w:spacing w:before="72"/>
        <w:ind w:left="0" w:right="1134"/>
        <w:rPr>
          <w:rStyle w:val="default"/>
          <w:rFonts w:cs="FrankRuehl" w:hint="cs"/>
          <w:rtl/>
        </w:rPr>
      </w:pPr>
    </w:p>
    <w:p w:rsidR="00F062AE" w:rsidRPr="00AA2050" w:rsidRDefault="00155F05" w:rsidP="00AA2050">
      <w:pPr>
        <w:pStyle w:val="medium2-header"/>
        <w:keepLines w:val="0"/>
        <w:spacing w:before="72"/>
        <w:ind w:left="0" w:right="1134"/>
        <w:outlineLvl w:val="0"/>
        <w:rPr>
          <w:rFonts w:cs="FrankRuehl" w:hint="cs"/>
          <w:noProof/>
          <w:rtl/>
        </w:rPr>
      </w:pPr>
      <w:bookmarkStart w:id="13" w:name="med0"/>
      <w:bookmarkEnd w:id="13"/>
      <w:r w:rsidRPr="00AA2050">
        <w:rPr>
          <w:rFonts w:cs="FrankRuehl" w:hint="cs"/>
          <w:noProof/>
          <w:rtl/>
        </w:rPr>
        <w:t>תוספת</w:t>
      </w:r>
      <w:r w:rsidR="00DE7FAD" w:rsidRPr="00AA2050">
        <w:rPr>
          <w:rFonts w:cs="FrankRuehl" w:hint="cs"/>
          <w:noProof/>
          <w:rtl/>
        </w:rPr>
        <w:t xml:space="preserve"> ראשונה</w:t>
      </w:r>
    </w:p>
    <w:p w:rsidR="005A3356" w:rsidRDefault="005A3356" w:rsidP="00155F05">
      <w:pPr>
        <w:pStyle w:val="P00"/>
        <w:spacing w:before="72"/>
        <w:ind w:left="0" w:right="1134"/>
        <w:jc w:val="center"/>
        <w:rPr>
          <w:rStyle w:val="default"/>
          <w:rFonts w:cs="FrankRuehl" w:hint="cs"/>
          <w:sz w:val="24"/>
          <w:szCs w:val="24"/>
          <w:rtl/>
        </w:rPr>
      </w:pPr>
      <w:r w:rsidRPr="005A3356">
        <w:rPr>
          <w:rStyle w:val="default"/>
          <w:rFonts w:cs="FrankRuehl" w:hint="cs"/>
          <w:sz w:val="24"/>
          <w:szCs w:val="24"/>
          <w:rtl/>
        </w:rPr>
        <w:t>(</w:t>
      </w:r>
      <w:r w:rsidR="00DE7FAD">
        <w:rPr>
          <w:rStyle w:val="default"/>
          <w:rFonts w:cs="FrankRuehl" w:hint="cs"/>
          <w:sz w:val="24"/>
          <w:szCs w:val="24"/>
          <w:rtl/>
        </w:rPr>
        <w:t>סעיף 1</w:t>
      </w:r>
      <w:r w:rsidRPr="005A3356">
        <w:rPr>
          <w:rStyle w:val="default"/>
          <w:rFonts w:cs="FrankRuehl" w:hint="cs"/>
          <w:sz w:val="24"/>
          <w:szCs w:val="24"/>
          <w:rtl/>
        </w:rPr>
        <w:t>)</w:t>
      </w:r>
    </w:p>
    <w:p w:rsidR="00DE7FAD" w:rsidRPr="00DE7FAD" w:rsidRDefault="00DE7FAD" w:rsidP="00155F05">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תקן איכות של שטר</w:t>
      </w:r>
    </w:p>
    <w:p w:rsidR="001F7845" w:rsidRDefault="00DE7FAD" w:rsidP="00431CAA">
      <w:pPr>
        <w:pStyle w:val="P00"/>
        <w:spacing w:before="72"/>
        <w:ind w:left="0" w:right="1134"/>
        <w:rPr>
          <w:rStyle w:val="default"/>
          <w:rFonts w:cs="FrankRuehl" w:hint="cs"/>
          <w:rtl/>
        </w:rPr>
      </w:pPr>
      <w:r>
        <w:rPr>
          <w:rStyle w:val="default"/>
          <w:rFonts w:cs="FrankRuehl" w:hint="cs"/>
          <w:rtl/>
        </w:rPr>
        <w:t>להלן אמות המידה המצביעות על כך ששטר לא ראוי:</w:t>
      </w:r>
    </w:p>
    <w:p w:rsidR="00C66049" w:rsidRDefault="00DE7FAD"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DE7FAD">
        <w:rPr>
          <w:rStyle w:val="default"/>
          <w:rFonts w:cs="FrankRuehl" w:hint="cs"/>
          <w:b/>
          <w:bCs/>
          <w:sz w:val="22"/>
          <w:szCs w:val="22"/>
          <w:rtl/>
        </w:rPr>
        <w:t>שטר בעל מידות פיזיות חריגות</w:t>
      </w:r>
    </w:p>
    <w:p w:rsidR="00C66049" w:rsidRDefault="00DE7FAD" w:rsidP="00DE7FAD">
      <w:pPr>
        <w:pStyle w:val="P00"/>
        <w:spacing w:before="72"/>
        <w:ind w:left="624" w:right="1134"/>
        <w:rPr>
          <w:rStyle w:val="default"/>
          <w:rFonts w:cs="FrankRuehl" w:hint="cs"/>
          <w:rtl/>
        </w:rPr>
      </w:pPr>
      <w:r>
        <w:rPr>
          <w:rStyle w:val="default"/>
          <w:rFonts w:cs="FrankRuehl" w:hint="cs"/>
          <w:rtl/>
        </w:rPr>
        <w:t>שטר החורג בגודלו הפיזי, באורכו או ברוחבו לעומת שטר מקורי.</w:t>
      </w:r>
    </w:p>
    <w:p w:rsidR="00DE7FAD" w:rsidRDefault="00DE7FAD"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DE7FAD">
        <w:rPr>
          <w:rStyle w:val="default"/>
          <w:rFonts w:cs="FrankRuehl" w:hint="cs"/>
          <w:b/>
          <w:bCs/>
          <w:sz w:val="22"/>
          <w:szCs w:val="22"/>
          <w:rtl/>
        </w:rPr>
        <w:t>שטר עם חור</w:t>
      </w:r>
    </w:p>
    <w:p w:rsidR="00DE7FAD" w:rsidRDefault="00DE7FAD" w:rsidP="00AA2050">
      <w:pPr>
        <w:pStyle w:val="P00"/>
        <w:spacing w:before="72"/>
        <w:ind w:left="624" w:right="1134"/>
        <w:rPr>
          <w:rStyle w:val="default"/>
          <w:rFonts w:cs="FrankRuehl" w:hint="cs"/>
          <w:rtl/>
        </w:rPr>
      </w:pPr>
      <w:r>
        <w:rPr>
          <w:rStyle w:val="default"/>
          <w:rFonts w:cs="FrankRuehl" w:hint="cs"/>
          <w:rtl/>
        </w:rPr>
        <w:t>שטר שבו קיים חור הניתן להבחנה.</w:t>
      </w:r>
    </w:p>
    <w:p w:rsidR="00DE7FAD" w:rsidRDefault="00DE7FAD" w:rsidP="00DE7FA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r>
      <w:r w:rsidRPr="00DE7FAD">
        <w:rPr>
          <w:rStyle w:val="default"/>
          <w:rFonts w:cs="FrankRuehl" w:hint="cs"/>
          <w:b/>
          <w:bCs/>
          <w:sz w:val="22"/>
          <w:szCs w:val="22"/>
          <w:rtl/>
        </w:rPr>
        <w:t>שטר עם קרע</w:t>
      </w:r>
    </w:p>
    <w:p w:rsidR="00DE7FAD" w:rsidRDefault="00DE7FAD" w:rsidP="00AA2050">
      <w:pPr>
        <w:pStyle w:val="P00"/>
        <w:spacing w:before="72"/>
        <w:ind w:left="624" w:right="1134"/>
        <w:rPr>
          <w:rStyle w:val="default"/>
          <w:rFonts w:cs="FrankRuehl" w:hint="cs"/>
          <w:rtl/>
        </w:rPr>
      </w:pPr>
      <w:r>
        <w:rPr>
          <w:rStyle w:val="default"/>
          <w:rFonts w:cs="FrankRuehl" w:hint="cs"/>
          <w:rtl/>
        </w:rPr>
        <w:t>שטר שבו קיים קרע הניתן להבחנה.</w:t>
      </w:r>
    </w:p>
    <w:p w:rsidR="00DE7FAD" w:rsidRDefault="00DE7FAD" w:rsidP="00431CA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DE7FAD">
        <w:rPr>
          <w:rStyle w:val="default"/>
          <w:rFonts w:cs="FrankRuehl" w:hint="cs"/>
          <w:b/>
          <w:bCs/>
          <w:sz w:val="22"/>
          <w:szCs w:val="22"/>
          <w:rtl/>
        </w:rPr>
        <w:t>שטר עם חלק חסר</w:t>
      </w:r>
    </w:p>
    <w:p w:rsidR="00DE7FAD" w:rsidRDefault="00DE7FAD" w:rsidP="00AA2050">
      <w:pPr>
        <w:pStyle w:val="P00"/>
        <w:spacing w:before="72"/>
        <w:ind w:left="624" w:right="1134"/>
        <w:rPr>
          <w:rStyle w:val="default"/>
          <w:rFonts w:cs="FrankRuehl" w:hint="cs"/>
          <w:rtl/>
        </w:rPr>
      </w:pPr>
      <w:r>
        <w:rPr>
          <w:rStyle w:val="default"/>
          <w:rFonts w:cs="FrankRuehl" w:hint="cs"/>
          <w:rtl/>
        </w:rPr>
        <w:t>שטר שחלקו חסר בפינות או בקצוות, ובתנאי שגודלם של החלקים הנותרים עולה על גוגדלה של מחצית שטר.</w:t>
      </w:r>
    </w:p>
    <w:p w:rsidR="00DE7FAD" w:rsidRDefault="00DE7FAD" w:rsidP="00431CA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DE7FAD">
        <w:rPr>
          <w:rStyle w:val="default"/>
          <w:rFonts w:cs="FrankRuehl" w:hint="cs"/>
          <w:b/>
          <w:bCs/>
          <w:sz w:val="22"/>
          <w:szCs w:val="22"/>
          <w:rtl/>
        </w:rPr>
        <w:t>שטר מתוקן</w:t>
      </w:r>
    </w:p>
    <w:p w:rsidR="00DE7FAD" w:rsidRDefault="00DE7FAD" w:rsidP="00AA2050">
      <w:pPr>
        <w:pStyle w:val="P00"/>
        <w:spacing w:before="72"/>
        <w:ind w:left="624" w:right="1134"/>
        <w:rPr>
          <w:rStyle w:val="default"/>
          <w:rFonts w:cs="FrankRuehl" w:hint="cs"/>
          <w:rtl/>
        </w:rPr>
      </w:pPr>
      <w:r>
        <w:rPr>
          <w:rStyle w:val="default"/>
          <w:rFonts w:cs="FrankRuehl" w:hint="cs"/>
          <w:rtl/>
        </w:rPr>
        <w:t>שטר ש"תוקן" באמצעות חיבור של חלק או כמה חלקים מאותו השטר בכל צורה שהיא.</w:t>
      </w:r>
    </w:p>
    <w:p w:rsidR="00DE7FAD" w:rsidRDefault="00DE7FAD" w:rsidP="00431CA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r>
      <w:r w:rsidRPr="00DE7FAD">
        <w:rPr>
          <w:rStyle w:val="default"/>
          <w:rFonts w:cs="FrankRuehl" w:hint="cs"/>
          <w:b/>
          <w:bCs/>
          <w:sz w:val="22"/>
          <w:szCs w:val="22"/>
          <w:rtl/>
        </w:rPr>
        <w:t>שטר שחוק</w:t>
      </w:r>
    </w:p>
    <w:p w:rsidR="00DE7FAD" w:rsidRDefault="00DE7FAD" w:rsidP="00AA2050">
      <w:pPr>
        <w:pStyle w:val="P00"/>
        <w:spacing w:before="72"/>
        <w:ind w:left="624" w:right="1134"/>
        <w:rPr>
          <w:rStyle w:val="default"/>
          <w:rFonts w:cs="FrankRuehl" w:hint="cs"/>
          <w:rtl/>
        </w:rPr>
      </w:pPr>
      <w:r>
        <w:rPr>
          <w:rStyle w:val="default"/>
          <w:rFonts w:cs="FrankRuehl" w:hint="cs"/>
          <w:rtl/>
        </w:rPr>
        <w:t>שטר שאחד או יותר מחלקיו נשחק או חסר בדיו.</w:t>
      </w:r>
    </w:p>
    <w:p w:rsidR="00DE7FAD" w:rsidRDefault="00DE7FAD" w:rsidP="00431CA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r>
      <w:r w:rsidRPr="00DE7FAD">
        <w:rPr>
          <w:rStyle w:val="default"/>
          <w:rFonts w:cs="FrankRuehl" w:hint="cs"/>
          <w:b/>
          <w:bCs/>
          <w:sz w:val="22"/>
          <w:szCs w:val="22"/>
          <w:rtl/>
        </w:rPr>
        <w:t xml:space="preserve">שטר מקושקש </w:t>
      </w:r>
      <w:r w:rsidRPr="00DE7FAD">
        <w:rPr>
          <w:rStyle w:val="default"/>
          <w:rFonts w:cs="FrankRuehl"/>
          <w:b/>
          <w:bCs/>
          <w:sz w:val="22"/>
          <w:szCs w:val="22"/>
          <w:rtl/>
        </w:rPr>
        <w:t>–</w:t>
      </w:r>
      <w:r w:rsidRPr="00DE7FAD">
        <w:rPr>
          <w:rStyle w:val="default"/>
          <w:rFonts w:cs="FrankRuehl" w:hint="cs"/>
          <w:b/>
          <w:bCs/>
          <w:sz w:val="22"/>
          <w:szCs w:val="22"/>
          <w:rtl/>
        </w:rPr>
        <w:t xml:space="preserve"> "גרפיטי"</w:t>
      </w:r>
    </w:p>
    <w:p w:rsidR="00DE7FAD" w:rsidRDefault="00DE7FAD" w:rsidP="00AA2050">
      <w:pPr>
        <w:pStyle w:val="P00"/>
        <w:spacing w:before="72"/>
        <w:ind w:left="624" w:right="1134"/>
        <w:rPr>
          <w:rStyle w:val="default"/>
          <w:rFonts w:cs="FrankRuehl" w:hint="cs"/>
          <w:rtl/>
        </w:rPr>
      </w:pPr>
      <w:r>
        <w:rPr>
          <w:rStyle w:val="default"/>
          <w:rFonts w:cs="FrankRuehl" w:hint="cs"/>
          <w:rtl/>
        </w:rPr>
        <w:t>שטר הנושא באחד מצדדיו כיתוב, ציור או כתם.</w:t>
      </w:r>
    </w:p>
    <w:p w:rsidR="00DE7FAD" w:rsidRDefault="00DE7FAD" w:rsidP="00431CA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r>
      <w:r w:rsidRPr="00DE7FAD">
        <w:rPr>
          <w:rStyle w:val="default"/>
          <w:rFonts w:cs="FrankRuehl" w:hint="cs"/>
          <w:b/>
          <w:bCs/>
          <w:sz w:val="22"/>
          <w:szCs w:val="22"/>
          <w:rtl/>
        </w:rPr>
        <w:t>שטר מקומט</w:t>
      </w:r>
    </w:p>
    <w:p w:rsidR="00DE7FAD" w:rsidRDefault="00DE7FAD" w:rsidP="00AA2050">
      <w:pPr>
        <w:pStyle w:val="P00"/>
        <w:spacing w:before="72"/>
        <w:ind w:left="624" w:right="1134"/>
        <w:rPr>
          <w:rStyle w:val="default"/>
          <w:rFonts w:cs="FrankRuehl" w:hint="cs"/>
          <w:rtl/>
        </w:rPr>
      </w:pPr>
      <w:r>
        <w:rPr>
          <w:rStyle w:val="default"/>
          <w:rFonts w:cs="FrankRuehl" w:hint="cs"/>
          <w:rtl/>
        </w:rPr>
        <w:t>שטר המכיל קימוטים מרובים באופן שלא ניתן ליישרו.</w:t>
      </w:r>
    </w:p>
    <w:p w:rsidR="00DE7FAD" w:rsidRDefault="00DE7FAD" w:rsidP="00431CA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r>
      <w:r w:rsidRPr="00DE7FAD">
        <w:rPr>
          <w:rStyle w:val="default"/>
          <w:rFonts w:cs="FrankRuehl" w:hint="cs"/>
          <w:b/>
          <w:bCs/>
          <w:sz w:val="22"/>
          <w:szCs w:val="22"/>
          <w:rtl/>
        </w:rPr>
        <w:t>שטר מלוכלך</w:t>
      </w:r>
    </w:p>
    <w:p w:rsidR="00DE7FAD" w:rsidRDefault="00DE7FAD" w:rsidP="00AA2050">
      <w:pPr>
        <w:pStyle w:val="P00"/>
        <w:spacing w:before="72"/>
        <w:ind w:left="624" w:right="1134"/>
        <w:rPr>
          <w:rStyle w:val="default"/>
          <w:rFonts w:cs="FrankRuehl" w:hint="cs"/>
          <w:rtl/>
        </w:rPr>
      </w:pPr>
      <w:r>
        <w:rPr>
          <w:rStyle w:val="default"/>
          <w:rFonts w:cs="FrankRuehl" w:hint="cs"/>
          <w:rtl/>
        </w:rPr>
        <w:t>שטר שחל בו שינוי בגוון כתוצאה מלכלוך וכתמים.</w:t>
      </w:r>
    </w:p>
    <w:p w:rsidR="00DE7FAD" w:rsidRDefault="00DE7FAD" w:rsidP="00431CA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r>
      <w:r w:rsidRPr="00DE7FAD">
        <w:rPr>
          <w:rStyle w:val="default"/>
          <w:rFonts w:cs="FrankRuehl" w:hint="cs"/>
          <w:b/>
          <w:bCs/>
          <w:sz w:val="22"/>
          <w:szCs w:val="22"/>
          <w:rtl/>
        </w:rPr>
        <w:t>שטר עם פינה מקופלת</w:t>
      </w:r>
    </w:p>
    <w:p w:rsidR="00DE7FAD" w:rsidRDefault="00DE7FAD" w:rsidP="00AA2050">
      <w:pPr>
        <w:pStyle w:val="P00"/>
        <w:spacing w:before="72"/>
        <w:ind w:left="624" w:right="1134"/>
        <w:rPr>
          <w:rStyle w:val="default"/>
          <w:rFonts w:cs="FrankRuehl" w:hint="cs"/>
          <w:rtl/>
        </w:rPr>
      </w:pPr>
      <w:r>
        <w:rPr>
          <w:rStyle w:val="default"/>
          <w:rFonts w:cs="FrankRuehl" w:hint="cs"/>
          <w:rtl/>
        </w:rPr>
        <w:t>שטר שאחת מפינותיו מקופלת.</w:t>
      </w:r>
    </w:p>
    <w:p w:rsidR="00C66049" w:rsidRDefault="00C66049" w:rsidP="00431CAA">
      <w:pPr>
        <w:pStyle w:val="P00"/>
        <w:spacing w:before="72"/>
        <w:ind w:left="0" w:right="1134"/>
        <w:rPr>
          <w:rStyle w:val="default"/>
          <w:rFonts w:cs="FrankRuehl" w:hint="cs"/>
          <w:rtl/>
        </w:rPr>
      </w:pPr>
    </w:p>
    <w:p w:rsidR="00AA2050" w:rsidRPr="00AA2050" w:rsidRDefault="00AA2050" w:rsidP="00AA2050">
      <w:pPr>
        <w:pStyle w:val="medium2-header"/>
        <w:keepLines w:val="0"/>
        <w:spacing w:before="72"/>
        <w:ind w:left="0" w:right="1134"/>
        <w:outlineLvl w:val="0"/>
        <w:rPr>
          <w:rFonts w:cs="FrankRuehl" w:hint="cs"/>
          <w:noProof/>
          <w:rtl/>
        </w:rPr>
      </w:pPr>
      <w:bookmarkStart w:id="14" w:name="med1"/>
      <w:bookmarkEnd w:id="14"/>
      <w:r w:rsidRPr="00AA2050">
        <w:rPr>
          <w:rFonts w:cs="FrankRuehl" w:hint="cs"/>
          <w:noProof/>
          <w:rtl/>
        </w:rPr>
        <w:t>תוספת שנייה</w:t>
      </w:r>
    </w:p>
    <w:p w:rsidR="00AA2050" w:rsidRDefault="00AA2050" w:rsidP="00AA2050">
      <w:pPr>
        <w:pStyle w:val="P00"/>
        <w:spacing w:before="72"/>
        <w:ind w:left="0" w:right="1134"/>
        <w:jc w:val="center"/>
        <w:rPr>
          <w:rStyle w:val="default"/>
          <w:rFonts w:cs="FrankRuehl" w:hint="cs"/>
          <w:sz w:val="24"/>
          <w:szCs w:val="24"/>
          <w:rtl/>
        </w:rPr>
      </w:pPr>
      <w:r w:rsidRPr="005A3356">
        <w:rPr>
          <w:rStyle w:val="default"/>
          <w:rFonts w:cs="FrankRuehl" w:hint="cs"/>
          <w:sz w:val="24"/>
          <w:szCs w:val="24"/>
          <w:rtl/>
        </w:rPr>
        <w:t>(</w:t>
      </w:r>
      <w:r>
        <w:rPr>
          <w:rStyle w:val="default"/>
          <w:rFonts w:cs="FrankRuehl" w:hint="cs"/>
          <w:sz w:val="24"/>
          <w:szCs w:val="24"/>
          <w:rtl/>
        </w:rPr>
        <w:t>סעיף 8</w:t>
      </w:r>
      <w:r w:rsidRPr="005A3356">
        <w:rPr>
          <w:rStyle w:val="default"/>
          <w:rFonts w:cs="FrankRuehl" w:hint="cs"/>
          <w:sz w:val="24"/>
          <w:szCs w:val="24"/>
          <w:rtl/>
        </w:rPr>
        <w:t>)</w:t>
      </w:r>
    </w:p>
    <w:p w:rsidR="00AA2050" w:rsidRPr="00DE7FAD" w:rsidRDefault="00AA2050" w:rsidP="00AA2050">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דיווחים של תאגיד</w:t>
      </w:r>
    </w:p>
    <w:p w:rsidR="00C66049" w:rsidRDefault="00AA2050"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 xml:space="preserve">תאגיד ידווח לבנק מדי יום ביומו על </w:t>
      </w:r>
      <w:r>
        <w:rPr>
          <w:rStyle w:val="default"/>
          <w:rFonts w:cs="FrankRuehl"/>
          <w:rtl/>
        </w:rPr>
        <w:t>–</w:t>
      </w:r>
    </w:p>
    <w:p w:rsidR="00AA2050" w:rsidRDefault="00AA2050" w:rsidP="00AA205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יתרת המטבע במרכז המזומנים שהוא מפעיל;</w:t>
      </w:r>
    </w:p>
    <w:p w:rsidR="00AA2050" w:rsidRDefault="00AA2050" w:rsidP="00AA205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אירועים חריגים במרכז המזומנים שהוא מפעיל;</w:t>
      </w:r>
    </w:p>
    <w:p w:rsidR="00AA2050" w:rsidRDefault="00AA2050" w:rsidP="00AA205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אירועים חריגים.</w:t>
      </w:r>
    </w:p>
    <w:p w:rsidR="00AA2050" w:rsidRDefault="00AA2050"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 xml:space="preserve">תאגיד ידווח לבנק מדי חודש בחודשו על </w:t>
      </w:r>
      <w:r>
        <w:rPr>
          <w:rStyle w:val="default"/>
          <w:rFonts w:cs="FrankRuehl"/>
          <w:rtl/>
        </w:rPr>
        <w:t>–</w:t>
      </w:r>
    </w:p>
    <w:p w:rsidR="00AA2050" w:rsidRDefault="00AA2050" w:rsidP="00431CAA">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היקף תנועת המטבע במרכז המזומנים שהוא מפעיל;</w:t>
      </w:r>
    </w:p>
    <w:p w:rsidR="00AA2050" w:rsidRDefault="00AA2050" w:rsidP="00431CA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משיכות והפקדות של תאגידים ומרכזי מזומנים ממרכז המזומנים שהוא מפעיל;</w:t>
      </w:r>
    </w:p>
    <w:p w:rsidR="00AA2050" w:rsidRDefault="00AA2050" w:rsidP="00431CA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גילוי מזויפים במרכז המזומנים שהוא מפעיל;</w:t>
      </w:r>
    </w:p>
    <w:p w:rsidR="00AA2050" w:rsidRDefault="00AA2050" w:rsidP="00431CA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גילוי מזויפים בסניפיו;</w:t>
      </w:r>
    </w:p>
    <w:p w:rsidR="00AA2050" w:rsidRDefault="00AA2050" w:rsidP="00431CA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היקף משיכות והפקדות במכונות אוטומטיות לביצוע פעולות במטבע המחוברות למערכותיו.</w:t>
      </w:r>
    </w:p>
    <w:p w:rsidR="00C66049" w:rsidRDefault="00C66049" w:rsidP="00431CAA">
      <w:pPr>
        <w:pStyle w:val="P00"/>
        <w:spacing w:before="72"/>
        <w:ind w:left="0" w:right="1134"/>
        <w:rPr>
          <w:rStyle w:val="default"/>
          <w:rFonts w:cs="FrankRuehl" w:hint="cs"/>
          <w:rtl/>
        </w:rPr>
      </w:pPr>
    </w:p>
    <w:p w:rsidR="00D25D5C" w:rsidRDefault="00D25D5C" w:rsidP="00431CAA">
      <w:pPr>
        <w:pStyle w:val="P00"/>
        <w:spacing w:before="72"/>
        <w:ind w:left="0" w:right="1134"/>
        <w:rPr>
          <w:rStyle w:val="default"/>
          <w:rFonts w:cs="FrankRuehl"/>
          <w:rtl/>
        </w:rPr>
      </w:pPr>
    </w:p>
    <w:p w:rsidR="005C17DB" w:rsidRDefault="00AA2050" w:rsidP="00AA2050">
      <w:pPr>
        <w:pStyle w:val="sig-0"/>
        <w:tabs>
          <w:tab w:val="clear" w:pos="4820"/>
          <w:tab w:val="center" w:pos="5103"/>
        </w:tabs>
        <w:ind w:left="0" w:right="1134"/>
        <w:rPr>
          <w:rFonts w:cs="FrankRuehl" w:hint="cs"/>
          <w:sz w:val="26"/>
          <w:rtl/>
        </w:rPr>
      </w:pPr>
      <w:r>
        <w:rPr>
          <w:rFonts w:cs="FrankRuehl" w:hint="cs"/>
          <w:sz w:val="26"/>
          <w:rtl/>
        </w:rPr>
        <w:t>כ"ז בטבת התשע"ז (25 בינואר 2017</w:t>
      </w:r>
      <w:r w:rsidR="008C2526">
        <w:rPr>
          <w:rFonts w:cs="FrankRuehl" w:hint="cs"/>
          <w:sz w:val="26"/>
          <w:rtl/>
        </w:rPr>
        <w:t>)</w:t>
      </w:r>
      <w:r w:rsidR="008C2526">
        <w:rPr>
          <w:rFonts w:cs="FrankRuehl" w:hint="cs"/>
          <w:sz w:val="26"/>
          <w:rtl/>
        </w:rPr>
        <w:tab/>
      </w:r>
      <w:r>
        <w:rPr>
          <w:rFonts w:cs="FrankRuehl" w:hint="cs"/>
          <w:sz w:val="26"/>
          <w:rtl/>
        </w:rPr>
        <w:t>קרנית פלוג</w:t>
      </w:r>
    </w:p>
    <w:p w:rsidR="005C17DB" w:rsidRDefault="008C2526" w:rsidP="009D120D">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9D120D">
        <w:rPr>
          <w:rFonts w:cs="FrankRuehl" w:hint="cs"/>
          <w:sz w:val="22"/>
          <w:rtl/>
        </w:rPr>
        <w:t>נגיד</w:t>
      </w:r>
      <w:r w:rsidR="00AA2050">
        <w:rPr>
          <w:rFonts w:cs="FrankRuehl" w:hint="cs"/>
          <w:sz w:val="22"/>
          <w:rtl/>
        </w:rPr>
        <w:t>ת</w:t>
      </w:r>
      <w:r w:rsidR="009D120D">
        <w:rPr>
          <w:rFonts w:cs="FrankRuehl" w:hint="cs"/>
          <w:sz w:val="22"/>
          <w:rtl/>
        </w:rPr>
        <w:t xml:space="preserve"> בנק ישראל</w:t>
      </w:r>
    </w:p>
    <w:p w:rsidR="00927A15" w:rsidRDefault="00927A15" w:rsidP="00927A15">
      <w:pPr>
        <w:pStyle w:val="P00"/>
        <w:spacing w:before="72"/>
        <w:ind w:left="0" w:right="1134"/>
        <w:rPr>
          <w:rStyle w:val="default"/>
          <w:rFonts w:cs="FrankRuehl" w:hint="cs"/>
          <w:rtl/>
        </w:rPr>
      </w:pPr>
    </w:p>
    <w:p w:rsidR="00A0668A" w:rsidRDefault="00A0668A" w:rsidP="00927A15">
      <w:pPr>
        <w:pStyle w:val="P00"/>
        <w:spacing w:before="72"/>
        <w:ind w:left="0" w:right="1134"/>
        <w:rPr>
          <w:rStyle w:val="default"/>
          <w:rFonts w:cs="FrankRuehl"/>
          <w:rtl/>
        </w:rPr>
      </w:pPr>
    </w:p>
    <w:p w:rsidR="00282856" w:rsidRDefault="00282856" w:rsidP="00927A15">
      <w:pPr>
        <w:pStyle w:val="P00"/>
        <w:spacing w:before="72"/>
        <w:ind w:left="0" w:right="1134"/>
        <w:rPr>
          <w:rStyle w:val="default"/>
          <w:rFonts w:cs="FrankRuehl"/>
          <w:rtl/>
        </w:rPr>
      </w:pPr>
    </w:p>
    <w:p w:rsidR="00282856" w:rsidRDefault="00282856" w:rsidP="00927A15">
      <w:pPr>
        <w:pStyle w:val="P00"/>
        <w:spacing w:before="72"/>
        <w:ind w:left="0" w:right="1134"/>
        <w:rPr>
          <w:rStyle w:val="default"/>
          <w:rFonts w:cs="FrankRuehl"/>
          <w:rtl/>
        </w:rPr>
      </w:pPr>
    </w:p>
    <w:p w:rsidR="00282856" w:rsidRDefault="00282856" w:rsidP="00282856">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A0668A" w:rsidRPr="00282856" w:rsidRDefault="00A0668A" w:rsidP="00282856">
      <w:pPr>
        <w:pStyle w:val="P00"/>
        <w:spacing w:before="72"/>
        <w:ind w:left="0" w:right="1134"/>
        <w:jc w:val="center"/>
        <w:rPr>
          <w:rStyle w:val="default"/>
          <w:rFonts w:cs="David"/>
          <w:color w:val="0000FF"/>
          <w:szCs w:val="24"/>
          <w:u w:val="single"/>
          <w:rtl/>
        </w:rPr>
      </w:pPr>
    </w:p>
    <w:sectPr w:rsidR="00A0668A" w:rsidRPr="0028285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B5D" w:rsidRDefault="006C7B5D">
      <w:r>
        <w:separator/>
      </w:r>
    </w:p>
  </w:endnote>
  <w:endnote w:type="continuationSeparator" w:id="0">
    <w:p w:rsidR="006C7B5D" w:rsidRDefault="006C7B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091E" w:rsidRDefault="009209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2091E" w:rsidRDefault="009209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091E" w:rsidRDefault="009209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668A">
      <w:rPr>
        <w:rFonts w:cs="TopType Jerushalmi"/>
        <w:noProof/>
        <w:color w:val="000000"/>
        <w:sz w:val="14"/>
        <w:szCs w:val="14"/>
      </w:rPr>
      <w:t>Z:\000-law\yael\2015\2015-06-22\tav\500_337.doc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091E" w:rsidRDefault="009209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2856">
      <w:rPr>
        <w:rFonts w:hAnsi="FrankRuehl" w:cs="FrankRuehl"/>
        <w:noProof/>
        <w:sz w:val="24"/>
        <w:szCs w:val="24"/>
        <w:rtl/>
      </w:rPr>
      <w:t>5</w:t>
    </w:r>
    <w:r>
      <w:rPr>
        <w:rFonts w:hAnsi="FrankRuehl" w:cs="FrankRuehl"/>
        <w:sz w:val="24"/>
        <w:szCs w:val="24"/>
        <w:rtl/>
      </w:rPr>
      <w:fldChar w:fldCharType="end"/>
    </w:r>
  </w:p>
  <w:p w:rsidR="0092091E" w:rsidRDefault="009209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2091E" w:rsidRDefault="009209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668A">
      <w:rPr>
        <w:rFonts w:cs="TopType Jerushalmi"/>
        <w:noProof/>
        <w:color w:val="000000"/>
        <w:sz w:val="14"/>
        <w:szCs w:val="14"/>
      </w:rPr>
      <w:t>Z:\000-law\yael\2015\2015-06-22\tav\500_337.doc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B5D" w:rsidRDefault="006C7B5D">
      <w:pPr>
        <w:spacing w:before="60"/>
        <w:ind w:right="1134"/>
      </w:pPr>
      <w:r>
        <w:separator/>
      </w:r>
    </w:p>
  </w:footnote>
  <w:footnote w:type="continuationSeparator" w:id="0">
    <w:p w:rsidR="006C7B5D" w:rsidRDefault="006C7B5D">
      <w:pPr>
        <w:spacing w:before="60"/>
        <w:ind w:right="1134"/>
      </w:pPr>
      <w:r>
        <w:separator/>
      </w:r>
    </w:p>
  </w:footnote>
  <w:footnote w:id="1">
    <w:p w:rsidR="001F7048" w:rsidRDefault="0092091E" w:rsidP="001F704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F7048">
          <w:rPr>
            <w:rStyle w:val="Hyperlink"/>
            <w:rFonts w:cs="FrankRuehl" w:hint="cs"/>
            <w:rtl/>
          </w:rPr>
          <w:t>ק"ת תשע</w:t>
        </w:r>
        <w:r w:rsidR="00C66049" w:rsidRPr="001F7048">
          <w:rPr>
            <w:rStyle w:val="Hyperlink"/>
            <w:rFonts w:cs="FrankRuehl" w:hint="cs"/>
            <w:rtl/>
          </w:rPr>
          <w:t>"ז</w:t>
        </w:r>
        <w:r w:rsidRPr="001F7048">
          <w:rPr>
            <w:rStyle w:val="Hyperlink"/>
            <w:rFonts w:cs="FrankRuehl" w:hint="cs"/>
            <w:rtl/>
          </w:rPr>
          <w:t xml:space="preserve"> מס' </w:t>
        </w:r>
        <w:r w:rsidR="00C66049" w:rsidRPr="001F7048">
          <w:rPr>
            <w:rStyle w:val="Hyperlink"/>
            <w:rFonts w:cs="FrankRuehl" w:hint="cs"/>
            <w:rtl/>
          </w:rPr>
          <w:t>7791</w:t>
        </w:r>
      </w:hyperlink>
      <w:r>
        <w:rPr>
          <w:rFonts w:cs="FrankRuehl" w:hint="cs"/>
          <w:rtl/>
        </w:rPr>
        <w:t xml:space="preserve"> מיום </w:t>
      </w:r>
      <w:r w:rsidR="00C66049">
        <w:rPr>
          <w:rFonts w:cs="FrankRuehl" w:hint="cs"/>
          <w:rtl/>
        </w:rPr>
        <w:t>21.3.2017</w:t>
      </w:r>
      <w:r>
        <w:rPr>
          <w:rFonts w:cs="FrankRuehl" w:hint="cs"/>
          <w:rtl/>
        </w:rPr>
        <w:t xml:space="preserve"> עמ' </w:t>
      </w:r>
      <w:r w:rsidR="00C66049">
        <w:rPr>
          <w:rFonts w:cs="FrankRuehl" w:hint="cs"/>
          <w:rtl/>
        </w:rPr>
        <w:t>884</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091E" w:rsidRDefault="009209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2091E" w:rsidRDefault="001F7845" w:rsidP="00C6604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בנק ישראל (</w:t>
    </w:r>
    <w:r w:rsidR="00C66049">
      <w:rPr>
        <w:rFonts w:hAnsi="FrankRuehl" w:cs="FrankRuehl" w:hint="cs"/>
        <w:color w:val="000000"/>
        <w:sz w:val="28"/>
        <w:szCs w:val="28"/>
        <w:rtl/>
      </w:rPr>
      <w:t>כללים להפעלה סדירה של מערכת המטבע), תשע"ז-2017</w:t>
    </w:r>
  </w:p>
  <w:p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574053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320ED"/>
    <w:rsid w:val="000619D9"/>
    <w:rsid w:val="00064468"/>
    <w:rsid w:val="00087B36"/>
    <w:rsid w:val="000C7AD3"/>
    <w:rsid w:val="000D7097"/>
    <w:rsid w:val="000D7FBE"/>
    <w:rsid w:val="0010753D"/>
    <w:rsid w:val="00112119"/>
    <w:rsid w:val="00122C2E"/>
    <w:rsid w:val="001275F0"/>
    <w:rsid w:val="00155F05"/>
    <w:rsid w:val="0016028C"/>
    <w:rsid w:val="00196869"/>
    <w:rsid w:val="00197346"/>
    <w:rsid w:val="001C4AB6"/>
    <w:rsid w:val="001E0FA8"/>
    <w:rsid w:val="001E280D"/>
    <w:rsid w:val="001F7048"/>
    <w:rsid w:val="001F7845"/>
    <w:rsid w:val="002216B6"/>
    <w:rsid w:val="002538D4"/>
    <w:rsid w:val="00261666"/>
    <w:rsid w:val="00282856"/>
    <w:rsid w:val="002A6EB1"/>
    <w:rsid w:val="002B5C82"/>
    <w:rsid w:val="002C7187"/>
    <w:rsid w:val="002E3E60"/>
    <w:rsid w:val="0033559B"/>
    <w:rsid w:val="00345F97"/>
    <w:rsid w:val="003528CA"/>
    <w:rsid w:val="003A23D8"/>
    <w:rsid w:val="003B7A18"/>
    <w:rsid w:val="003E74D6"/>
    <w:rsid w:val="003F5C71"/>
    <w:rsid w:val="00431CAA"/>
    <w:rsid w:val="00453B3D"/>
    <w:rsid w:val="004573DF"/>
    <w:rsid w:val="00460500"/>
    <w:rsid w:val="00494131"/>
    <w:rsid w:val="004C3C1F"/>
    <w:rsid w:val="005660B8"/>
    <w:rsid w:val="00574BC7"/>
    <w:rsid w:val="00576CBA"/>
    <w:rsid w:val="00591AD8"/>
    <w:rsid w:val="005A3356"/>
    <w:rsid w:val="005C17DB"/>
    <w:rsid w:val="005E7167"/>
    <w:rsid w:val="005F2453"/>
    <w:rsid w:val="005F4CDA"/>
    <w:rsid w:val="00635CB5"/>
    <w:rsid w:val="006849D8"/>
    <w:rsid w:val="00685F50"/>
    <w:rsid w:val="00691519"/>
    <w:rsid w:val="006B09A0"/>
    <w:rsid w:val="006C7B5D"/>
    <w:rsid w:val="006F0530"/>
    <w:rsid w:val="00732089"/>
    <w:rsid w:val="0075069C"/>
    <w:rsid w:val="0076254E"/>
    <w:rsid w:val="0078071F"/>
    <w:rsid w:val="007B0610"/>
    <w:rsid w:val="007C0B21"/>
    <w:rsid w:val="008055DD"/>
    <w:rsid w:val="008159FF"/>
    <w:rsid w:val="00852A6C"/>
    <w:rsid w:val="0085655A"/>
    <w:rsid w:val="00857C97"/>
    <w:rsid w:val="0086107A"/>
    <w:rsid w:val="0087478D"/>
    <w:rsid w:val="0087771D"/>
    <w:rsid w:val="0089792E"/>
    <w:rsid w:val="008A638E"/>
    <w:rsid w:val="008C2526"/>
    <w:rsid w:val="008E367E"/>
    <w:rsid w:val="00904EEA"/>
    <w:rsid w:val="00906581"/>
    <w:rsid w:val="0092091E"/>
    <w:rsid w:val="00927A15"/>
    <w:rsid w:val="009C2916"/>
    <w:rsid w:val="009D120D"/>
    <w:rsid w:val="00A0668A"/>
    <w:rsid w:val="00A10AE2"/>
    <w:rsid w:val="00A14F70"/>
    <w:rsid w:val="00A9239A"/>
    <w:rsid w:val="00A92E2C"/>
    <w:rsid w:val="00AA2050"/>
    <w:rsid w:val="00AC7B1B"/>
    <w:rsid w:val="00AE77CF"/>
    <w:rsid w:val="00B17AF7"/>
    <w:rsid w:val="00B31DF7"/>
    <w:rsid w:val="00B62BCF"/>
    <w:rsid w:val="00B8400A"/>
    <w:rsid w:val="00B84C6D"/>
    <w:rsid w:val="00B87DA4"/>
    <w:rsid w:val="00BD6E04"/>
    <w:rsid w:val="00BE03B7"/>
    <w:rsid w:val="00BF580C"/>
    <w:rsid w:val="00C17A30"/>
    <w:rsid w:val="00C53230"/>
    <w:rsid w:val="00C5540E"/>
    <w:rsid w:val="00C6067A"/>
    <w:rsid w:val="00C66049"/>
    <w:rsid w:val="00C75E63"/>
    <w:rsid w:val="00CA32DB"/>
    <w:rsid w:val="00CD6719"/>
    <w:rsid w:val="00D00C6A"/>
    <w:rsid w:val="00D10BBD"/>
    <w:rsid w:val="00D25D5C"/>
    <w:rsid w:val="00D3243E"/>
    <w:rsid w:val="00D33D4D"/>
    <w:rsid w:val="00D4088D"/>
    <w:rsid w:val="00D5121D"/>
    <w:rsid w:val="00D55EBB"/>
    <w:rsid w:val="00D714B8"/>
    <w:rsid w:val="00D763FA"/>
    <w:rsid w:val="00D909F6"/>
    <w:rsid w:val="00DA3C17"/>
    <w:rsid w:val="00DC6B1A"/>
    <w:rsid w:val="00DD7192"/>
    <w:rsid w:val="00DE7FAD"/>
    <w:rsid w:val="00DF22F3"/>
    <w:rsid w:val="00DF6664"/>
    <w:rsid w:val="00E163E5"/>
    <w:rsid w:val="00E7792F"/>
    <w:rsid w:val="00E9512A"/>
    <w:rsid w:val="00E967BF"/>
    <w:rsid w:val="00EB368B"/>
    <w:rsid w:val="00ED50FD"/>
    <w:rsid w:val="00EE70B6"/>
    <w:rsid w:val="00EF1C64"/>
    <w:rsid w:val="00F062AE"/>
    <w:rsid w:val="00F06EE7"/>
    <w:rsid w:val="00F10C4A"/>
    <w:rsid w:val="00F67F6D"/>
    <w:rsid w:val="00F810E4"/>
    <w:rsid w:val="00F87D85"/>
    <w:rsid w:val="00FA1FFE"/>
    <w:rsid w:val="00FB3835"/>
    <w:rsid w:val="00FB3E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BC74683-4830-4E20-B276-D3B5752C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79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1395</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9332</CharactersWithSpaces>
  <SharedDoc>false</SharedDoc>
  <HLinks>
    <vt:vector size="102" baseType="variant">
      <vt:variant>
        <vt:i4>393283</vt:i4>
      </vt:variant>
      <vt:variant>
        <vt:i4>90</vt:i4>
      </vt:variant>
      <vt:variant>
        <vt:i4>0</vt:i4>
      </vt:variant>
      <vt:variant>
        <vt:i4>5</vt:i4>
      </vt:variant>
      <vt:variant>
        <vt:lpwstr>http://www.nevo.co.il/advertisements/nevo-100.doc</vt:lpwstr>
      </vt:variant>
      <vt:variant>
        <vt:lpwstr/>
      </vt:variant>
      <vt:variant>
        <vt:i4>5505033</vt:i4>
      </vt:variant>
      <vt:variant>
        <vt:i4>84</vt:i4>
      </vt:variant>
      <vt:variant>
        <vt:i4>0</vt:i4>
      </vt:variant>
      <vt:variant>
        <vt:i4>5</vt:i4>
      </vt:variant>
      <vt:variant>
        <vt:lpwstr/>
      </vt:variant>
      <vt:variant>
        <vt:lpwstr>med1</vt:lpwstr>
      </vt:variant>
      <vt:variant>
        <vt:i4>5570569</vt:i4>
      </vt:variant>
      <vt:variant>
        <vt:i4>78</vt:i4>
      </vt:variant>
      <vt:variant>
        <vt:i4>0</vt:i4>
      </vt:variant>
      <vt:variant>
        <vt:i4>5</vt:i4>
      </vt:variant>
      <vt:variant>
        <vt:lpwstr/>
      </vt:variant>
      <vt:variant>
        <vt:lpwstr>med0</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7798798</vt:i4>
      </vt:variant>
      <vt:variant>
        <vt:i4>0</vt:i4>
      </vt:variant>
      <vt:variant>
        <vt:i4>0</vt:i4>
      </vt:variant>
      <vt:variant>
        <vt:i4>5</vt:i4>
      </vt:variant>
      <vt:variant>
        <vt:lpwstr>http://www.nevo.co.il/Law_word/law06/tak-7791.pdf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run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כללי בנק ישראל (כללים להפעלה סדירה של מערכת המטבע), תשע"ז-2017</vt:lpwstr>
  </property>
  <property fmtid="{D5CDD505-2E9C-101B-9397-08002B2CF9AE}" pid="4" name="LAWNUMBER">
    <vt:lpwstr>0580</vt:lpwstr>
  </property>
  <property fmtid="{D5CDD505-2E9C-101B-9397-08002B2CF9AE}" pid="5" name="TYPE">
    <vt:lpwstr>01</vt:lpwstr>
  </property>
  <property fmtid="{D5CDD505-2E9C-101B-9397-08002B2CF9AE}" pid="6" name="CHNAME">
    <vt:lpwstr>בנקאות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2">
    <vt:lpwstr>משפט פרטי וכלכלה</vt:lpwstr>
  </property>
  <property fmtid="{D5CDD505-2E9C-101B-9397-08002B2CF9AE}" pid="24" name="NOSE22">
    <vt:lpwstr>כספים</vt:lpwstr>
  </property>
  <property fmtid="{D5CDD505-2E9C-101B-9397-08002B2CF9AE}" pid="25" name="NOSE32">
    <vt:lpwstr>בנק ישראל</vt:lpwstr>
  </property>
  <property fmtid="{D5CDD505-2E9C-101B-9397-08002B2CF9AE}" pid="26" name="NOSE42">
    <vt:lpwstr>שטרי כסף ומעות</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NOSE41">
    <vt:lpwstr/>
  </property>
  <property fmtid="{D5CDD505-2E9C-101B-9397-08002B2CF9AE}" pid="60" name="NOSE11">
    <vt:lpwstr>משפט פרטי וכלכלה</vt:lpwstr>
  </property>
  <property fmtid="{D5CDD505-2E9C-101B-9397-08002B2CF9AE}" pid="61" name="NOSE21">
    <vt:lpwstr>כספים</vt:lpwstr>
  </property>
  <property fmtid="{D5CDD505-2E9C-101B-9397-08002B2CF9AE}" pid="62" name="NOSE31">
    <vt:lpwstr>מטבע</vt:lpwstr>
  </property>
  <property fmtid="{D5CDD505-2E9C-101B-9397-08002B2CF9AE}" pid="63" name="MEKOR_NAME1">
    <vt:lpwstr>חוק בנק ישראל</vt:lpwstr>
  </property>
  <property fmtid="{D5CDD505-2E9C-101B-9397-08002B2CF9AE}" pid="64" name="MEKOR_SAIF1">
    <vt:lpwstr>46X;47X</vt:lpwstr>
  </property>
  <property fmtid="{D5CDD505-2E9C-101B-9397-08002B2CF9AE}" pid="65" name="LINKK1">
    <vt:lpwstr>http://www.nevo.co.il/Law_word/law06/tak-7791.pdf;‎רשומות - תקנות כלליות#פורסמו ק"ת ‏תשע"ז מס' 7791 #מיום 21.3.2017 עמ' 884‏</vt:lpwstr>
  </property>
</Properties>
</file>