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3415DF" w:rsidP="00AF5921">
      <w:pPr>
        <w:pStyle w:val="big-header"/>
        <w:spacing w:line="240" w:lineRule="auto"/>
        <w:ind w:left="0" w:right="1134"/>
        <w:rPr>
          <w:rFonts w:cs="FrankRuehl" w:hint="cs"/>
          <w:sz w:val="32"/>
          <w:rtl/>
        </w:rPr>
      </w:pPr>
      <w:r>
        <w:rPr>
          <w:rFonts w:cs="FrankRuehl" w:hint="cs"/>
          <w:sz w:val="32"/>
          <w:rtl/>
        </w:rPr>
        <w:t xml:space="preserve">כללי </w:t>
      </w:r>
      <w:r w:rsidR="00AF5921">
        <w:rPr>
          <w:rFonts w:cs="FrankRuehl" w:hint="cs"/>
          <w:sz w:val="32"/>
          <w:rtl/>
        </w:rPr>
        <w:t>הבנקאות (רישוי) (</w:t>
      </w:r>
      <w:r w:rsidR="0073691D">
        <w:rPr>
          <w:rFonts w:cs="FrankRuehl" w:hint="cs"/>
          <w:sz w:val="32"/>
          <w:rtl/>
        </w:rPr>
        <w:t>תנאי אירוח סולק), תשע"ח-2018</w:t>
      </w:r>
    </w:p>
    <w:p w:rsidR="00AF5921" w:rsidRPr="00AF5921" w:rsidRDefault="00AF5921" w:rsidP="00AF5921">
      <w:pPr>
        <w:spacing w:line="320" w:lineRule="auto"/>
        <w:jc w:val="left"/>
        <w:rPr>
          <w:rFonts w:cs="FrankRuehl"/>
          <w:szCs w:val="26"/>
          <w:rtl/>
        </w:rPr>
      </w:pPr>
    </w:p>
    <w:p w:rsidR="00AF5921" w:rsidRDefault="00AF5921" w:rsidP="00AF5921">
      <w:pPr>
        <w:spacing w:line="320" w:lineRule="auto"/>
        <w:jc w:val="left"/>
        <w:rPr>
          <w:rtl/>
        </w:rPr>
      </w:pPr>
    </w:p>
    <w:p w:rsidR="00AF5921" w:rsidRDefault="00AF5921" w:rsidP="00AF5921">
      <w:pPr>
        <w:spacing w:line="320" w:lineRule="auto"/>
        <w:jc w:val="left"/>
        <w:rPr>
          <w:rFonts w:cs="Miriam"/>
          <w:szCs w:val="22"/>
          <w:rtl/>
        </w:rPr>
      </w:pPr>
      <w:r w:rsidRPr="00AF5921">
        <w:rPr>
          <w:rFonts w:cs="Miriam"/>
          <w:szCs w:val="22"/>
          <w:rtl/>
        </w:rPr>
        <w:t>משפט פרטי וכלכלה</w:t>
      </w:r>
      <w:r w:rsidRPr="00AF5921">
        <w:rPr>
          <w:rFonts w:cs="FrankRuehl"/>
          <w:szCs w:val="26"/>
          <w:rtl/>
        </w:rPr>
        <w:t xml:space="preserve"> – כספים – בנקאות – רישוי</w:t>
      </w:r>
    </w:p>
    <w:p w:rsidR="00AF5921" w:rsidRPr="00AF5921" w:rsidRDefault="00AF5921" w:rsidP="00AF5921">
      <w:pPr>
        <w:spacing w:line="320" w:lineRule="auto"/>
        <w:jc w:val="left"/>
        <w:rPr>
          <w:rFonts w:cs="Miriam" w:hint="cs"/>
          <w:szCs w:val="22"/>
          <w:rtl/>
        </w:rPr>
      </w:pPr>
      <w:r w:rsidRPr="00AF5921">
        <w:rPr>
          <w:rFonts w:cs="Miriam"/>
          <w:szCs w:val="22"/>
          <w:rtl/>
        </w:rPr>
        <w:t>רשויות ומשפט מנהלי</w:t>
      </w:r>
      <w:r w:rsidRPr="00AF5921">
        <w:rPr>
          <w:rFonts w:cs="FrankRuehl"/>
          <w:szCs w:val="26"/>
          <w:rtl/>
        </w:rPr>
        <w:t xml:space="preserve"> – רישוי – בנקאות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7039" w:rsidRPr="00067039" w:rsidTr="00067039">
        <w:tblPrEx>
          <w:tblCellMar>
            <w:top w:w="0" w:type="dxa"/>
            <w:bottom w:w="0" w:type="dxa"/>
          </w:tblCellMar>
        </w:tblPrEx>
        <w:tc>
          <w:tcPr>
            <w:tcW w:w="1247" w:type="dxa"/>
          </w:tcPr>
          <w:p w:rsidR="00067039" w:rsidRPr="00067039" w:rsidRDefault="00067039" w:rsidP="00067039">
            <w:pPr>
              <w:spacing w:line="240" w:lineRule="auto"/>
              <w:jc w:val="left"/>
              <w:rPr>
                <w:rFonts w:cs="Frankruhel"/>
                <w:sz w:val="24"/>
                <w:rtl/>
              </w:rPr>
            </w:pPr>
            <w:r>
              <w:rPr>
                <w:rFonts w:cs="Times New Roman"/>
                <w:sz w:val="24"/>
                <w:rtl/>
              </w:rPr>
              <w:t xml:space="preserve">סעיף 1 </w:t>
            </w:r>
          </w:p>
        </w:tc>
        <w:tc>
          <w:tcPr>
            <w:tcW w:w="5669" w:type="dxa"/>
          </w:tcPr>
          <w:p w:rsidR="00067039" w:rsidRPr="00067039" w:rsidRDefault="00067039" w:rsidP="00067039">
            <w:pPr>
              <w:spacing w:line="240" w:lineRule="auto"/>
              <w:jc w:val="left"/>
              <w:rPr>
                <w:rFonts w:cs="Frankruhel"/>
                <w:sz w:val="24"/>
                <w:rtl/>
              </w:rPr>
            </w:pPr>
            <w:r>
              <w:rPr>
                <w:rFonts w:cs="Times New Roman"/>
                <w:sz w:val="24"/>
                <w:rtl/>
              </w:rPr>
              <w:t>הגדרות</w:t>
            </w:r>
          </w:p>
        </w:tc>
        <w:tc>
          <w:tcPr>
            <w:tcW w:w="567" w:type="dxa"/>
          </w:tcPr>
          <w:p w:rsidR="00067039" w:rsidRPr="00067039" w:rsidRDefault="00067039" w:rsidP="00067039">
            <w:pPr>
              <w:spacing w:line="240" w:lineRule="auto"/>
              <w:jc w:val="left"/>
              <w:rPr>
                <w:rStyle w:val="Hyperlink"/>
                <w:rtl/>
              </w:rPr>
            </w:pPr>
            <w:hyperlink w:anchor="Seif1" w:tooltip="הגדרות" w:history="1">
              <w:r w:rsidRPr="00067039">
                <w:rPr>
                  <w:rStyle w:val="Hyperlink"/>
                </w:rPr>
                <w:t>Go</w:t>
              </w:r>
            </w:hyperlink>
          </w:p>
        </w:tc>
        <w:tc>
          <w:tcPr>
            <w:tcW w:w="850" w:type="dxa"/>
          </w:tcPr>
          <w:p w:rsidR="00067039" w:rsidRPr="00067039" w:rsidRDefault="00067039" w:rsidP="000670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67039" w:rsidRPr="00067039" w:rsidTr="00067039">
        <w:tblPrEx>
          <w:tblCellMar>
            <w:top w:w="0" w:type="dxa"/>
            <w:bottom w:w="0" w:type="dxa"/>
          </w:tblCellMar>
        </w:tblPrEx>
        <w:tc>
          <w:tcPr>
            <w:tcW w:w="1247" w:type="dxa"/>
          </w:tcPr>
          <w:p w:rsidR="00067039" w:rsidRPr="00067039" w:rsidRDefault="00067039" w:rsidP="00067039">
            <w:pPr>
              <w:spacing w:line="240" w:lineRule="auto"/>
              <w:jc w:val="left"/>
              <w:rPr>
                <w:rFonts w:cs="Frankruhel"/>
                <w:sz w:val="24"/>
                <w:rtl/>
              </w:rPr>
            </w:pPr>
            <w:r>
              <w:rPr>
                <w:rFonts w:cs="Times New Roman"/>
                <w:sz w:val="24"/>
                <w:rtl/>
              </w:rPr>
              <w:t xml:space="preserve">סעיף 2 </w:t>
            </w:r>
          </w:p>
        </w:tc>
        <w:tc>
          <w:tcPr>
            <w:tcW w:w="5669" w:type="dxa"/>
          </w:tcPr>
          <w:p w:rsidR="00067039" w:rsidRPr="00067039" w:rsidRDefault="00067039" w:rsidP="00067039">
            <w:pPr>
              <w:spacing w:line="240" w:lineRule="auto"/>
              <w:jc w:val="left"/>
              <w:rPr>
                <w:rFonts w:cs="Frankruhel"/>
                <w:sz w:val="24"/>
                <w:rtl/>
              </w:rPr>
            </w:pPr>
            <w:r>
              <w:rPr>
                <w:rFonts w:cs="Times New Roman"/>
                <w:sz w:val="24"/>
                <w:rtl/>
              </w:rPr>
              <w:t>תנאי האירוח</w:t>
            </w:r>
          </w:p>
        </w:tc>
        <w:tc>
          <w:tcPr>
            <w:tcW w:w="567" w:type="dxa"/>
          </w:tcPr>
          <w:p w:rsidR="00067039" w:rsidRPr="00067039" w:rsidRDefault="00067039" w:rsidP="00067039">
            <w:pPr>
              <w:spacing w:line="240" w:lineRule="auto"/>
              <w:jc w:val="left"/>
              <w:rPr>
                <w:rStyle w:val="Hyperlink"/>
                <w:rtl/>
              </w:rPr>
            </w:pPr>
            <w:hyperlink w:anchor="Seif2" w:tooltip="תנאי האירוח" w:history="1">
              <w:r w:rsidRPr="00067039">
                <w:rPr>
                  <w:rStyle w:val="Hyperlink"/>
                </w:rPr>
                <w:t>Go</w:t>
              </w:r>
            </w:hyperlink>
          </w:p>
        </w:tc>
        <w:tc>
          <w:tcPr>
            <w:tcW w:w="850" w:type="dxa"/>
          </w:tcPr>
          <w:p w:rsidR="00067039" w:rsidRPr="00067039" w:rsidRDefault="00067039" w:rsidP="000670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67039" w:rsidRPr="00067039" w:rsidTr="00067039">
        <w:tblPrEx>
          <w:tblCellMar>
            <w:top w:w="0" w:type="dxa"/>
            <w:bottom w:w="0" w:type="dxa"/>
          </w:tblCellMar>
        </w:tblPrEx>
        <w:tc>
          <w:tcPr>
            <w:tcW w:w="1247" w:type="dxa"/>
          </w:tcPr>
          <w:p w:rsidR="00067039" w:rsidRPr="00067039" w:rsidRDefault="00067039" w:rsidP="00067039">
            <w:pPr>
              <w:spacing w:line="240" w:lineRule="auto"/>
              <w:jc w:val="left"/>
              <w:rPr>
                <w:rFonts w:cs="Frankruhel"/>
                <w:sz w:val="24"/>
                <w:rtl/>
              </w:rPr>
            </w:pPr>
            <w:r>
              <w:rPr>
                <w:rFonts w:cs="Times New Roman"/>
                <w:sz w:val="24"/>
                <w:rtl/>
              </w:rPr>
              <w:t xml:space="preserve">סעיף 3 </w:t>
            </w:r>
          </w:p>
        </w:tc>
        <w:tc>
          <w:tcPr>
            <w:tcW w:w="5669" w:type="dxa"/>
          </w:tcPr>
          <w:p w:rsidR="00067039" w:rsidRPr="00067039" w:rsidRDefault="00067039" w:rsidP="00067039">
            <w:pPr>
              <w:spacing w:line="240" w:lineRule="auto"/>
              <w:jc w:val="left"/>
              <w:rPr>
                <w:rFonts w:cs="Frankruhel"/>
                <w:sz w:val="24"/>
                <w:rtl/>
              </w:rPr>
            </w:pPr>
            <w:r>
              <w:rPr>
                <w:rFonts w:cs="Times New Roman"/>
                <w:sz w:val="24"/>
                <w:rtl/>
              </w:rPr>
              <w:t>הסכם אירוח</w:t>
            </w:r>
          </w:p>
        </w:tc>
        <w:tc>
          <w:tcPr>
            <w:tcW w:w="567" w:type="dxa"/>
          </w:tcPr>
          <w:p w:rsidR="00067039" w:rsidRPr="00067039" w:rsidRDefault="00067039" w:rsidP="00067039">
            <w:pPr>
              <w:spacing w:line="240" w:lineRule="auto"/>
              <w:jc w:val="left"/>
              <w:rPr>
                <w:rStyle w:val="Hyperlink"/>
                <w:rtl/>
              </w:rPr>
            </w:pPr>
            <w:hyperlink w:anchor="Seif3" w:tooltip="הסכם אירוח" w:history="1">
              <w:r w:rsidRPr="00067039">
                <w:rPr>
                  <w:rStyle w:val="Hyperlink"/>
                </w:rPr>
                <w:t>Go</w:t>
              </w:r>
            </w:hyperlink>
          </w:p>
        </w:tc>
        <w:tc>
          <w:tcPr>
            <w:tcW w:w="850" w:type="dxa"/>
          </w:tcPr>
          <w:p w:rsidR="00067039" w:rsidRPr="00067039" w:rsidRDefault="00067039" w:rsidP="000670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67039" w:rsidRPr="00067039" w:rsidTr="00067039">
        <w:tblPrEx>
          <w:tblCellMar>
            <w:top w:w="0" w:type="dxa"/>
            <w:bottom w:w="0" w:type="dxa"/>
          </w:tblCellMar>
        </w:tblPrEx>
        <w:tc>
          <w:tcPr>
            <w:tcW w:w="1247" w:type="dxa"/>
          </w:tcPr>
          <w:p w:rsidR="00067039" w:rsidRPr="00067039" w:rsidRDefault="00067039" w:rsidP="00067039">
            <w:pPr>
              <w:spacing w:line="240" w:lineRule="auto"/>
              <w:jc w:val="left"/>
              <w:rPr>
                <w:rFonts w:cs="Frankruhel"/>
                <w:sz w:val="24"/>
                <w:rtl/>
              </w:rPr>
            </w:pPr>
            <w:r>
              <w:rPr>
                <w:rFonts w:cs="Times New Roman"/>
                <w:sz w:val="24"/>
                <w:rtl/>
              </w:rPr>
              <w:t xml:space="preserve">סעיף 4 </w:t>
            </w:r>
          </w:p>
        </w:tc>
        <w:tc>
          <w:tcPr>
            <w:tcW w:w="5669" w:type="dxa"/>
          </w:tcPr>
          <w:p w:rsidR="00067039" w:rsidRPr="00067039" w:rsidRDefault="00067039" w:rsidP="00067039">
            <w:pPr>
              <w:spacing w:line="240" w:lineRule="auto"/>
              <w:jc w:val="left"/>
              <w:rPr>
                <w:rFonts w:cs="Frankruhel"/>
                <w:sz w:val="24"/>
                <w:rtl/>
              </w:rPr>
            </w:pPr>
            <w:r>
              <w:rPr>
                <w:rFonts w:cs="Times New Roman"/>
                <w:sz w:val="24"/>
                <w:rtl/>
              </w:rPr>
              <w:t>מחיר האירוח</w:t>
            </w:r>
          </w:p>
        </w:tc>
        <w:tc>
          <w:tcPr>
            <w:tcW w:w="567" w:type="dxa"/>
          </w:tcPr>
          <w:p w:rsidR="00067039" w:rsidRPr="00067039" w:rsidRDefault="00067039" w:rsidP="00067039">
            <w:pPr>
              <w:spacing w:line="240" w:lineRule="auto"/>
              <w:jc w:val="left"/>
              <w:rPr>
                <w:rStyle w:val="Hyperlink"/>
                <w:rtl/>
              </w:rPr>
            </w:pPr>
            <w:hyperlink w:anchor="Seif4" w:tooltip="מחיר האירוח" w:history="1">
              <w:r w:rsidRPr="00067039">
                <w:rPr>
                  <w:rStyle w:val="Hyperlink"/>
                </w:rPr>
                <w:t>Go</w:t>
              </w:r>
            </w:hyperlink>
          </w:p>
        </w:tc>
        <w:tc>
          <w:tcPr>
            <w:tcW w:w="850" w:type="dxa"/>
          </w:tcPr>
          <w:p w:rsidR="00067039" w:rsidRPr="00067039" w:rsidRDefault="00067039" w:rsidP="000670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67039" w:rsidRPr="00067039" w:rsidTr="00067039">
        <w:tblPrEx>
          <w:tblCellMar>
            <w:top w:w="0" w:type="dxa"/>
            <w:bottom w:w="0" w:type="dxa"/>
          </w:tblCellMar>
        </w:tblPrEx>
        <w:tc>
          <w:tcPr>
            <w:tcW w:w="1247" w:type="dxa"/>
          </w:tcPr>
          <w:p w:rsidR="00067039" w:rsidRPr="00067039" w:rsidRDefault="00067039" w:rsidP="00067039">
            <w:pPr>
              <w:spacing w:line="240" w:lineRule="auto"/>
              <w:jc w:val="left"/>
              <w:rPr>
                <w:rFonts w:cs="Frankruhel"/>
                <w:sz w:val="24"/>
                <w:rtl/>
              </w:rPr>
            </w:pPr>
            <w:r>
              <w:rPr>
                <w:rFonts w:cs="Times New Roman"/>
                <w:sz w:val="24"/>
                <w:rtl/>
              </w:rPr>
              <w:t xml:space="preserve">סעיף 5 </w:t>
            </w:r>
          </w:p>
        </w:tc>
        <w:tc>
          <w:tcPr>
            <w:tcW w:w="5669" w:type="dxa"/>
          </w:tcPr>
          <w:p w:rsidR="00067039" w:rsidRPr="00067039" w:rsidRDefault="00067039" w:rsidP="00067039">
            <w:pPr>
              <w:spacing w:line="240" w:lineRule="auto"/>
              <w:jc w:val="left"/>
              <w:rPr>
                <w:rFonts w:cs="Frankruhel"/>
                <w:sz w:val="24"/>
                <w:rtl/>
              </w:rPr>
            </w:pPr>
            <w:r>
              <w:rPr>
                <w:rFonts w:cs="Times New Roman"/>
                <w:sz w:val="24"/>
                <w:rtl/>
              </w:rPr>
              <w:t>מגבלת סליקת סולק מתארח</w:t>
            </w:r>
          </w:p>
        </w:tc>
        <w:tc>
          <w:tcPr>
            <w:tcW w:w="567" w:type="dxa"/>
          </w:tcPr>
          <w:p w:rsidR="00067039" w:rsidRPr="00067039" w:rsidRDefault="00067039" w:rsidP="00067039">
            <w:pPr>
              <w:spacing w:line="240" w:lineRule="auto"/>
              <w:jc w:val="left"/>
              <w:rPr>
                <w:rStyle w:val="Hyperlink"/>
                <w:rtl/>
              </w:rPr>
            </w:pPr>
            <w:hyperlink w:anchor="Seif5" w:tooltip="מגבלת סליקת סולק מתארח" w:history="1">
              <w:r w:rsidRPr="00067039">
                <w:rPr>
                  <w:rStyle w:val="Hyperlink"/>
                </w:rPr>
                <w:t>Go</w:t>
              </w:r>
            </w:hyperlink>
          </w:p>
        </w:tc>
        <w:tc>
          <w:tcPr>
            <w:tcW w:w="850" w:type="dxa"/>
          </w:tcPr>
          <w:p w:rsidR="00067039" w:rsidRPr="00067039" w:rsidRDefault="00067039" w:rsidP="000670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25D5C" w:rsidRDefault="00D25D5C" w:rsidP="00AF5921">
      <w:pPr>
        <w:pStyle w:val="big-header"/>
        <w:spacing w:line="240" w:lineRule="auto"/>
        <w:ind w:left="0" w:right="1134"/>
        <w:rPr>
          <w:rStyle w:val="default"/>
          <w:rFonts w:hint="cs"/>
          <w:sz w:val="22"/>
          <w:szCs w:val="22"/>
          <w:rtl/>
        </w:rPr>
      </w:pPr>
      <w:r>
        <w:rPr>
          <w:rFonts w:cs="FrankRuehl"/>
          <w:sz w:val="32"/>
          <w:rtl/>
        </w:rPr>
        <w:br w:type="page"/>
      </w:r>
      <w:r w:rsidR="00AF5921">
        <w:rPr>
          <w:rFonts w:cs="FrankRuehl" w:hint="cs"/>
          <w:sz w:val="32"/>
          <w:rtl/>
        </w:rPr>
        <w:lastRenderedPageBreak/>
        <w:t>כללי הבנקאות (רישוי) (</w:t>
      </w:r>
      <w:r w:rsidR="0073691D">
        <w:rPr>
          <w:rFonts w:cs="FrankRuehl" w:hint="cs"/>
          <w:sz w:val="32"/>
          <w:rtl/>
        </w:rPr>
        <w:t>תנאי אירוח סולק), תשע"ח-2018</w:t>
      </w:r>
      <w:r>
        <w:rPr>
          <w:rStyle w:val="default"/>
          <w:sz w:val="22"/>
          <w:szCs w:val="22"/>
          <w:rtl/>
        </w:rPr>
        <w:footnoteReference w:customMarkFollows="1" w:id="1"/>
        <w:t>*</w:t>
      </w:r>
    </w:p>
    <w:p w:rsidR="00BD1625" w:rsidRDefault="00D43D50" w:rsidP="00AF5921">
      <w:pPr>
        <w:pStyle w:val="P00"/>
        <w:spacing w:before="72"/>
        <w:ind w:left="0" w:right="1134"/>
        <w:rPr>
          <w:rStyle w:val="default"/>
          <w:rFonts w:cs="FrankRuehl"/>
          <w:rtl/>
        </w:rPr>
      </w:pPr>
      <w:r>
        <w:rPr>
          <w:rStyle w:val="default"/>
          <w:rFonts w:cs="FrankRuehl" w:hint="cs"/>
          <w:rtl/>
        </w:rPr>
        <w:tab/>
        <w:t xml:space="preserve">בתוקף </w:t>
      </w:r>
      <w:r w:rsidR="00AF5921">
        <w:rPr>
          <w:rStyle w:val="default"/>
          <w:rFonts w:cs="FrankRuehl" w:hint="cs"/>
          <w:rtl/>
        </w:rPr>
        <w:t xml:space="preserve">סמכותי לפי סעיף </w:t>
      </w:r>
      <w:r w:rsidR="0073691D">
        <w:rPr>
          <w:rStyle w:val="default"/>
          <w:rFonts w:cs="FrankRuehl" w:hint="cs"/>
          <w:rtl/>
        </w:rPr>
        <w:t>36יב1</w:t>
      </w:r>
      <w:r w:rsidR="00AF5921">
        <w:rPr>
          <w:rStyle w:val="default"/>
          <w:rFonts w:cs="FrankRuehl" w:hint="cs"/>
          <w:rtl/>
        </w:rPr>
        <w:t xml:space="preserve"> לחוק הבנקאות (רישוי), התשמ"א-1981, </w:t>
      </w:r>
      <w:r w:rsidR="0073691D">
        <w:rPr>
          <w:rStyle w:val="default"/>
          <w:rFonts w:cs="FrankRuehl" w:hint="cs"/>
          <w:rtl/>
        </w:rPr>
        <w:t>בהסכמת</w:t>
      </w:r>
      <w:r w:rsidR="00AF5921">
        <w:rPr>
          <w:rStyle w:val="default"/>
          <w:rFonts w:cs="FrankRuehl" w:hint="cs"/>
          <w:rtl/>
        </w:rPr>
        <w:t xml:space="preserve"> שר </w:t>
      </w:r>
      <w:r w:rsidR="0073691D">
        <w:rPr>
          <w:rStyle w:val="default"/>
          <w:rFonts w:cs="FrankRuehl" w:hint="cs"/>
          <w:rtl/>
        </w:rPr>
        <w:t>האוצר</w:t>
      </w:r>
      <w:r w:rsidR="00AF5921">
        <w:rPr>
          <w:rStyle w:val="default"/>
          <w:rFonts w:cs="FrankRuehl" w:hint="cs"/>
          <w:rtl/>
        </w:rPr>
        <w:t>, אני קובע</w:t>
      </w:r>
      <w:r w:rsidR="0073691D">
        <w:rPr>
          <w:rStyle w:val="default"/>
          <w:rFonts w:cs="FrankRuehl" w:hint="cs"/>
          <w:rtl/>
        </w:rPr>
        <w:t>ת</w:t>
      </w:r>
      <w:r w:rsidR="00965587">
        <w:rPr>
          <w:rStyle w:val="default"/>
          <w:rFonts w:cs="FrankRuehl" w:hint="cs"/>
          <w:rtl/>
        </w:rPr>
        <w:t xml:space="preserve"> כללים אלה</w:t>
      </w:r>
      <w:r>
        <w:rPr>
          <w:rStyle w:val="default"/>
          <w:rFonts w:cs="FrankRuehl" w:hint="cs"/>
          <w:rtl/>
        </w:rPr>
        <w:t>:</w:t>
      </w:r>
    </w:p>
    <w:p w:rsidR="00642120" w:rsidRDefault="00642120" w:rsidP="00AF5921">
      <w:pPr>
        <w:pStyle w:val="P00"/>
        <w:spacing w:before="72"/>
        <w:ind w:left="0" w:right="1134"/>
        <w:rPr>
          <w:rStyle w:val="default"/>
          <w:rFonts w:cs="FrankRuehl"/>
          <w:sz w:val="20"/>
          <w:rtl/>
        </w:rPr>
      </w:pPr>
      <w:bookmarkStart w:id="0" w:name="Seif1"/>
      <w:bookmarkEnd w:id="0"/>
      <w:r>
        <w:rPr>
          <w:lang w:val="he-IL"/>
        </w:rPr>
        <w:pict>
          <v:rect id="_x0000_s1107" style="position:absolute;left:0;text-align:left;margin-left:464.5pt;margin-top:8.05pt;width:75.05pt;height:11.8pt;z-index:251655680" o:allowincell="f" filled="f" stroked="f" strokecolor="lime" strokeweight=".25pt">
            <v:textbox inset="0,0,0,0">
              <w:txbxContent>
                <w:p w:rsidR="00415244" w:rsidRDefault="0073691D"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73691D">
        <w:rPr>
          <w:rStyle w:val="default"/>
          <w:rFonts w:cs="FrankRuehl" w:hint="cs"/>
          <w:sz w:val="20"/>
          <w:rtl/>
        </w:rPr>
        <w:t xml:space="preserve">בכללים אלה </w:t>
      </w:r>
      <w:r w:rsidR="0073691D">
        <w:rPr>
          <w:rStyle w:val="default"/>
          <w:rFonts w:cs="FrankRuehl"/>
          <w:sz w:val="20"/>
          <w:rtl/>
        </w:rPr>
        <w:t>–</w:t>
      </w:r>
    </w:p>
    <w:p w:rsidR="0073691D" w:rsidRDefault="0073691D" w:rsidP="00AF592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"אירוח" </w:t>
      </w:r>
      <w:r>
        <w:rPr>
          <w:rStyle w:val="default"/>
          <w:rFonts w:cs="FrankRuehl"/>
          <w:sz w:val="20"/>
          <w:rtl/>
        </w:rPr>
        <w:t>–</w:t>
      </w:r>
      <w:r>
        <w:rPr>
          <w:rStyle w:val="default"/>
          <w:rFonts w:cs="FrankRuehl" w:hint="cs"/>
          <w:sz w:val="20"/>
          <w:rtl/>
        </w:rPr>
        <w:t xml:space="preserve"> העמדת תשתית, לרבות תשתית מחשוב, של סולק מארח לצורך ביצוע סליקת עסקאות בידי סולק מתארח;</w:t>
      </w:r>
    </w:p>
    <w:p w:rsidR="0073691D" w:rsidRDefault="0073691D" w:rsidP="00AF592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"ארגון בין-לאומי" </w:t>
      </w:r>
      <w:r>
        <w:rPr>
          <w:rStyle w:val="default"/>
          <w:rFonts w:cs="FrankRuehl"/>
          <w:sz w:val="20"/>
          <w:rtl/>
        </w:rPr>
        <w:t>–</w:t>
      </w:r>
      <w:r>
        <w:rPr>
          <w:rStyle w:val="default"/>
          <w:rFonts w:cs="FrankRuehl" w:hint="cs"/>
          <w:sz w:val="20"/>
          <w:rtl/>
        </w:rPr>
        <w:t xml:space="preserve"> ארגון בין-לאומי העוסק בתחום כרטיסי החיוב ואשר הסולק המארח התקשר אתו.</w:t>
      </w:r>
    </w:p>
    <w:p w:rsidR="0073691D" w:rsidRDefault="0073691D" w:rsidP="0073691D">
      <w:pPr>
        <w:pStyle w:val="P00"/>
        <w:spacing w:before="72"/>
        <w:ind w:left="0" w:right="1134"/>
        <w:rPr>
          <w:rStyle w:val="default"/>
          <w:rFonts w:cs="FrankRuehl"/>
          <w:sz w:val="20"/>
          <w:rtl/>
        </w:rPr>
      </w:pPr>
      <w:bookmarkStart w:id="1" w:name="Seif2"/>
      <w:bookmarkEnd w:id="1"/>
      <w:r>
        <w:rPr>
          <w:lang w:val="he-IL"/>
        </w:rPr>
        <w:pict>
          <v:rect id="_x0000_s1361" style="position:absolute;left:0;text-align:left;margin-left:464.5pt;margin-top:8.05pt;width:75.05pt;height:12.85pt;z-index:251656704" o:allowincell="f" filled="f" stroked="f" strokecolor="lime" strokeweight=".25pt">
            <v:textbox inset="0,0,0,0">
              <w:txbxContent>
                <w:p w:rsidR="0073691D" w:rsidRDefault="0073691D" w:rsidP="0073691D">
                  <w:pPr>
                    <w:spacing w:line="160" w:lineRule="exact"/>
                    <w:jc w:val="left"/>
                    <w:rPr>
                      <w:rFonts w:cs="Miriam" w:hint="cs"/>
                      <w:noProof/>
                      <w:sz w:val="18"/>
                      <w:szCs w:val="18"/>
                      <w:rtl/>
                    </w:rPr>
                  </w:pPr>
                  <w:r>
                    <w:rPr>
                      <w:rFonts w:cs="Miriam" w:hint="cs"/>
                      <w:sz w:val="18"/>
                      <w:szCs w:val="18"/>
                      <w:rtl/>
                    </w:rPr>
                    <w:t>תנאי האירוח</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sz w:val="20"/>
          <w:rtl/>
        </w:rPr>
        <w:t>(א)</w:t>
      </w:r>
      <w:r>
        <w:rPr>
          <w:rStyle w:val="default"/>
          <w:rFonts w:cs="FrankRuehl"/>
          <w:sz w:val="20"/>
          <w:rtl/>
        </w:rPr>
        <w:tab/>
      </w:r>
      <w:r>
        <w:rPr>
          <w:rStyle w:val="default"/>
          <w:rFonts w:cs="FrankRuehl" w:hint="cs"/>
          <w:sz w:val="20"/>
          <w:rtl/>
        </w:rPr>
        <w:t>לצורך האירוח סולק מתארח יעמוד בתנאים האלה:</w:t>
      </w:r>
    </w:p>
    <w:p w:rsidR="0073691D" w:rsidRDefault="0073691D" w:rsidP="00724D1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הוא מקיים הוראות כל דין וכל הסדרה, הנוגעות לפעילותו כסולק, לרבות פעילותו על גבי התשתיות שסיפק </w:t>
      </w:r>
      <w:r w:rsidR="00724D16">
        <w:rPr>
          <w:rStyle w:val="default"/>
          <w:rFonts w:cs="FrankRuehl" w:hint="cs"/>
          <w:sz w:val="20"/>
          <w:rtl/>
        </w:rPr>
        <w:t>לו הסולק המארח;</w:t>
      </w:r>
    </w:p>
    <w:p w:rsidR="00724D16" w:rsidRDefault="00724D16" w:rsidP="00724D1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לא יעמיד את המשך פעילות הסולק המארח בסיכון משמעותי;</w:t>
      </w:r>
    </w:p>
    <w:p w:rsidR="00724D16" w:rsidRDefault="00724D16" w:rsidP="00724D1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הוא מוסר את הפרטים הדרושים לסולק המארח לפי הוראות דין או הסדרה או כללי הארגונים הבין-לאומיים;</w:t>
      </w:r>
    </w:p>
    <w:p w:rsidR="00724D16" w:rsidRDefault="00724D16" w:rsidP="00724D16">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יש לו תשתיות מחשוביות ותהליכים נאותים לניהול פעילות הסליקה מול לקוחותיו, בין השאר ובלי לגרוע מהוראות כל דין, בהיבטים של מניעת הלבנת הון ומימון טרור, מניעת הונאות, אבטחת מידע ושירות ללקוח, בין שהוקמו בידו ובין שהוקמו באמצעות אחרים.</w:t>
      </w:r>
    </w:p>
    <w:p w:rsidR="00724D16" w:rsidRDefault="00724D16"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מצא סולק כי סולק אשר ביקש להארח אצלו לא עומד בהוראות סעיף קטן (א)(1), (2) או (4), רשאי הוא, באישור המפקח, שלא להתקשר עמו.</w:t>
      </w:r>
    </w:p>
    <w:p w:rsidR="00724D16" w:rsidRDefault="00724D16"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מצא סולק מארח כי הסולק המתארח סולק עסקאות של לקוח או קבוצת לקוחות שהסולק המארח לא היה מתקשר עמם על פי המדיניות שלו או במהלך העסקים הרגיל שלו, וכי קיים חשש של ממש שקיים סיכון משמעותי לסולק המארח בשל הסליקה האמורה, רשאי הסולק המארח, לאחר בירור עם הסולק המתארח, שלא לסלוק את עסקאות הלקוח או קבוצת הלקוחות האמורה; הפסיק הסולק המארח את הסליקה של עסקאות הלקוח או הקבוצה כאמור, רשאי הסולק המתארח להביא את הנושא לדיון לפני המפקח, והמפקח רשאי להורות לסולק המארח לשנות את החלטתו.</w:t>
      </w:r>
    </w:p>
    <w:p w:rsidR="00724D16" w:rsidRDefault="00724D16"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8011B5">
        <w:rPr>
          <w:rStyle w:val="default"/>
          <w:rFonts w:cs="FrankRuehl" w:hint="cs"/>
          <w:sz w:val="20"/>
          <w:rtl/>
        </w:rPr>
        <w:t>מצא סולק מארח כי סולק המתארח אצלו מפר הפרה מהותית את הוראות הדין או ההסדרה, הנוגעות לפעילות הסליקה של הסולק המארח או הסולק המתארח, או מעמיד בסיכון משמעותי את המשך פעילותו של הסולק המארח, או אינו מוסר פרטים מהותיים הדרושים לסולק המתארח לפי הוראות דין או הסדרה או כללי הארגונים הבין-לאומיים, או מפר הפרה מהותית את הסכם האירוח, הסולק המארח רשאי לסיים את ההתקשרות לאירוח, 7 ימים לאחר קבלת אישור המפקח או במועד אחר שהורה לו המפקח.</w:t>
      </w:r>
    </w:p>
    <w:p w:rsidR="0073691D" w:rsidRDefault="0073691D" w:rsidP="0073691D">
      <w:pPr>
        <w:pStyle w:val="P00"/>
        <w:spacing w:before="72"/>
        <w:ind w:left="0" w:right="1134"/>
        <w:rPr>
          <w:rStyle w:val="default"/>
          <w:rFonts w:cs="FrankRuehl"/>
          <w:sz w:val="20"/>
          <w:rtl/>
        </w:rPr>
      </w:pPr>
      <w:bookmarkStart w:id="2" w:name="Seif3"/>
      <w:bookmarkEnd w:id="2"/>
      <w:r>
        <w:rPr>
          <w:lang w:val="he-IL"/>
        </w:rPr>
        <w:pict>
          <v:rect id="_x0000_s1362" style="position:absolute;left:0;text-align:left;margin-left:464.5pt;margin-top:8.05pt;width:75.05pt;height:14.45pt;z-index:251657728" o:allowincell="f" filled="f" stroked="f" strokecolor="lime" strokeweight=".25pt">
            <v:textbox inset="0,0,0,0">
              <w:txbxContent>
                <w:p w:rsidR="0073691D" w:rsidRDefault="008011B5" w:rsidP="0073691D">
                  <w:pPr>
                    <w:spacing w:line="160" w:lineRule="exact"/>
                    <w:jc w:val="left"/>
                    <w:rPr>
                      <w:rFonts w:cs="Miriam" w:hint="cs"/>
                      <w:noProof/>
                      <w:sz w:val="18"/>
                      <w:szCs w:val="18"/>
                      <w:rtl/>
                    </w:rPr>
                  </w:pPr>
                  <w:r>
                    <w:rPr>
                      <w:rFonts w:cs="Miriam" w:hint="cs"/>
                      <w:sz w:val="18"/>
                      <w:szCs w:val="18"/>
                      <w:rtl/>
                    </w:rPr>
                    <w:t>הסכם אירוח</w:t>
                  </w:r>
                </w:p>
              </w:txbxContent>
            </v:textbox>
            <w10:anchorlock/>
          </v:rect>
        </w:pict>
      </w:r>
      <w:r w:rsidR="008011B5">
        <w:rPr>
          <w:rStyle w:val="big-number"/>
          <w:rFonts w:cs="Miriam" w:hint="cs"/>
          <w:rtl/>
        </w:rPr>
        <w:t>3</w:t>
      </w:r>
      <w:r>
        <w:rPr>
          <w:rStyle w:val="big-number"/>
          <w:rFonts w:cs="Miriam"/>
          <w:rtl/>
        </w:rPr>
        <w:t>.</w:t>
      </w:r>
      <w:r>
        <w:rPr>
          <w:rStyle w:val="big-number"/>
          <w:rFonts w:cs="Miriam"/>
          <w:rtl/>
        </w:rPr>
        <w:tab/>
      </w:r>
      <w:r w:rsidR="008011B5">
        <w:rPr>
          <w:rStyle w:val="default"/>
          <w:rFonts w:cs="FrankRuehl" w:hint="cs"/>
          <w:sz w:val="20"/>
          <w:rtl/>
        </w:rPr>
        <w:t>(א)</w:t>
      </w:r>
      <w:r w:rsidR="008011B5">
        <w:rPr>
          <w:rStyle w:val="default"/>
          <w:rFonts w:cs="FrankRuehl"/>
          <w:sz w:val="20"/>
          <w:rtl/>
        </w:rPr>
        <w:tab/>
      </w:r>
      <w:r w:rsidR="008011B5">
        <w:rPr>
          <w:rStyle w:val="default"/>
          <w:rFonts w:cs="FrankRuehl" w:hint="cs"/>
          <w:sz w:val="20"/>
          <w:rtl/>
        </w:rPr>
        <w:t>הסכם אירוח בין סולק מארח לסולק מתארח, הכולל את תנאי האירוח ייערך בכתב ויקבע אירוח לתקופה קצובה; בהסכם יתוארו בצורה ברורה כל ההיבטים המהותיים שבאירוח, לרבות התנאים בעניין הפסקת האירוח.</w:t>
      </w:r>
    </w:p>
    <w:p w:rsidR="008011B5" w:rsidRDefault="008011B5"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הסכם אירוח יכלול התחייבות של הסולק המארח להמשיך ולסלוק עסקאות של לקוחות של הסולק המתארח, במקרה של ביטול רישיונו של הסולק המתארח או ביטול ההתקשרות בין הסולק </w:t>
      </w:r>
      <w:r w:rsidR="00DB3C8D">
        <w:rPr>
          <w:rStyle w:val="default"/>
          <w:rFonts w:cs="FrankRuehl" w:hint="cs"/>
          <w:sz w:val="20"/>
          <w:rtl/>
        </w:rPr>
        <w:t xml:space="preserve">המארח לסולק המתארח וזאת לתקופה של 7 ימי עסקים ממועד ביטול הרישיון או ביטול ההתקשרות, לפי העניין; במקרה זה, הסולק המארח לא לא ירע את תנאי ההתקשרות שנקבעו בין הסולק המתארח לבין לקוחותיו; על אף האמור בסעיף קטן זה, סולק </w:t>
      </w:r>
      <w:r w:rsidR="00DB3C8D">
        <w:rPr>
          <w:rStyle w:val="default"/>
          <w:rFonts w:cs="FrankRuehl" w:hint="cs"/>
          <w:sz w:val="20"/>
          <w:rtl/>
        </w:rPr>
        <w:lastRenderedPageBreak/>
        <w:t>מארח רשאי שלא להמשיך ולסלוק עסקאות של לקוחות של הסולק המתארח, בהתקיים התנאים הקבועים בסעיף 2(ג).</w:t>
      </w:r>
    </w:p>
    <w:p w:rsidR="00DB3C8D" w:rsidRDefault="00DB3C8D"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סולק מארח רשאי לכלול בהסכם האירוח תנאים סבירים המאפשרים קבלת שיפוי או פיצוי מצד הסולק המתארח במקרה של הפרת תנאי ההסכם, הדין או ההסדרה, וכן הפרת תנאים הקבועים בכללי הארגונים הבין-לאומיים.</w:t>
      </w:r>
    </w:p>
    <w:p w:rsidR="0073691D" w:rsidRDefault="0073691D" w:rsidP="0073691D">
      <w:pPr>
        <w:pStyle w:val="P00"/>
        <w:spacing w:before="72"/>
        <w:ind w:left="0" w:right="1134"/>
        <w:rPr>
          <w:rStyle w:val="default"/>
          <w:rFonts w:cs="FrankRuehl"/>
          <w:sz w:val="20"/>
          <w:rtl/>
        </w:rPr>
      </w:pPr>
      <w:bookmarkStart w:id="3" w:name="Seif4"/>
      <w:bookmarkEnd w:id="3"/>
      <w:r>
        <w:rPr>
          <w:lang w:val="he-IL"/>
        </w:rPr>
        <w:pict>
          <v:rect id="_x0000_s1363" style="position:absolute;left:0;text-align:left;margin-left:464.5pt;margin-top:8.05pt;width:75.05pt;height:13.2pt;z-index:251658752" o:allowincell="f" filled="f" stroked="f" strokecolor="lime" strokeweight=".25pt">
            <v:textbox inset="0,0,0,0">
              <w:txbxContent>
                <w:p w:rsidR="0073691D" w:rsidRDefault="00DB3C8D" w:rsidP="0073691D">
                  <w:pPr>
                    <w:spacing w:line="160" w:lineRule="exact"/>
                    <w:jc w:val="left"/>
                    <w:rPr>
                      <w:rFonts w:cs="Miriam" w:hint="cs"/>
                      <w:noProof/>
                      <w:sz w:val="18"/>
                      <w:szCs w:val="18"/>
                      <w:rtl/>
                    </w:rPr>
                  </w:pPr>
                  <w:r>
                    <w:rPr>
                      <w:rFonts w:cs="Miriam" w:hint="cs"/>
                      <w:sz w:val="18"/>
                      <w:szCs w:val="18"/>
                      <w:rtl/>
                    </w:rPr>
                    <w:t>מחיר האירוח</w:t>
                  </w:r>
                </w:p>
              </w:txbxContent>
            </v:textbox>
            <w10:anchorlock/>
          </v:rect>
        </w:pict>
      </w:r>
      <w:r w:rsidR="00DB3C8D">
        <w:rPr>
          <w:rStyle w:val="big-number"/>
          <w:rFonts w:cs="Miriam" w:hint="cs"/>
          <w:rtl/>
        </w:rPr>
        <w:t>4</w:t>
      </w:r>
      <w:r>
        <w:rPr>
          <w:rStyle w:val="big-number"/>
          <w:rFonts w:cs="Miriam"/>
          <w:rtl/>
        </w:rPr>
        <w:t>.</w:t>
      </w:r>
      <w:r>
        <w:rPr>
          <w:rStyle w:val="big-number"/>
          <w:rFonts w:cs="Miriam"/>
          <w:rtl/>
        </w:rPr>
        <w:tab/>
      </w:r>
      <w:r w:rsidR="00DB3C8D">
        <w:rPr>
          <w:rStyle w:val="default"/>
          <w:rFonts w:cs="FrankRuehl" w:hint="cs"/>
          <w:sz w:val="20"/>
          <w:rtl/>
        </w:rPr>
        <w:t>סולק מתארח וסולק מארח ינהלו משא ומתן בתום לב בנוגע למחיר האירוח וידווחו למפקח על המחיר שהוסכם, אם הוסכם.</w:t>
      </w:r>
    </w:p>
    <w:p w:rsidR="0073691D" w:rsidRDefault="0073691D" w:rsidP="0073691D">
      <w:pPr>
        <w:pStyle w:val="P00"/>
        <w:spacing w:before="72"/>
        <w:ind w:left="0" w:right="1134"/>
        <w:rPr>
          <w:rStyle w:val="default"/>
          <w:rFonts w:cs="FrankRuehl"/>
          <w:sz w:val="20"/>
          <w:rtl/>
        </w:rPr>
      </w:pPr>
      <w:bookmarkStart w:id="4" w:name="Seif5"/>
      <w:bookmarkEnd w:id="4"/>
      <w:r>
        <w:rPr>
          <w:lang w:val="he-IL"/>
        </w:rPr>
        <w:pict>
          <v:rect id="_x0000_s1364" style="position:absolute;left:0;text-align:left;margin-left:464.5pt;margin-top:8.05pt;width:75.05pt;height:21pt;z-index:251659776" o:allowincell="f" filled="f" stroked="f" strokecolor="lime" strokeweight=".25pt">
            <v:textbox inset="0,0,0,0">
              <w:txbxContent>
                <w:p w:rsidR="0073691D" w:rsidRDefault="00DB3C8D" w:rsidP="0073691D">
                  <w:pPr>
                    <w:spacing w:line="160" w:lineRule="exact"/>
                    <w:jc w:val="left"/>
                    <w:rPr>
                      <w:rFonts w:cs="Miriam" w:hint="cs"/>
                      <w:noProof/>
                      <w:sz w:val="18"/>
                      <w:szCs w:val="18"/>
                      <w:rtl/>
                    </w:rPr>
                  </w:pPr>
                  <w:r>
                    <w:rPr>
                      <w:rFonts w:cs="Miriam" w:hint="cs"/>
                      <w:sz w:val="18"/>
                      <w:szCs w:val="18"/>
                      <w:rtl/>
                    </w:rPr>
                    <w:t>מגבלת סליקת סולק מתארח</w:t>
                  </w:r>
                </w:p>
              </w:txbxContent>
            </v:textbox>
            <w10:anchorlock/>
          </v:rect>
        </w:pict>
      </w:r>
      <w:r w:rsidR="00DB3C8D">
        <w:rPr>
          <w:rStyle w:val="big-number"/>
          <w:rFonts w:cs="Miriam" w:hint="cs"/>
          <w:rtl/>
        </w:rPr>
        <w:t>5</w:t>
      </w:r>
      <w:r>
        <w:rPr>
          <w:rStyle w:val="big-number"/>
          <w:rFonts w:cs="Miriam"/>
          <w:rtl/>
        </w:rPr>
        <w:t>.</w:t>
      </w:r>
      <w:r>
        <w:rPr>
          <w:rStyle w:val="big-number"/>
          <w:rFonts w:cs="Miriam"/>
          <w:rtl/>
        </w:rPr>
        <w:tab/>
      </w:r>
      <w:r w:rsidR="00DB3C8D">
        <w:rPr>
          <w:rStyle w:val="default"/>
          <w:rFonts w:cs="FrankRuehl" w:hint="cs"/>
          <w:sz w:val="20"/>
          <w:rtl/>
        </w:rPr>
        <w:t>(א)</w:t>
      </w:r>
      <w:r w:rsidR="00DB3C8D">
        <w:rPr>
          <w:rStyle w:val="default"/>
          <w:rFonts w:cs="FrankRuehl"/>
          <w:sz w:val="20"/>
          <w:rtl/>
        </w:rPr>
        <w:tab/>
      </w:r>
      <w:r w:rsidR="00DB3C8D">
        <w:rPr>
          <w:rStyle w:val="default"/>
          <w:rFonts w:cs="FrankRuehl" w:hint="cs"/>
          <w:sz w:val="20"/>
          <w:rtl/>
        </w:rPr>
        <w:t>סולק מתארח יוכל להתארח, גם אם עסקאותיו אינן מזוהות על ידי ארגון בין-לאומי, ובלבד שמתקיימים שני אלה:</w:t>
      </w:r>
    </w:p>
    <w:p w:rsidR="00DB3C8D" w:rsidRDefault="00DB3C8D" w:rsidP="0048681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486813">
        <w:rPr>
          <w:rStyle w:val="default"/>
          <w:rFonts w:cs="FrankRuehl" w:hint="cs"/>
          <w:sz w:val="20"/>
          <w:rtl/>
        </w:rPr>
        <w:t>מספר המסופים בנקודות המכירה (</w:t>
      </w:r>
      <w:r w:rsidR="00486813">
        <w:rPr>
          <w:rStyle w:val="default"/>
          <w:rFonts w:cs="FrankRuehl"/>
          <w:sz w:val="20"/>
        </w:rPr>
        <w:t>POS</w:t>
      </w:r>
      <w:r w:rsidR="00486813">
        <w:rPr>
          <w:rStyle w:val="default"/>
          <w:rFonts w:cs="FrankRuehl" w:hint="cs"/>
          <w:sz w:val="20"/>
          <w:rtl/>
        </w:rPr>
        <w:t xml:space="preserve">) המחוברים למערכת כרטיסי חיוב "אשראית </w:t>
      </w:r>
      <w:r w:rsidR="00486813">
        <w:rPr>
          <w:rStyle w:val="default"/>
          <w:rFonts w:cs="FrankRuehl"/>
          <w:sz w:val="20"/>
        </w:rPr>
        <w:t>EMV</w:t>
      </w:r>
      <w:r w:rsidR="00486813">
        <w:rPr>
          <w:rStyle w:val="default"/>
          <w:rFonts w:cs="FrankRuehl" w:hint="cs"/>
          <w:sz w:val="20"/>
          <w:rtl/>
        </w:rPr>
        <w:t>" לא עולה על 50 אחוזים ממספר המסופים הכולל בישראל;</w:t>
      </w:r>
    </w:p>
    <w:p w:rsidR="00486813" w:rsidRDefault="00486813" w:rsidP="0048681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היקף הסליקה השנתי של העסקאות של כלל לקוחותיו לא יעלה על 4 מיליארד שקלים חדשים.</w:t>
      </w:r>
    </w:p>
    <w:p w:rsidR="00486813" w:rsidRDefault="00486813" w:rsidP="0073691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סולק מתארח, שעסקאותיו מזוהות על ידי ארגון בין-לאומי, לא תחול המגבלה המפורטת בסעיף קטן (א), אלא אם כן נקבע אחרת ברישיון הסליקה שלו.</w:t>
      </w:r>
    </w:p>
    <w:p w:rsidR="00486813" w:rsidRDefault="00486813" w:rsidP="0073691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לעניין סעיף זה, "עסקאות מזוהות" </w:t>
      </w:r>
      <w:r>
        <w:rPr>
          <w:rStyle w:val="default"/>
          <w:rFonts w:cs="FrankRuehl"/>
          <w:sz w:val="20"/>
          <w:rtl/>
        </w:rPr>
        <w:t>–</w:t>
      </w:r>
      <w:r>
        <w:rPr>
          <w:rStyle w:val="default"/>
          <w:rFonts w:cs="FrankRuehl" w:hint="cs"/>
          <w:sz w:val="20"/>
          <w:rtl/>
        </w:rPr>
        <w:t xml:space="preserve"> עסקאות שמזוהות על ידי ארגון בין-לאומי בנסלקות על ידי הסולק המתארח.</w:t>
      </w:r>
    </w:p>
    <w:p w:rsidR="00D95F22" w:rsidRDefault="00D95F22"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486813" w:rsidP="007D5EC0">
      <w:pPr>
        <w:pStyle w:val="sig-0"/>
        <w:tabs>
          <w:tab w:val="clear" w:pos="4820"/>
          <w:tab w:val="center" w:pos="5670"/>
        </w:tabs>
        <w:ind w:left="0" w:right="1134"/>
        <w:rPr>
          <w:rFonts w:cs="FrankRuehl" w:hint="cs"/>
          <w:sz w:val="26"/>
          <w:rtl/>
        </w:rPr>
      </w:pPr>
      <w:r>
        <w:rPr>
          <w:rFonts w:cs="FrankRuehl" w:hint="cs"/>
          <w:sz w:val="26"/>
          <w:rtl/>
        </w:rPr>
        <w:t>ד' בתמוז התשע"ח (17 ביוני 2018</w:t>
      </w:r>
      <w:r w:rsidR="00D11E24">
        <w:rPr>
          <w:rFonts w:cs="FrankRuehl" w:hint="cs"/>
          <w:sz w:val="26"/>
          <w:rtl/>
        </w:rPr>
        <w:t>)</w:t>
      </w:r>
      <w:r w:rsidR="00CB494E">
        <w:rPr>
          <w:rFonts w:cs="FrankRuehl" w:hint="cs"/>
          <w:sz w:val="26"/>
          <w:rtl/>
        </w:rPr>
        <w:tab/>
      </w:r>
      <w:r>
        <w:rPr>
          <w:rFonts w:cs="FrankRuehl" w:hint="cs"/>
          <w:sz w:val="26"/>
          <w:rtl/>
        </w:rPr>
        <w:t>קרנית פלוג</w:t>
      </w:r>
    </w:p>
    <w:p w:rsidR="0013416F" w:rsidRDefault="00D11E24" w:rsidP="007D5EC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D5EC0">
        <w:rPr>
          <w:rFonts w:cs="FrankRuehl" w:hint="cs"/>
          <w:sz w:val="22"/>
          <w:rtl/>
        </w:rPr>
        <w:t>נגיד</w:t>
      </w:r>
      <w:r w:rsidR="00486813">
        <w:rPr>
          <w:rFonts w:cs="FrankRuehl" w:hint="cs"/>
          <w:sz w:val="22"/>
          <w:rtl/>
        </w:rPr>
        <w:t>ת</w:t>
      </w:r>
      <w:r w:rsidR="007D5EC0">
        <w:rPr>
          <w:rFonts w:cs="FrankRuehl" w:hint="cs"/>
          <w:sz w:val="22"/>
          <w:rtl/>
        </w:rPr>
        <w:t xml:space="preserve"> בנק ישראל</w:t>
      </w:r>
    </w:p>
    <w:p w:rsidR="00456965" w:rsidRDefault="00456965" w:rsidP="00927A15">
      <w:pPr>
        <w:pStyle w:val="P00"/>
        <w:spacing w:before="72"/>
        <w:ind w:left="0" w:right="1134"/>
        <w:rPr>
          <w:rStyle w:val="default"/>
          <w:rFonts w:cs="FrankRuehl" w:hint="cs"/>
          <w:rtl/>
        </w:rPr>
      </w:pPr>
    </w:p>
    <w:p w:rsidR="00B84B11" w:rsidRDefault="00B84B11" w:rsidP="00927A15">
      <w:pPr>
        <w:pStyle w:val="P00"/>
        <w:spacing w:before="72"/>
        <w:ind w:left="0" w:right="1134"/>
        <w:rPr>
          <w:rStyle w:val="default"/>
          <w:rFonts w:cs="FrankRuehl"/>
          <w:rtl/>
        </w:rPr>
      </w:pPr>
    </w:p>
    <w:p w:rsidR="00067039" w:rsidRDefault="00067039" w:rsidP="00927A15">
      <w:pPr>
        <w:pStyle w:val="P00"/>
        <w:spacing w:before="72"/>
        <w:ind w:left="0" w:right="1134"/>
        <w:rPr>
          <w:rStyle w:val="default"/>
          <w:rFonts w:cs="FrankRuehl"/>
          <w:rtl/>
        </w:rPr>
      </w:pPr>
    </w:p>
    <w:p w:rsidR="00067039" w:rsidRDefault="00067039" w:rsidP="00927A15">
      <w:pPr>
        <w:pStyle w:val="P00"/>
        <w:spacing w:before="72"/>
        <w:ind w:left="0" w:right="1134"/>
        <w:rPr>
          <w:rStyle w:val="default"/>
          <w:rFonts w:cs="FrankRuehl"/>
          <w:rtl/>
        </w:rPr>
      </w:pPr>
    </w:p>
    <w:p w:rsidR="00067039" w:rsidRDefault="00067039" w:rsidP="00067039">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B84B11" w:rsidRPr="00067039" w:rsidRDefault="00B84B11" w:rsidP="00067039">
      <w:pPr>
        <w:pStyle w:val="P00"/>
        <w:spacing w:before="72"/>
        <w:ind w:left="0" w:right="1134"/>
        <w:jc w:val="center"/>
        <w:rPr>
          <w:rStyle w:val="default"/>
          <w:rFonts w:cs="David"/>
          <w:color w:val="0000FF"/>
          <w:szCs w:val="24"/>
          <w:u w:val="single"/>
          <w:rtl/>
        </w:rPr>
      </w:pPr>
    </w:p>
    <w:sectPr w:rsidR="00B84B11" w:rsidRPr="00067039"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399" w:rsidRDefault="00001399">
      <w:r>
        <w:separator/>
      </w:r>
    </w:p>
  </w:endnote>
  <w:endnote w:type="continuationSeparator" w:id="0">
    <w:p w:rsidR="00001399" w:rsidRDefault="0000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7039">
      <w:rPr>
        <w:rFonts w:hAnsi="FrankRuehl" w:cs="FrankRuehl"/>
        <w:noProof/>
        <w:sz w:val="24"/>
        <w:szCs w:val="24"/>
        <w:rtl/>
      </w:rPr>
      <w:t>3</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399" w:rsidRDefault="00001399" w:rsidP="007C57AA">
      <w:pPr>
        <w:spacing w:before="60" w:line="240" w:lineRule="auto"/>
        <w:ind w:right="1134"/>
      </w:pPr>
      <w:r>
        <w:separator/>
      </w:r>
    </w:p>
  </w:footnote>
  <w:footnote w:type="continuationSeparator" w:id="0">
    <w:p w:rsidR="00001399" w:rsidRDefault="00001399">
      <w:pPr>
        <w:spacing w:before="60"/>
        <w:ind w:right="1134"/>
      </w:pPr>
      <w:r>
        <w:separator/>
      </w:r>
    </w:p>
  </w:footnote>
  <w:footnote w:id="1">
    <w:p w:rsidR="00583DF6" w:rsidRDefault="00415244" w:rsidP="00583D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95F22">
        <w:rPr>
          <w:rFonts w:cs="FrankRuehl" w:hint="cs"/>
          <w:rtl/>
        </w:rPr>
        <w:t xml:space="preserve"> פורס</w:t>
      </w:r>
      <w:r w:rsidR="00965587">
        <w:rPr>
          <w:rFonts w:cs="FrankRuehl" w:hint="cs"/>
          <w:rtl/>
        </w:rPr>
        <w:t>מו</w:t>
      </w:r>
      <w:r>
        <w:rPr>
          <w:rFonts w:cs="FrankRuehl" w:hint="cs"/>
          <w:rtl/>
        </w:rPr>
        <w:t xml:space="preserve"> </w:t>
      </w:r>
      <w:hyperlink r:id="rId1" w:history="1">
        <w:r w:rsidR="00AF5921" w:rsidRPr="00583DF6">
          <w:rPr>
            <w:rStyle w:val="Hyperlink"/>
            <w:rFonts w:cs="FrankRuehl" w:hint="cs"/>
            <w:rtl/>
          </w:rPr>
          <w:t>ק"ת</w:t>
        </w:r>
        <w:r w:rsidRPr="00583DF6">
          <w:rPr>
            <w:rStyle w:val="Hyperlink"/>
            <w:rFonts w:cs="FrankRuehl" w:hint="cs"/>
            <w:rtl/>
          </w:rPr>
          <w:t xml:space="preserve"> תשע</w:t>
        </w:r>
        <w:r w:rsidR="00C3125E" w:rsidRPr="00583DF6">
          <w:rPr>
            <w:rStyle w:val="Hyperlink"/>
            <w:rFonts w:cs="FrankRuehl" w:hint="cs"/>
            <w:rtl/>
          </w:rPr>
          <w:t>"</w:t>
        </w:r>
        <w:r w:rsidR="0073691D" w:rsidRPr="00583DF6">
          <w:rPr>
            <w:rStyle w:val="Hyperlink"/>
            <w:rFonts w:cs="FrankRuehl" w:hint="cs"/>
            <w:rtl/>
          </w:rPr>
          <w:t>ח</w:t>
        </w:r>
        <w:r w:rsidRPr="00583DF6">
          <w:rPr>
            <w:rStyle w:val="Hyperlink"/>
            <w:rFonts w:cs="FrankRuehl" w:hint="cs"/>
            <w:rtl/>
          </w:rPr>
          <w:t xml:space="preserve"> מס' </w:t>
        </w:r>
        <w:r w:rsidR="0073691D" w:rsidRPr="00583DF6">
          <w:rPr>
            <w:rStyle w:val="Hyperlink"/>
            <w:rFonts w:cs="FrankRuehl" w:hint="cs"/>
            <w:rtl/>
          </w:rPr>
          <w:t>8029</w:t>
        </w:r>
      </w:hyperlink>
      <w:r>
        <w:rPr>
          <w:rFonts w:cs="FrankRuehl" w:hint="cs"/>
          <w:rtl/>
        </w:rPr>
        <w:t xml:space="preserve"> מיום </w:t>
      </w:r>
      <w:r w:rsidR="00965587">
        <w:rPr>
          <w:rFonts w:cs="FrankRuehl" w:hint="cs"/>
          <w:rtl/>
        </w:rPr>
        <w:t>28</w:t>
      </w:r>
      <w:r w:rsidR="00C3125E">
        <w:rPr>
          <w:rFonts w:cs="FrankRuehl" w:hint="cs"/>
          <w:rtl/>
        </w:rPr>
        <w:t>.6.201</w:t>
      </w:r>
      <w:r w:rsidR="0073691D">
        <w:rPr>
          <w:rFonts w:cs="FrankRuehl" w:hint="cs"/>
          <w:rtl/>
        </w:rPr>
        <w:t>8</w:t>
      </w:r>
      <w:r>
        <w:rPr>
          <w:rFonts w:cs="FrankRuehl" w:hint="cs"/>
          <w:rtl/>
        </w:rPr>
        <w:t xml:space="preserve"> עמ' </w:t>
      </w:r>
      <w:r w:rsidR="0073691D">
        <w:rPr>
          <w:rFonts w:cs="FrankRuehl" w:hint="cs"/>
          <w:rtl/>
        </w:rPr>
        <w:t>2255</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AF5921" w:rsidP="00231E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הבנקאות (רישוי) (</w:t>
    </w:r>
    <w:r w:rsidR="0073691D">
      <w:rPr>
        <w:rFonts w:hAnsi="FrankRuehl" w:cs="FrankRuehl" w:hint="cs"/>
        <w:color w:val="000000"/>
        <w:sz w:val="28"/>
        <w:szCs w:val="28"/>
        <w:rtl/>
      </w:rPr>
      <w:t>תנאי אירוח סולק), תשע"ח-2018</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74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399"/>
    <w:rsid w:val="00005864"/>
    <w:rsid w:val="000100B8"/>
    <w:rsid w:val="000146A6"/>
    <w:rsid w:val="000200C1"/>
    <w:rsid w:val="000201C8"/>
    <w:rsid w:val="00033964"/>
    <w:rsid w:val="00035BAB"/>
    <w:rsid w:val="000366D4"/>
    <w:rsid w:val="000377F5"/>
    <w:rsid w:val="00046B7F"/>
    <w:rsid w:val="000602A7"/>
    <w:rsid w:val="000619D9"/>
    <w:rsid w:val="00062C31"/>
    <w:rsid w:val="00064468"/>
    <w:rsid w:val="00064B0F"/>
    <w:rsid w:val="00064C99"/>
    <w:rsid w:val="0006703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F7F"/>
    <w:rsid w:val="000E25AA"/>
    <w:rsid w:val="000E2939"/>
    <w:rsid w:val="000E3FCB"/>
    <w:rsid w:val="000E4FDD"/>
    <w:rsid w:val="000E54C3"/>
    <w:rsid w:val="000E6E54"/>
    <w:rsid w:val="000E7C2E"/>
    <w:rsid w:val="000F30BD"/>
    <w:rsid w:val="001001D1"/>
    <w:rsid w:val="001006D4"/>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70251"/>
    <w:rsid w:val="00181980"/>
    <w:rsid w:val="00186445"/>
    <w:rsid w:val="001931BA"/>
    <w:rsid w:val="001970D7"/>
    <w:rsid w:val="00197B93"/>
    <w:rsid w:val="001A1487"/>
    <w:rsid w:val="001A156D"/>
    <w:rsid w:val="001A2EA1"/>
    <w:rsid w:val="001A33AF"/>
    <w:rsid w:val="001A6665"/>
    <w:rsid w:val="001B05AB"/>
    <w:rsid w:val="001C40C8"/>
    <w:rsid w:val="001C4265"/>
    <w:rsid w:val="001C4AB6"/>
    <w:rsid w:val="001C5FC3"/>
    <w:rsid w:val="001C6C13"/>
    <w:rsid w:val="001C7316"/>
    <w:rsid w:val="001D6CC8"/>
    <w:rsid w:val="001D758F"/>
    <w:rsid w:val="001E0FA8"/>
    <w:rsid w:val="001E196A"/>
    <w:rsid w:val="001E66EE"/>
    <w:rsid w:val="001F5902"/>
    <w:rsid w:val="00201476"/>
    <w:rsid w:val="002216B6"/>
    <w:rsid w:val="0022178D"/>
    <w:rsid w:val="00224535"/>
    <w:rsid w:val="00224BA9"/>
    <w:rsid w:val="00226268"/>
    <w:rsid w:val="00231EA2"/>
    <w:rsid w:val="00245832"/>
    <w:rsid w:val="002538D4"/>
    <w:rsid w:val="0025390B"/>
    <w:rsid w:val="00254C7E"/>
    <w:rsid w:val="002611C1"/>
    <w:rsid w:val="0026683A"/>
    <w:rsid w:val="00273A1A"/>
    <w:rsid w:val="00273C7A"/>
    <w:rsid w:val="00275506"/>
    <w:rsid w:val="002824D6"/>
    <w:rsid w:val="002A1E13"/>
    <w:rsid w:val="002A38D8"/>
    <w:rsid w:val="002B62C1"/>
    <w:rsid w:val="002C4262"/>
    <w:rsid w:val="002C7187"/>
    <w:rsid w:val="002D20F5"/>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15DF"/>
    <w:rsid w:val="00342C78"/>
    <w:rsid w:val="00343C9A"/>
    <w:rsid w:val="003528CA"/>
    <w:rsid w:val="0035557A"/>
    <w:rsid w:val="0036193A"/>
    <w:rsid w:val="00371ACE"/>
    <w:rsid w:val="00373ACB"/>
    <w:rsid w:val="0037705A"/>
    <w:rsid w:val="00395CE1"/>
    <w:rsid w:val="003A23D8"/>
    <w:rsid w:val="003A46B0"/>
    <w:rsid w:val="003A589C"/>
    <w:rsid w:val="003B4C6D"/>
    <w:rsid w:val="003B5DC8"/>
    <w:rsid w:val="003C08EF"/>
    <w:rsid w:val="003C6DF3"/>
    <w:rsid w:val="003D5BB0"/>
    <w:rsid w:val="003D600F"/>
    <w:rsid w:val="003E10E3"/>
    <w:rsid w:val="003E14B9"/>
    <w:rsid w:val="003E17A4"/>
    <w:rsid w:val="003E41DA"/>
    <w:rsid w:val="003E74D6"/>
    <w:rsid w:val="003E7AA0"/>
    <w:rsid w:val="003F43BD"/>
    <w:rsid w:val="003F5C71"/>
    <w:rsid w:val="003F61D2"/>
    <w:rsid w:val="004000EC"/>
    <w:rsid w:val="0040021A"/>
    <w:rsid w:val="004112F3"/>
    <w:rsid w:val="004120DC"/>
    <w:rsid w:val="00413F14"/>
    <w:rsid w:val="00415244"/>
    <w:rsid w:val="00415EE9"/>
    <w:rsid w:val="0041737A"/>
    <w:rsid w:val="00417E45"/>
    <w:rsid w:val="004204BE"/>
    <w:rsid w:val="00421409"/>
    <w:rsid w:val="00423811"/>
    <w:rsid w:val="0042625F"/>
    <w:rsid w:val="00431CAA"/>
    <w:rsid w:val="00432406"/>
    <w:rsid w:val="004340B4"/>
    <w:rsid w:val="004355B4"/>
    <w:rsid w:val="0044105C"/>
    <w:rsid w:val="004424EA"/>
    <w:rsid w:val="0044263A"/>
    <w:rsid w:val="00445514"/>
    <w:rsid w:val="00446CD9"/>
    <w:rsid w:val="0045078F"/>
    <w:rsid w:val="00454064"/>
    <w:rsid w:val="00454F98"/>
    <w:rsid w:val="004555FD"/>
    <w:rsid w:val="00456965"/>
    <w:rsid w:val="00460066"/>
    <w:rsid w:val="00460500"/>
    <w:rsid w:val="00461817"/>
    <w:rsid w:val="0047103A"/>
    <w:rsid w:val="00471679"/>
    <w:rsid w:val="00475BF0"/>
    <w:rsid w:val="004773F3"/>
    <w:rsid w:val="00484974"/>
    <w:rsid w:val="00486813"/>
    <w:rsid w:val="00487519"/>
    <w:rsid w:val="00490D4B"/>
    <w:rsid w:val="0049129C"/>
    <w:rsid w:val="00496121"/>
    <w:rsid w:val="0049687C"/>
    <w:rsid w:val="004A16C0"/>
    <w:rsid w:val="004A29C6"/>
    <w:rsid w:val="004A2A23"/>
    <w:rsid w:val="004A2FF7"/>
    <w:rsid w:val="004A5BA6"/>
    <w:rsid w:val="004A64CC"/>
    <w:rsid w:val="004A7635"/>
    <w:rsid w:val="004B381A"/>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636AB"/>
    <w:rsid w:val="00574BC7"/>
    <w:rsid w:val="00576752"/>
    <w:rsid w:val="00581F51"/>
    <w:rsid w:val="00583639"/>
    <w:rsid w:val="00583DF6"/>
    <w:rsid w:val="00593F5E"/>
    <w:rsid w:val="005A4835"/>
    <w:rsid w:val="005A6724"/>
    <w:rsid w:val="005B0D90"/>
    <w:rsid w:val="005B30BE"/>
    <w:rsid w:val="005C13E4"/>
    <w:rsid w:val="005C17DB"/>
    <w:rsid w:val="005C2F28"/>
    <w:rsid w:val="005C6342"/>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24DB"/>
    <w:rsid w:val="00697EB2"/>
    <w:rsid w:val="006A0AF5"/>
    <w:rsid w:val="006A4259"/>
    <w:rsid w:val="006A6733"/>
    <w:rsid w:val="006A75B5"/>
    <w:rsid w:val="006A7DDF"/>
    <w:rsid w:val="006B0BB4"/>
    <w:rsid w:val="006B0DB6"/>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0545A"/>
    <w:rsid w:val="00715FE6"/>
    <w:rsid w:val="00716074"/>
    <w:rsid w:val="00716DEE"/>
    <w:rsid w:val="00720039"/>
    <w:rsid w:val="00722104"/>
    <w:rsid w:val="00722F74"/>
    <w:rsid w:val="00724D16"/>
    <w:rsid w:val="00726659"/>
    <w:rsid w:val="007270FE"/>
    <w:rsid w:val="0073144C"/>
    <w:rsid w:val="0073691D"/>
    <w:rsid w:val="007373EA"/>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936E7"/>
    <w:rsid w:val="007A1FF2"/>
    <w:rsid w:val="007A3993"/>
    <w:rsid w:val="007A412F"/>
    <w:rsid w:val="007A74CA"/>
    <w:rsid w:val="007B6045"/>
    <w:rsid w:val="007B6E20"/>
    <w:rsid w:val="007B7B5B"/>
    <w:rsid w:val="007C0430"/>
    <w:rsid w:val="007C05D9"/>
    <w:rsid w:val="007C0B21"/>
    <w:rsid w:val="007C1804"/>
    <w:rsid w:val="007C57AA"/>
    <w:rsid w:val="007D32F5"/>
    <w:rsid w:val="007D4EE6"/>
    <w:rsid w:val="007D5EC0"/>
    <w:rsid w:val="007D726F"/>
    <w:rsid w:val="007D73DF"/>
    <w:rsid w:val="007F0616"/>
    <w:rsid w:val="008011B5"/>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771D"/>
    <w:rsid w:val="008850E3"/>
    <w:rsid w:val="00894C01"/>
    <w:rsid w:val="008958F0"/>
    <w:rsid w:val="00895B96"/>
    <w:rsid w:val="0089789F"/>
    <w:rsid w:val="0089792E"/>
    <w:rsid w:val="008A2722"/>
    <w:rsid w:val="008A28E9"/>
    <w:rsid w:val="008A638E"/>
    <w:rsid w:val="008B2B5B"/>
    <w:rsid w:val="008C0451"/>
    <w:rsid w:val="008C2526"/>
    <w:rsid w:val="008C5B96"/>
    <w:rsid w:val="008C7D26"/>
    <w:rsid w:val="008D03EF"/>
    <w:rsid w:val="008E0EC9"/>
    <w:rsid w:val="008E3201"/>
    <w:rsid w:val="008E367E"/>
    <w:rsid w:val="008E36CB"/>
    <w:rsid w:val="008E73A8"/>
    <w:rsid w:val="008E7FBC"/>
    <w:rsid w:val="00902390"/>
    <w:rsid w:val="00904CD2"/>
    <w:rsid w:val="00904EEA"/>
    <w:rsid w:val="00906581"/>
    <w:rsid w:val="00911822"/>
    <w:rsid w:val="00920D4C"/>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5F80"/>
    <w:rsid w:val="009572D1"/>
    <w:rsid w:val="00961D71"/>
    <w:rsid w:val="0096403F"/>
    <w:rsid w:val="00965587"/>
    <w:rsid w:val="00974306"/>
    <w:rsid w:val="0099490C"/>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3CA6"/>
    <w:rsid w:val="00A141C3"/>
    <w:rsid w:val="00A14F70"/>
    <w:rsid w:val="00A154A1"/>
    <w:rsid w:val="00A17F89"/>
    <w:rsid w:val="00A22051"/>
    <w:rsid w:val="00A227D9"/>
    <w:rsid w:val="00A308E0"/>
    <w:rsid w:val="00A37976"/>
    <w:rsid w:val="00A42C95"/>
    <w:rsid w:val="00A53F3B"/>
    <w:rsid w:val="00A658E8"/>
    <w:rsid w:val="00A6616F"/>
    <w:rsid w:val="00A66F20"/>
    <w:rsid w:val="00A701D9"/>
    <w:rsid w:val="00A71DAC"/>
    <w:rsid w:val="00A71F31"/>
    <w:rsid w:val="00A730D6"/>
    <w:rsid w:val="00A77084"/>
    <w:rsid w:val="00A7746E"/>
    <w:rsid w:val="00A82368"/>
    <w:rsid w:val="00A87C1B"/>
    <w:rsid w:val="00A9239A"/>
    <w:rsid w:val="00A93848"/>
    <w:rsid w:val="00A96E7D"/>
    <w:rsid w:val="00AA06AC"/>
    <w:rsid w:val="00AA604D"/>
    <w:rsid w:val="00AB116A"/>
    <w:rsid w:val="00AB3458"/>
    <w:rsid w:val="00AB7FCA"/>
    <w:rsid w:val="00AC24C7"/>
    <w:rsid w:val="00AC447F"/>
    <w:rsid w:val="00AC5875"/>
    <w:rsid w:val="00AC6EF5"/>
    <w:rsid w:val="00AC7B1B"/>
    <w:rsid w:val="00AD264E"/>
    <w:rsid w:val="00AD5076"/>
    <w:rsid w:val="00AE4A4F"/>
    <w:rsid w:val="00AF36BF"/>
    <w:rsid w:val="00AF5921"/>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B11"/>
    <w:rsid w:val="00B84C6D"/>
    <w:rsid w:val="00B870A0"/>
    <w:rsid w:val="00B87DA4"/>
    <w:rsid w:val="00B92282"/>
    <w:rsid w:val="00BA62F1"/>
    <w:rsid w:val="00BA7244"/>
    <w:rsid w:val="00BB2A40"/>
    <w:rsid w:val="00BB6FFF"/>
    <w:rsid w:val="00BC2E38"/>
    <w:rsid w:val="00BC636B"/>
    <w:rsid w:val="00BC76FB"/>
    <w:rsid w:val="00BD0B5B"/>
    <w:rsid w:val="00BD1625"/>
    <w:rsid w:val="00BD4F13"/>
    <w:rsid w:val="00BD51F7"/>
    <w:rsid w:val="00BD57BF"/>
    <w:rsid w:val="00BE03B7"/>
    <w:rsid w:val="00BE37D5"/>
    <w:rsid w:val="00BF0887"/>
    <w:rsid w:val="00BF1507"/>
    <w:rsid w:val="00BF233D"/>
    <w:rsid w:val="00BF580C"/>
    <w:rsid w:val="00BF6122"/>
    <w:rsid w:val="00BF78AB"/>
    <w:rsid w:val="00BF7CD7"/>
    <w:rsid w:val="00C04093"/>
    <w:rsid w:val="00C04B09"/>
    <w:rsid w:val="00C0712A"/>
    <w:rsid w:val="00C07231"/>
    <w:rsid w:val="00C10CB0"/>
    <w:rsid w:val="00C12200"/>
    <w:rsid w:val="00C14B1A"/>
    <w:rsid w:val="00C14DD4"/>
    <w:rsid w:val="00C17A30"/>
    <w:rsid w:val="00C246A6"/>
    <w:rsid w:val="00C3125E"/>
    <w:rsid w:val="00C3406E"/>
    <w:rsid w:val="00C34AA6"/>
    <w:rsid w:val="00C47162"/>
    <w:rsid w:val="00C507B6"/>
    <w:rsid w:val="00C53230"/>
    <w:rsid w:val="00C54AB4"/>
    <w:rsid w:val="00C55FF6"/>
    <w:rsid w:val="00C6067A"/>
    <w:rsid w:val="00C62685"/>
    <w:rsid w:val="00C62865"/>
    <w:rsid w:val="00C64D02"/>
    <w:rsid w:val="00C71044"/>
    <w:rsid w:val="00C71F87"/>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0A06"/>
    <w:rsid w:val="00CE1D30"/>
    <w:rsid w:val="00CE1F5F"/>
    <w:rsid w:val="00CE64CC"/>
    <w:rsid w:val="00CF4B69"/>
    <w:rsid w:val="00D10BBD"/>
    <w:rsid w:val="00D11E24"/>
    <w:rsid w:val="00D13F96"/>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0961"/>
    <w:rsid w:val="00D6337B"/>
    <w:rsid w:val="00D65098"/>
    <w:rsid w:val="00D674E0"/>
    <w:rsid w:val="00D714B8"/>
    <w:rsid w:val="00D7540C"/>
    <w:rsid w:val="00D867A1"/>
    <w:rsid w:val="00D909F6"/>
    <w:rsid w:val="00D91151"/>
    <w:rsid w:val="00D95F22"/>
    <w:rsid w:val="00DA1151"/>
    <w:rsid w:val="00DA1B2B"/>
    <w:rsid w:val="00DB2F3B"/>
    <w:rsid w:val="00DB3C8D"/>
    <w:rsid w:val="00DB7031"/>
    <w:rsid w:val="00DC4F86"/>
    <w:rsid w:val="00DD4EE1"/>
    <w:rsid w:val="00DD6D56"/>
    <w:rsid w:val="00DF0302"/>
    <w:rsid w:val="00DF1462"/>
    <w:rsid w:val="00DF2216"/>
    <w:rsid w:val="00DF70B1"/>
    <w:rsid w:val="00DF712A"/>
    <w:rsid w:val="00E06B57"/>
    <w:rsid w:val="00E14861"/>
    <w:rsid w:val="00E2758D"/>
    <w:rsid w:val="00E4409A"/>
    <w:rsid w:val="00E44F20"/>
    <w:rsid w:val="00E46A3D"/>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B059B"/>
    <w:rsid w:val="00EB2FD0"/>
    <w:rsid w:val="00EB4F2E"/>
    <w:rsid w:val="00EB5C4C"/>
    <w:rsid w:val="00EC16B8"/>
    <w:rsid w:val="00EC18C0"/>
    <w:rsid w:val="00EC1EE7"/>
    <w:rsid w:val="00EC6C22"/>
    <w:rsid w:val="00ED1044"/>
    <w:rsid w:val="00ED2D71"/>
    <w:rsid w:val="00ED50FD"/>
    <w:rsid w:val="00ED57D8"/>
    <w:rsid w:val="00EE3056"/>
    <w:rsid w:val="00EE528E"/>
    <w:rsid w:val="00EE70B6"/>
    <w:rsid w:val="00EF1C64"/>
    <w:rsid w:val="00EF2407"/>
    <w:rsid w:val="00EF62F1"/>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74BB7"/>
    <w:rsid w:val="00F80BB9"/>
    <w:rsid w:val="00F810E4"/>
    <w:rsid w:val="00F8576B"/>
    <w:rsid w:val="00F85A27"/>
    <w:rsid w:val="00F87401"/>
    <w:rsid w:val="00F87D85"/>
    <w:rsid w:val="00F952EE"/>
    <w:rsid w:val="00F97644"/>
    <w:rsid w:val="00F978B2"/>
    <w:rsid w:val="00FA1FFE"/>
    <w:rsid w:val="00FA7979"/>
    <w:rsid w:val="00FA7F55"/>
    <w:rsid w:val="00FB27A7"/>
    <w:rsid w:val="00FB5832"/>
    <w:rsid w:val="00FC0A70"/>
    <w:rsid w:val="00FC2247"/>
    <w:rsid w:val="00FC4D18"/>
    <w:rsid w:val="00FC7F75"/>
    <w:rsid w:val="00FD0E6D"/>
    <w:rsid w:val="00FD3CF5"/>
    <w:rsid w:val="00FD516D"/>
    <w:rsid w:val="00FE1699"/>
    <w:rsid w:val="00FE306D"/>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4FDE112-5F9B-4490-893A-27DF455F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4277</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7536641</vt:i4>
      </vt:variant>
      <vt:variant>
        <vt:i4>0</vt:i4>
      </vt:variant>
      <vt:variant>
        <vt:i4>0</vt:i4>
      </vt:variant>
      <vt:variant>
        <vt:i4>5</vt:i4>
      </vt:variant>
      <vt:variant>
        <vt:lpwstr>http://www.nevo.co.il/Law_word/law06/TAK-8029.pdf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הבנקאות (רישוי) (תנאי אירוח סולק), תשע"ח-2018</vt:lpwstr>
  </property>
  <property fmtid="{D5CDD505-2E9C-101B-9397-08002B2CF9AE}" pid="4" name="LAWNUMBER">
    <vt:lpwstr>0881</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בנקאות</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רישוי</vt:lpwstr>
  </property>
  <property fmtid="{D5CDD505-2E9C-101B-9397-08002B2CF9AE}" pid="27" name="NOSE12">
    <vt:lpwstr>רשויות ומשפט מנהלי</vt:lpwstr>
  </property>
  <property fmtid="{D5CDD505-2E9C-101B-9397-08002B2CF9AE}" pid="28" name="NOSE22">
    <vt:lpwstr>רישוי</vt:lpwstr>
  </property>
  <property fmtid="{D5CDD505-2E9C-101B-9397-08002B2CF9AE}" pid="29" name="NOSE32">
    <vt:lpwstr>בנקאות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הבנקאות (רישוי)</vt:lpwstr>
  </property>
  <property fmtid="{D5CDD505-2E9C-101B-9397-08002B2CF9AE}" pid="64" name="MEKOR_SAIF1">
    <vt:lpwstr>36יב1X</vt:lpwstr>
  </property>
  <property fmtid="{D5CDD505-2E9C-101B-9397-08002B2CF9AE}" pid="65" name="LINKK1">
    <vt:lpwstr>http://www.nevo.co.il/Law_word/law06/TAK-8029.pdf;‎רשומות - תקנות כלליות#פורסמו ק"ת תשע"ח ‏מס' 8029 #מיום 28.6.2018 עמ' 2255‏</vt:lpwstr>
  </property>
</Properties>
</file>