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23FA" w14:textId="77777777" w:rsidR="00D25D5C" w:rsidRDefault="003415DF" w:rsidP="00A74514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כללי </w:t>
      </w:r>
      <w:r w:rsidR="00AF5921">
        <w:rPr>
          <w:rFonts w:cs="FrankRuehl" w:hint="cs"/>
          <w:sz w:val="32"/>
          <w:rtl/>
        </w:rPr>
        <w:t>הבנקאות (</w:t>
      </w:r>
      <w:r w:rsidR="00A74514">
        <w:rPr>
          <w:rFonts w:cs="FrankRuehl" w:hint="cs"/>
          <w:sz w:val="32"/>
          <w:rtl/>
        </w:rPr>
        <w:t xml:space="preserve">שיעורי </w:t>
      </w:r>
      <w:r w:rsidR="00AF5921">
        <w:rPr>
          <w:rFonts w:cs="FrankRuehl" w:hint="cs"/>
          <w:sz w:val="32"/>
          <w:rtl/>
        </w:rPr>
        <w:t xml:space="preserve">הפחתה </w:t>
      </w:r>
      <w:r w:rsidR="00A74514">
        <w:rPr>
          <w:rFonts w:cs="FrankRuehl" w:hint="cs"/>
          <w:sz w:val="32"/>
          <w:rtl/>
        </w:rPr>
        <w:t xml:space="preserve">מרביים </w:t>
      </w:r>
      <w:r w:rsidR="00AF5921">
        <w:rPr>
          <w:rFonts w:cs="FrankRuehl" w:hint="cs"/>
          <w:sz w:val="32"/>
          <w:rtl/>
        </w:rPr>
        <w:t xml:space="preserve">של סכומי </w:t>
      </w:r>
      <w:r w:rsidR="00A74514">
        <w:rPr>
          <w:rFonts w:cs="FrankRuehl" w:hint="cs"/>
          <w:sz w:val="32"/>
          <w:rtl/>
        </w:rPr>
        <w:t>העיצום הכספי</w:t>
      </w:r>
      <w:r w:rsidR="00C3125E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A74514">
        <w:rPr>
          <w:rFonts w:cs="FrankRuehl"/>
          <w:sz w:val="32"/>
          <w:rtl/>
        </w:rPr>
        <w:br/>
      </w:r>
      <w:r w:rsidR="00D867A1">
        <w:rPr>
          <w:rFonts w:cs="FrankRuehl" w:hint="cs"/>
          <w:sz w:val="32"/>
          <w:rtl/>
        </w:rPr>
        <w:t>תשע"א-2011</w:t>
      </w:r>
    </w:p>
    <w:p w14:paraId="1EEB0843" w14:textId="77777777" w:rsidR="00A74514" w:rsidRPr="00A74514" w:rsidRDefault="00A74514" w:rsidP="00A74514">
      <w:pPr>
        <w:spacing w:line="320" w:lineRule="auto"/>
        <w:jc w:val="left"/>
        <w:rPr>
          <w:rFonts w:cs="FrankRuehl"/>
          <w:szCs w:val="26"/>
          <w:rtl/>
        </w:rPr>
      </w:pPr>
    </w:p>
    <w:p w14:paraId="39A8AF08" w14:textId="77777777" w:rsidR="00A74514" w:rsidRDefault="00A74514" w:rsidP="00A74514">
      <w:pPr>
        <w:spacing w:line="320" w:lineRule="auto"/>
        <w:jc w:val="left"/>
        <w:rPr>
          <w:rtl/>
        </w:rPr>
      </w:pPr>
    </w:p>
    <w:p w14:paraId="174FA4B1" w14:textId="77777777" w:rsidR="00A74514" w:rsidRPr="00A74514" w:rsidRDefault="00A74514" w:rsidP="00A74514">
      <w:pPr>
        <w:spacing w:line="320" w:lineRule="auto"/>
        <w:jc w:val="left"/>
        <w:rPr>
          <w:rFonts w:cs="Miriam" w:hint="cs"/>
          <w:szCs w:val="22"/>
          <w:rtl/>
        </w:rPr>
      </w:pPr>
      <w:r w:rsidRPr="00A74514">
        <w:rPr>
          <w:rFonts w:cs="Miriam"/>
          <w:szCs w:val="22"/>
          <w:rtl/>
        </w:rPr>
        <w:t>משפט פרטי וכלכלה</w:t>
      </w:r>
      <w:r w:rsidRPr="00A74514">
        <w:rPr>
          <w:rFonts w:cs="FrankRuehl"/>
          <w:szCs w:val="26"/>
          <w:rtl/>
        </w:rPr>
        <w:t xml:space="preserve"> – כספים – בנקאות</w:t>
      </w:r>
    </w:p>
    <w:p w14:paraId="656DEB85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1696" w:rsidRPr="00DF1696" w14:paraId="11FC3BF7" w14:textId="77777777" w:rsidTr="00DF169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F1499F" w14:textId="77777777" w:rsidR="00DF1696" w:rsidRPr="00DF1696" w:rsidRDefault="00DF1696" w:rsidP="00DF16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A23FB6" w14:textId="77777777" w:rsidR="00DF1696" w:rsidRPr="00DF1696" w:rsidRDefault="00DF1696" w:rsidP="00DF16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הפחתת סכומי העיצום הכספי</w:t>
            </w:r>
          </w:p>
        </w:tc>
        <w:tc>
          <w:tcPr>
            <w:tcW w:w="567" w:type="dxa"/>
          </w:tcPr>
          <w:p w14:paraId="267318FD" w14:textId="77777777" w:rsidR="00DF1696" w:rsidRPr="00DF1696" w:rsidRDefault="00DF1696" w:rsidP="00DF169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פחתת סכומי העיצום הכספי" w:history="1">
              <w:r w:rsidRPr="00DF169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8925CBB" w14:textId="77777777" w:rsidR="00DF1696" w:rsidRPr="00DF1696" w:rsidRDefault="00DF1696" w:rsidP="00DF169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49537E4" w14:textId="77777777" w:rsidR="00D25D5C" w:rsidRDefault="00D25D5C" w:rsidP="00A74514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A74514">
        <w:rPr>
          <w:rFonts w:cs="FrankRuehl" w:hint="cs"/>
          <w:sz w:val="32"/>
          <w:rtl/>
        </w:rPr>
        <w:lastRenderedPageBreak/>
        <w:t xml:space="preserve">כללי הבנקאות (שיעורי הפחתה מרביים של סכומי העיצום הכספי), </w:t>
      </w:r>
      <w:r w:rsidR="00A74514">
        <w:rPr>
          <w:rFonts w:cs="FrankRuehl"/>
          <w:sz w:val="32"/>
          <w:rtl/>
        </w:rPr>
        <w:br/>
      </w:r>
      <w:r w:rsidR="00A74514">
        <w:rPr>
          <w:rFonts w:cs="FrankRuehl" w:hint="cs"/>
          <w:sz w:val="32"/>
          <w:rtl/>
        </w:rPr>
        <w:t>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B8DF268" w14:textId="77777777" w:rsidR="00BD1625" w:rsidRDefault="00D43D50" w:rsidP="00A745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AF5921">
        <w:rPr>
          <w:rStyle w:val="default"/>
          <w:rFonts w:cs="FrankRuehl" w:hint="cs"/>
          <w:rtl/>
        </w:rPr>
        <w:t xml:space="preserve">סמכותי לפי סעיף </w:t>
      </w:r>
      <w:r w:rsidR="00A74514">
        <w:rPr>
          <w:rStyle w:val="default"/>
          <w:rFonts w:cs="FrankRuehl" w:hint="cs"/>
          <w:rtl/>
        </w:rPr>
        <w:t xml:space="preserve">14ט(ב) לפקודת הבנקאות (להלן </w:t>
      </w:r>
      <w:r w:rsidR="00A74514">
        <w:rPr>
          <w:rStyle w:val="default"/>
          <w:rFonts w:cs="FrankRuehl"/>
          <w:rtl/>
        </w:rPr>
        <w:t>–</w:t>
      </w:r>
      <w:r w:rsidR="00A74514">
        <w:rPr>
          <w:rStyle w:val="default"/>
          <w:rFonts w:cs="FrankRuehl" w:hint="cs"/>
          <w:rtl/>
        </w:rPr>
        <w:t xml:space="preserve"> הפקודה)</w:t>
      </w:r>
      <w:r w:rsidR="00AF5921">
        <w:rPr>
          <w:rStyle w:val="default"/>
          <w:rFonts w:cs="FrankRuehl" w:hint="cs"/>
          <w:rtl/>
        </w:rPr>
        <w:t>, ובהתייעצות עם שר המשפטים, אני קובע</w:t>
      </w:r>
      <w:r w:rsidR="00965587">
        <w:rPr>
          <w:rStyle w:val="default"/>
          <w:rFonts w:cs="FrankRuehl" w:hint="cs"/>
          <w:rtl/>
        </w:rPr>
        <w:t xml:space="preserve"> כללים אלה</w:t>
      </w:r>
      <w:r>
        <w:rPr>
          <w:rStyle w:val="default"/>
          <w:rFonts w:cs="FrankRuehl" w:hint="cs"/>
          <w:rtl/>
        </w:rPr>
        <w:t>:</w:t>
      </w:r>
    </w:p>
    <w:p w14:paraId="4F994BAF" w14:textId="77777777" w:rsidR="00642120" w:rsidRDefault="00642120" w:rsidP="00A74514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0" w:name="Seif1"/>
      <w:bookmarkEnd w:id="0"/>
      <w:r>
        <w:rPr>
          <w:lang w:val="he-IL"/>
        </w:rPr>
        <w:pict w14:anchorId="79303176">
          <v:rect id="_x0000_s1107" style="position:absolute;left:0;text-align:left;margin-left:464.5pt;margin-top:8.05pt;width:75.05pt;height:21pt;z-index:251657728" o:allowincell="f" filled="f" stroked="f" strokecolor="lime" strokeweight=".25pt">
            <v:textbox inset="0,0,0,0">
              <w:txbxContent>
                <w:p w14:paraId="0AA1BCCA" w14:textId="77777777" w:rsidR="00415244" w:rsidRDefault="00AF5921" w:rsidP="00A7451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הפחתת סכומי </w:t>
                  </w:r>
                  <w:r w:rsidR="00A74514">
                    <w:rPr>
                      <w:rFonts w:cs="Miriam" w:hint="cs"/>
                      <w:sz w:val="18"/>
                      <w:szCs w:val="18"/>
                      <w:rtl/>
                    </w:rPr>
                    <w:t>העיצום הכספי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F5921">
        <w:rPr>
          <w:rStyle w:val="default"/>
          <w:rFonts w:cs="FrankRuehl" w:hint="cs"/>
          <w:sz w:val="20"/>
          <w:rtl/>
        </w:rPr>
        <w:t xml:space="preserve">ראה המפקח כי יש להטיל על </w:t>
      </w:r>
      <w:r w:rsidR="00A74514">
        <w:rPr>
          <w:rStyle w:val="default"/>
          <w:rFonts w:cs="FrankRuehl" w:hint="cs"/>
          <w:sz w:val="20"/>
          <w:rtl/>
        </w:rPr>
        <w:t>תאגיד בנקאי עיצום כספי</w:t>
      </w:r>
      <w:r w:rsidR="00AF5921">
        <w:rPr>
          <w:rStyle w:val="default"/>
          <w:rFonts w:cs="FrankRuehl" w:hint="cs"/>
          <w:sz w:val="20"/>
          <w:rtl/>
        </w:rPr>
        <w:t xml:space="preserve"> לפי סעיף </w:t>
      </w:r>
      <w:r w:rsidR="00A74514">
        <w:rPr>
          <w:rStyle w:val="default"/>
          <w:rFonts w:cs="FrankRuehl" w:hint="cs"/>
          <w:sz w:val="20"/>
          <w:rtl/>
        </w:rPr>
        <w:t>14ח לפקודה</w:t>
      </w:r>
      <w:r w:rsidR="00AF5921">
        <w:rPr>
          <w:rStyle w:val="default"/>
          <w:rFonts w:cs="FrankRuehl" w:hint="cs"/>
          <w:sz w:val="20"/>
          <w:rtl/>
        </w:rPr>
        <w:t xml:space="preserve">, בשל הפרה שביצע, </w:t>
      </w:r>
      <w:r w:rsidR="00A74514">
        <w:rPr>
          <w:rStyle w:val="default"/>
          <w:rFonts w:cs="FrankRuehl" w:hint="cs"/>
          <w:sz w:val="20"/>
          <w:rtl/>
        </w:rPr>
        <w:t xml:space="preserve">אך </w:t>
      </w:r>
      <w:r w:rsidR="00AF5921">
        <w:rPr>
          <w:rStyle w:val="default"/>
          <w:rFonts w:cs="FrankRuehl" w:hint="cs"/>
          <w:sz w:val="20"/>
          <w:rtl/>
        </w:rPr>
        <w:t xml:space="preserve">התקיימה אחת או יותר מהנסיבות המנויות להלן, רשאי </w:t>
      </w:r>
      <w:r w:rsidR="00A74514">
        <w:rPr>
          <w:rStyle w:val="default"/>
          <w:rFonts w:cs="FrankRuehl" w:hint="cs"/>
          <w:sz w:val="20"/>
          <w:rtl/>
        </w:rPr>
        <w:t xml:space="preserve">הוא </w:t>
      </w:r>
      <w:r w:rsidR="00AF5921">
        <w:rPr>
          <w:rStyle w:val="default"/>
          <w:rFonts w:cs="FrankRuehl" w:hint="cs"/>
          <w:sz w:val="20"/>
          <w:rtl/>
        </w:rPr>
        <w:t xml:space="preserve">להפחית </w:t>
      </w:r>
      <w:r w:rsidR="00A74514">
        <w:rPr>
          <w:rStyle w:val="default"/>
          <w:rFonts w:cs="FrankRuehl" w:hint="cs"/>
          <w:sz w:val="20"/>
          <w:rtl/>
        </w:rPr>
        <w:t>לתאגיד הבנקאי</w:t>
      </w:r>
      <w:r w:rsidR="00AF5921">
        <w:rPr>
          <w:rStyle w:val="default"/>
          <w:rFonts w:cs="FrankRuehl" w:hint="cs"/>
          <w:sz w:val="20"/>
          <w:rtl/>
        </w:rPr>
        <w:t xml:space="preserve"> מסכום </w:t>
      </w:r>
      <w:r w:rsidR="00A74514">
        <w:rPr>
          <w:rStyle w:val="default"/>
          <w:rFonts w:cs="FrankRuehl" w:hint="cs"/>
          <w:sz w:val="20"/>
          <w:rtl/>
        </w:rPr>
        <w:t xml:space="preserve">העיצום הכספי </w:t>
      </w:r>
      <w:r w:rsidR="00AF5921">
        <w:rPr>
          <w:rStyle w:val="default"/>
          <w:rFonts w:cs="FrankRuehl" w:hint="cs"/>
          <w:sz w:val="20"/>
          <w:rtl/>
        </w:rPr>
        <w:t xml:space="preserve">הקבוע </w:t>
      </w:r>
      <w:r w:rsidR="00A74514">
        <w:rPr>
          <w:rStyle w:val="default"/>
          <w:rFonts w:cs="FrankRuehl" w:hint="cs"/>
          <w:sz w:val="20"/>
          <w:rtl/>
        </w:rPr>
        <w:t>ל</w:t>
      </w:r>
      <w:r w:rsidR="00AF5921">
        <w:rPr>
          <w:rStyle w:val="default"/>
          <w:rFonts w:cs="FrankRuehl" w:hint="cs"/>
          <w:sz w:val="20"/>
          <w:rtl/>
        </w:rPr>
        <w:t xml:space="preserve">אותה הפרה, עד השיעור המרבי הנקוב לצד אותה נסיבה, ובהתקיים כמה נסיבות </w:t>
      </w:r>
      <w:r w:rsidR="00AF5921">
        <w:rPr>
          <w:rStyle w:val="default"/>
          <w:rFonts w:cs="FrankRuehl"/>
          <w:sz w:val="20"/>
          <w:rtl/>
        </w:rPr>
        <w:t>–</w:t>
      </w:r>
      <w:r w:rsidR="00AF5921">
        <w:rPr>
          <w:rStyle w:val="default"/>
          <w:rFonts w:cs="FrankRuehl" w:hint="cs"/>
          <w:sz w:val="20"/>
          <w:rtl/>
        </w:rPr>
        <w:t xml:space="preserve"> עד השיעור המצטבר של השיעורים המנויים לצדן, ובלבד ששיעור ההפחתה המצטבר לא יעלה על 85%:</w:t>
      </w:r>
    </w:p>
    <w:p w14:paraId="46F9527D" w14:textId="77777777" w:rsidR="00AF5921" w:rsidRPr="00C10CB0" w:rsidRDefault="00C10CB0" w:rsidP="00C10CB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  <w:tab w:val="center" w:pos="7088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C10CB0">
        <w:rPr>
          <w:rStyle w:val="default"/>
          <w:rFonts w:cs="FrankRuehl" w:hint="cs"/>
          <w:sz w:val="22"/>
          <w:szCs w:val="22"/>
          <w:rtl/>
        </w:rPr>
        <w:tab/>
        <w:t>הנסיבות</w:t>
      </w:r>
      <w:r w:rsidRPr="00C10CB0">
        <w:rPr>
          <w:rStyle w:val="default"/>
          <w:rFonts w:cs="FrankRuehl" w:hint="cs"/>
          <w:sz w:val="22"/>
          <w:szCs w:val="22"/>
          <w:rtl/>
        </w:rPr>
        <w:tab/>
        <w:t>שיעור הפחתה מרבי</w:t>
      </w:r>
    </w:p>
    <w:p w14:paraId="65DE5E0C" w14:textId="77777777" w:rsidR="00C10CB0" w:rsidRDefault="00C10CB0" w:rsidP="00B25145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021" w:right="2835" w:hanging="397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(1)</w:t>
      </w:r>
      <w:r>
        <w:rPr>
          <w:rStyle w:val="default"/>
          <w:rFonts w:cs="FrankRuehl" w:hint="cs"/>
          <w:sz w:val="20"/>
          <w:rtl/>
        </w:rPr>
        <w:tab/>
        <w:t xml:space="preserve">בחמש השנים שקדמו למועד ביצוע ההפרה </w:t>
      </w:r>
      <w:r w:rsidR="00B25145">
        <w:rPr>
          <w:rStyle w:val="default"/>
          <w:rFonts w:cs="FrankRuehl" w:hint="cs"/>
          <w:sz w:val="20"/>
          <w:rtl/>
        </w:rPr>
        <w:t>התאגיד הבנקאי</w:t>
      </w:r>
      <w:r>
        <w:rPr>
          <w:rStyle w:val="default"/>
          <w:rFonts w:cs="FrankRuehl" w:hint="cs"/>
          <w:sz w:val="20"/>
          <w:rtl/>
        </w:rPr>
        <w:t xml:space="preserve"> לא הפר הוראה מהוראות חוקי הבנקאות, חוק איסור הלבנת הון, התש"ס-2000, חוק איסור מימון טרור, התשס"ה-2005, או הוראות לפי סעיף 4ב(ב) לחוק המכר (דירות) (הבטחת השקעותיהם של רוכשי דירות), התשל"ה-1974; לעניין זה, "חוקי הבנקאות" </w:t>
      </w:r>
      <w:r>
        <w:rPr>
          <w:rStyle w:val="default"/>
          <w:rFonts w:cs="FrankRuehl"/>
          <w:sz w:val="20"/>
          <w:rtl/>
        </w:rPr>
        <w:t>–</w:t>
      </w:r>
      <w:r>
        <w:rPr>
          <w:rStyle w:val="default"/>
          <w:rFonts w:cs="FrankRuehl" w:hint="cs"/>
          <w:sz w:val="20"/>
          <w:rtl/>
        </w:rPr>
        <w:t xml:space="preserve"> כהגדרתם בחוק בנק ישראל, התש"ע-2010</w:t>
      </w:r>
      <w:r>
        <w:rPr>
          <w:rStyle w:val="default"/>
          <w:rFonts w:cs="FrankRuehl" w:hint="cs"/>
          <w:sz w:val="20"/>
          <w:rtl/>
        </w:rPr>
        <w:tab/>
        <w:t>35 אחוזים;</w:t>
      </w:r>
    </w:p>
    <w:p w14:paraId="1ECAEDFE" w14:textId="77777777" w:rsidR="00C10CB0" w:rsidRDefault="00C10CB0" w:rsidP="007D5EC0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021" w:right="2835" w:hanging="397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(2)</w:t>
      </w:r>
      <w:r>
        <w:rPr>
          <w:rStyle w:val="default"/>
          <w:rFonts w:cs="FrankRuehl" w:hint="cs"/>
          <w:sz w:val="20"/>
          <w:rtl/>
        </w:rPr>
        <w:tab/>
      </w:r>
      <w:r w:rsidR="007D5EC0">
        <w:rPr>
          <w:rStyle w:val="default"/>
          <w:rFonts w:cs="FrankRuehl" w:hint="cs"/>
          <w:sz w:val="20"/>
          <w:rtl/>
        </w:rPr>
        <w:t xml:space="preserve">המפר הפסיק את ההפרה ונקט פעולות לתיקון הליקויים ולמניעת הישנותם, הכל ביוזמתו ולהנחת דעתו של המפקח </w:t>
      </w:r>
      <w:r w:rsidR="007D5EC0">
        <w:rPr>
          <w:rStyle w:val="default"/>
          <w:rFonts w:cs="FrankRuehl"/>
          <w:sz w:val="20"/>
          <w:rtl/>
        </w:rPr>
        <w:t>–</w:t>
      </w:r>
    </w:p>
    <w:p w14:paraId="6A18F7DF" w14:textId="77777777" w:rsidR="007D5EC0" w:rsidRDefault="007D5EC0" w:rsidP="007D5EC0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475" w:right="2835" w:hanging="454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(א)</w:t>
      </w:r>
      <w:r>
        <w:rPr>
          <w:rStyle w:val="default"/>
          <w:rFonts w:cs="FrankRuehl" w:hint="cs"/>
          <w:sz w:val="20"/>
          <w:rtl/>
        </w:rPr>
        <w:tab/>
        <w:t>לפני פניית המפקח אליו באותו עניין</w:t>
      </w:r>
      <w:r>
        <w:rPr>
          <w:rStyle w:val="default"/>
          <w:rFonts w:cs="FrankRuehl" w:hint="cs"/>
          <w:sz w:val="20"/>
          <w:rtl/>
        </w:rPr>
        <w:tab/>
        <w:t>50 אחוזים;</w:t>
      </w:r>
    </w:p>
    <w:p w14:paraId="5AEA149B" w14:textId="77777777" w:rsidR="007D5EC0" w:rsidRDefault="007D5EC0" w:rsidP="007D5EC0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475" w:right="2835" w:hanging="454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 w:hint="cs"/>
          <w:sz w:val="20"/>
          <w:rtl/>
        </w:rPr>
        <w:tab/>
        <w:t>לאחר פניית המפקח אליו באותו עניין</w:t>
      </w:r>
      <w:r>
        <w:rPr>
          <w:rStyle w:val="default"/>
          <w:rFonts w:cs="FrankRuehl" w:hint="cs"/>
          <w:sz w:val="20"/>
          <w:rtl/>
        </w:rPr>
        <w:tab/>
        <w:t>25 אחוזים;</w:t>
      </w:r>
    </w:p>
    <w:p w14:paraId="61255C0B" w14:textId="77777777" w:rsidR="007D5EC0" w:rsidRDefault="007D5EC0" w:rsidP="00B25145">
      <w:pPr>
        <w:pStyle w:val="P00"/>
        <w:tabs>
          <w:tab w:val="clear" w:pos="1928"/>
          <w:tab w:val="clear" w:pos="2381"/>
          <w:tab w:val="clear" w:pos="2835"/>
          <w:tab w:val="clear" w:pos="6259"/>
          <w:tab w:val="left" w:pos="6521"/>
        </w:tabs>
        <w:spacing w:before="72"/>
        <w:ind w:left="1021" w:right="2835" w:hanging="397"/>
        <w:jc w:val="left"/>
        <w:rPr>
          <w:rStyle w:val="default"/>
          <w:rFonts w:cs="FrankRuehl" w:hint="cs"/>
          <w:sz w:val="20"/>
          <w:rtl/>
        </w:rPr>
      </w:pPr>
      <w:r>
        <w:rPr>
          <w:rStyle w:val="default"/>
          <w:rFonts w:cs="FrankRuehl" w:hint="cs"/>
          <w:sz w:val="20"/>
          <w:rtl/>
        </w:rPr>
        <w:t>(3)</w:t>
      </w:r>
      <w:r>
        <w:rPr>
          <w:rStyle w:val="default"/>
          <w:rFonts w:cs="FrankRuehl" w:hint="cs"/>
          <w:sz w:val="20"/>
          <w:rtl/>
        </w:rPr>
        <w:tab/>
        <w:t xml:space="preserve">קולת העובדות המהוות את ההפרה ונסיבות עובדתיות אחרות </w:t>
      </w:r>
      <w:r w:rsidR="00B25145">
        <w:rPr>
          <w:rStyle w:val="default"/>
          <w:rFonts w:cs="FrankRuehl" w:hint="cs"/>
          <w:sz w:val="20"/>
          <w:rtl/>
        </w:rPr>
        <w:t>ובהן</w:t>
      </w:r>
      <w:r>
        <w:rPr>
          <w:rStyle w:val="default"/>
          <w:rFonts w:cs="FrankRuehl" w:hint="cs"/>
          <w:sz w:val="20"/>
          <w:rtl/>
        </w:rPr>
        <w:t xml:space="preserve"> היקף ההפרה, הרווח שהיה עשוי להיות מופק ממנה, ההפסד שהיה עשוי להימנע או הנזק שהיה עשוי להיגרם בעקבותיה</w:t>
      </w:r>
      <w:r>
        <w:rPr>
          <w:rStyle w:val="default"/>
          <w:rFonts w:cs="FrankRuehl" w:hint="cs"/>
          <w:sz w:val="20"/>
          <w:rtl/>
        </w:rPr>
        <w:tab/>
        <w:t>50 אחוזים.</w:t>
      </w:r>
    </w:p>
    <w:p w14:paraId="7148F4C0" w14:textId="77777777" w:rsidR="00A74514" w:rsidRDefault="00A74514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E25307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97EEF7" w14:textId="77777777" w:rsidR="00CB494E" w:rsidRDefault="007D5EC0" w:rsidP="007D5EC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 באייר</w:t>
      </w:r>
      <w:r w:rsidR="00D867A1">
        <w:rPr>
          <w:rFonts w:cs="FrankRuehl" w:hint="cs"/>
          <w:sz w:val="26"/>
          <w:rtl/>
        </w:rPr>
        <w:t xml:space="preserve"> התשע"א (</w:t>
      </w:r>
      <w:r>
        <w:rPr>
          <w:rFonts w:cs="FrankRuehl" w:hint="cs"/>
          <w:sz w:val="26"/>
          <w:rtl/>
        </w:rPr>
        <w:t>30 במאי</w:t>
      </w:r>
      <w:r w:rsidR="00D867A1">
        <w:rPr>
          <w:rFonts w:cs="FrankRuehl" w:hint="cs"/>
          <w:sz w:val="26"/>
          <w:rtl/>
        </w:rPr>
        <w:t xml:space="preserve"> 2011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סטנלי פישר</w:t>
      </w:r>
    </w:p>
    <w:p w14:paraId="76B72EC7" w14:textId="77777777" w:rsidR="0013416F" w:rsidRDefault="00D11E24" w:rsidP="007D5EC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7D5EC0">
        <w:rPr>
          <w:rFonts w:cs="FrankRuehl" w:hint="cs"/>
          <w:sz w:val="22"/>
          <w:rtl/>
        </w:rPr>
        <w:t>נגיד בנק ישראל</w:t>
      </w:r>
    </w:p>
    <w:p w14:paraId="6C8A7935" w14:textId="77777777" w:rsidR="00AF5921" w:rsidRDefault="00AF592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58DC45" w14:textId="77777777" w:rsidR="00456965" w:rsidRDefault="0045696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706F9D7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AB7E7A" w14:textId="77777777" w:rsidR="00DF1696" w:rsidRDefault="00DF169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1FF233" w14:textId="77777777" w:rsidR="00DF1696" w:rsidRDefault="00DF169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39B6D4F" w14:textId="77777777" w:rsidR="00DF1696" w:rsidRDefault="00DF1696" w:rsidP="00DF169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CBD6749" w14:textId="77777777" w:rsidR="004B381A" w:rsidRPr="00DF1696" w:rsidRDefault="004B381A" w:rsidP="00DF169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B381A" w:rsidRPr="00DF1696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F485" w14:textId="77777777" w:rsidR="006C70AB" w:rsidRDefault="006C70AB">
      <w:r>
        <w:separator/>
      </w:r>
    </w:p>
  </w:endnote>
  <w:endnote w:type="continuationSeparator" w:id="0">
    <w:p w14:paraId="5542A186" w14:textId="77777777" w:rsidR="006C70AB" w:rsidRDefault="006C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99AD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21F64AD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663117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7FBC">
      <w:rPr>
        <w:rFonts w:cs="TopType Jerushalmi"/>
        <w:noProof/>
        <w:color w:val="000000"/>
        <w:sz w:val="14"/>
        <w:szCs w:val="14"/>
      </w:rPr>
      <w:t>Y:\000000000000-law\yael\10-01-28\final\500_269.doc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6DE1C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169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FC3C173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3E11433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7FBC">
      <w:rPr>
        <w:rFonts w:cs="TopType Jerushalmi"/>
        <w:noProof/>
        <w:color w:val="000000"/>
        <w:sz w:val="14"/>
        <w:szCs w:val="14"/>
      </w:rPr>
      <w:t>Y:\000000000000-law\yael\10-01-28\final\500_269.doc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62D2" w14:textId="77777777" w:rsidR="006C70AB" w:rsidRDefault="006C70AB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D279B97" w14:textId="77777777" w:rsidR="006C70AB" w:rsidRDefault="006C70AB">
      <w:pPr>
        <w:spacing w:before="60"/>
        <w:ind w:right="1134"/>
      </w:pPr>
      <w:r>
        <w:separator/>
      </w:r>
    </w:p>
  </w:footnote>
  <w:footnote w:id="1">
    <w:p w14:paraId="3E517670" w14:textId="77777777" w:rsidR="001F210E" w:rsidRDefault="00415244" w:rsidP="001F21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</w:t>
      </w:r>
      <w:r w:rsidR="00965587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AF5921" w:rsidRPr="001F210E">
          <w:rPr>
            <w:rStyle w:val="Hyperlink"/>
            <w:rFonts w:cs="FrankRuehl" w:hint="cs"/>
            <w:rtl/>
          </w:rPr>
          <w:t>ק"ת</w:t>
        </w:r>
        <w:r w:rsidRPr="001F210E">
          <w:rPr>
            <w:rStyle w:val="Hyperlink"/>
            <w:rFonts w:cs="FrankRuehl" w:hint="cs"/>
            <w:rtl/>
          </w:rPr>
          <w:t xml:space="preserve"> תשע</w:t>
        </w:r>
        <w:r w:rsidR="00C3125E" w:rsidRPr="001F210E">
          <w:rPr>
            <w:rStyle w:val="Hyperlink"/>
            <w:rFonts w:cs="FrankRuehl" w:hint="cs"/>
            <w:rtl/>
          </w:rPr>
          <w:t>"א</w:t>
        </w:r>
        <w:r w:rsidRPr="001F210E">
          <w:rPr>
            <w:rStyle w:val="Hyperlink"/>
            <w:rFonts w:cs="FrankRuehl" w:hint="cs"/>
            <w:rtl/>
          </w:rPr>
          <w:t xml:space="preserve"> מס' </w:t>
        </w:r>
        <w:r w:rsidR="00C3125E" w:rsidRPr="001F210E">
          <w:rPr>
            <w:rStyle w:val="Hyperlink"/>
            <w:rFonts w:cs="FrankRuehl" w:hint="cs"/>
            <w:rtl/>
          </w:rPr>
          <w:t>700</w:t>
        </w:r>
        <w:r w:rsidR="00965587" w:rsidRPr="001F210E">
          <w:rPr>
            <w:rStyle w:val="Hyperlink"/>
            <w:rFonts w:cs="FrankRuehl" w:hint="cs"/>
            <w:rtl/>
          </w:rPr>
          <w:t>9</w:t>
        </w:r>
      </w:hyperlink>
      <w:r>
        <w:rPr>
          <w:rFonts w:cs="FrankRuehl" w:hint="cs"/>
          <w:rtl/>
        </w:rPr>
        <w:t xml:space="preserve"> מיום </w:t>
      </w:r>
      <w:r w:rsidR="00965587">
        <w:rPr>
          <w:rFonts w:cs="FrankRuehl" w:hint="cs"/>
          <w:rtl/>
        </w:rPr>
        <w:t>28</w:t>
      </w:r>
      <w:r w:rsidR="00C3125E">
        <w:rPr>
          <w:rFonts w:cs="FrankRuehl" w:hint="cs"/>
          <w:rtl/>
        </w:rPr>
        <w:t>.6.2011</w:t>
      </w:r>
      <w:r>
        <w:rPr>
          <w:rFonts w:cs="FrankRuehl" w:hint="cs"/>
          <w:rtl/>
        </w:rPr>
        <w:t xml:space="preserve"> עמ' </w:t>
      </w:r>
      <w:r w:rsidR="00AF5921">
        <w:rPr>
          <w:rFonts w:cs="FrankRuehl" w:hint="cs"/>
          <w:rtl/>
        </w:rPr>
        <w:t>110</w:t>
      </w:r>
      <w:r w:rsidR="00A74514">
        <w:rPr>
          <w:rFonts w:cs="FrankRuehl" w:hint="cs"/>
          <w:rtl/>
        </w:rPr>
        <w:t>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FB4C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0025346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4174E8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EDB8" w14:textId="77777777" w:rsidR="00415244" w:rsidRDefault="00AF5921" w:rsidP="00A7451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הבנקאות (</w:t>
    </w:r>
    <w:r w:rsidR="00A74514">
      <w:rPr>
        <w:rFonts w:hAnsi="FrankRuehl" w:cs="FrankRuehl" w:hint="cs"/>
        <w:color w:val="000000"/>
        <w:sz w:val="28"/>
        <w:szCs w:val="28"/>
        <w:rtl/>
      </w:rPr>
      <w:t xml:space="preserve">שיעורי </w:t>
    </w:r>
    <w:r>
      <w:rPr>
        <w:rFonts w:hAnsi="FrankRuehl" w:cs="FrankRuehl" w:hint="cs"/>
        <w:color w:val="000000"/>
        <w:sz w:val="28"/>
        <w:szCs w:val="28"/>
        <w:rtl/>
      </w:rPr>
      <w:t xml:space="preserve">הפחתה </w:t>
    </w:r>
    <w:r w:rsidR="00A74514">
      <w:rPr>
        <w:rFonts w:hAnsi="FrankRuehl" w:cs="FrankRuehl" w:hint="cs"/>
        <w:color w:val="000000"/>
        <w:sz w:val="28"/>
        <w:szCs w:val="28"/>
        <w:rtl/>
      </w:rPr>
      <w:t xml:space="preserve">מרביים </w:t>
    </w:r>
    <w:r>
      <w:rPr>
        <w:rFonts w:hAnsi="FrankRuehl" w:cs="FrankRuehl" w:hint="cs"/>
        <w:color w:val="000000"/>
        <w:sz w:val="28"/>
        <w:szCs w:val="28"/>
        <w:rtl/>
      </w:rPr>
      <w:t xml:space="preserve">של סכומי </w:t>
    </w:r>
    <w:r w:rsidR="00A74514">
      <w:rPr>
        <w:rFonts w:hAnsi="FrankRuehl" w:cs="FrankRuehl" w:hint="cs"/>
        <w:color w:val="000000"/>
        <w:sz w:val="28"/>
        <w:szCs w:val="28"/>
        <w:rtl/>
      </w:rPr>
      <w:t>העיצום הכספי</w:t>
    </w:r>
    <w:r w:rsidR="003415DF">
      <w:rPr>
        <w:rFonts w:hAnsi="FrankRuehl" w:cs="FrankRuehl" w:hint="cs"/>
        <w:color w:val="000000"/>
        <w:sz w:val="28"/>
        <w:szCs w:val="28"/>
        <w:rtl/>
      </w:rPr>
      <w:t>)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867A1">
      <w:rPr>
        <w:rFonts w:hAnsi="FrankRuehl" w:cs="FrankRuehl" w:hint="cs"/>
        <w:color w:val="000000"/>
        <w:sz w:val="28"/>
        <w:szCs w:val="28"/>
        <w:rtl/>
      </w:rPr>
      <w:t>תשע"א-2011</w:t>
    </w:r>
  </w:p>
  <w:p w14:paraId="48B6719A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30FEE8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9811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5BAB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06D4"/>
    <w:rsid w:val="00102B63"/>
    <w:rsid w:val="0010753D"/>
    <w:rsid w:val="00112119"/>
    <w:rsid w:val="00122C2E"/>
    <w:rsid w:val="0012508E"/>
    <w:rsid w:val="0012665B"/>
    <w:rsid w:val="001275F0"/>
    <w:rsid w:val="00131FDC"/>
    <w:rsid w:val="00133E83"/>
    <w:rsid w:val="0013416F"/>
    <w:rsid w:val="001347C9"/>
    <w:rsid w:val="001370C7"/>
    <w:rsid w:val="00142298"/>
    <w:rsid w:val="00152E1F"/>
    <w:rsid w:val="001615C2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758F"/>
    <w:rsid w:val="001E0FA8"/>
    <w:rsid w:val="001E196A"/>
    <w:rsid w:val="001E66EE"/>
    <w:rsid w:val="001F210E"/>
    <w:rsid w:val="001F5902"/>
    <w:rsid w:val="00201476"/>
    <w:rsid w:val="002216B6"/>
    <w:rsid w:val="0022178D"/>
    <w:rsid w:val="00224535"/>
    <w:rsid w:val="00224BA9"/>
    <w:rsid w:val="00226268"/>
    <w:rsid w:val="00231EA2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15DF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B5DC8"/>
    <w:rsid w:val="003C08EF"/>
    <w:rsid w:val="003C6DF3"/>
    <w:rsid w:val="003D5BB0"/>
    <w:rsid w:val="003D600F"/>
    <w:rsid w:val="003E10E3"/>
    <w:rsid w:val="003E14B9"/>
    <w:rsid w:val="003E17A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4EA"/>
    <w:rsid w:val="0044263A"/>
    <w:rsid w:val="00445514"/>
    <w:rsid w:val="00446CD9"/>
    <w:rsid w:val="0045078F"/>
    <w:rsid w:val="00454064"/>
    <w:rsid w:val="00454F98"/>
    <w:rsid w:val="004555FD"/>
    <w:rsid w:val="00456965"/>
    <w:rsid w:val="00460066"/>
    <w:rsid w:val="00460500"/>
    <w:rsid w:val="00461817"/>
    <w:rsid w:val="0047103A"/>
    <w:rsid w:val="00471679"/>
    <w:rsid w:val="00475BF0"/>
    <w:rsid w:val="004773F3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DE5"/>
    <w:rsid w:val="005250CD"/>
    <w:rsid w:val="0053081B"/>
    <w:rsid w:val="00531597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72E7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3FEC"/>
    <w:rsid w:val="00684080"/>
    <w:rsid w:val="006849D8"/>
    <w:rsid w:val="00687666"/>
    <w:rsid w:val="00697EB2"/>
    <w:rsid w:val="006A0AF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0AB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5D6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936E7"/>
    <w:rsid w:val="007A1FF2"/>
    <w:rsid w:val="007A3993"/>
    <w:rsid w:val="007A412F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5EC0"/>
    <w:rsid w:val="007D726F"/>
    <w:rsid w:val="007D73DF"/>
    <w:rsid w:val="007F0616"/>
    <w:rsid w:val="008035CC"/>
    <w:rsid w:val="00810454"/>
    <w:rsid w:val="00810700"/>
    <w:rsid w:val="00810C8E"/>
    <w:rsid w:val="008159FF"/>
    <w:rsid w:val="008162C9"/>
    <w:rsid w:val="008301CC"/>
    <w:rsid w:val="008314E8"/>
    <w:rsid w:val="0083592B"/>
    <w:rsid w:val="0084017A"/>
    <w:rsid w:val="00841A08"/>
    <w:rsid w:val="008502EE"/>
    <w:rsid w:val="00852A6C"/>
    <w:rsid w:val="0085655A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B2B5B"/>
    <w:rsid w:val="008C0451"/>
    <w:rsid w:val="008C2526"/>
    <w:rsid w:val="008C5B96"/>
    <w:rsid w:val="008C7D26"/>
    <w:rsid w:val="008D03EF"/>
    <w:rsid w:val="008E0EC9"/>
    <w:rsid w:val="008E3201"/>
    <w:rsid w:val="008E367E"/>
    <w:rsid w:val="008E36CB"/>
    <w:rsid w:val="008E73A8"/>
    <w:rsid w:val="008E7FBC"/>
    <w:rsid w:val="00902390"/>
    <w:rsid w:val="00904CD2"/>
    <w:rsid w:val="00904EEA"/>
    <w:rsid w:val="00906581"/>
    <w:rsid w:val="00911822"/>
    <w:rsid w:val="00920D4C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4A48"/>
    <w:rsid w:val="00955412"/>
    <w:rsid w:val="00955564"/>
    <w:rsid w:val="00955AC8"/>
    <w:rsid w:val="00955F80"/>
    <w:rsid w:val="009572D1"/>
    <w:rsid w:val="00961D71"/>
    <w:rsid w:val="0096403F"/>
    <w:rsid w:val="00965587"/>
    <w:rsid w:val="00974306"/>
    <w:rsid w:val="0099490C"/>
    <w:rsid w:val="009C2916"/>
    <w:rsid w:val="009C2B9E"/>
    <w:rsid w:val="009C519A"/>
    <w:rsid w:val="009C5B73"/>
    <w:rsid w:val="009D50CE"/>
    <w:rsid w:val="009E2AAC"/>
    <w:rsid w:val="009E776D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3CA6"/>
    <w:rsid w:val="00A141C3"/>
    <w:rsid w:val="00A14F70"/>
    <w:rsid w:val="00A17F89"/>
    <w:rsid w:val="00A22051"/>
    <w:rsid w:val="00A227D9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4514"/>
    <w:rsid w:val="00A77084"/>
    <w:rsid w:val="00A7746E"/>
    <w:rsid w:val="00A82368"/>
    <w:rsid w:val="00A87C1B"/>
    <w:rsid w:val="00A9239A"/>
    <w:rsid w:val="00A93848"/>
    <w:rsid w:val="00A96E7D"/>
    <w:rsid w:val="00AA06AC"/>
    <w:rsid w:val="00AA604D"/>
    <w:rsid w:val="00AB116A"/>
    <w:rsid w:val="00AB3458"/>
    <w:rsid w:val="00AB7FCA"/>
    <w:rsid w:val="00AC24C7"/>
    <w:rsid w:val="00AC2D4F"/>
    <w:rsid w:val="00AC447F"/>
    <w:rsid w:val="00AC5875"/>
    <w:rsid w:val="00AC6EF5"/>
    <w:rsid w:val="00AC7B1B"/>
    <w:rsid w:val="00AD5076"/>
    <w:rsid w:val="00AE4A4F"/>
    <w:rsid w:val="00AF36BF"/>
    <w:rsid w:val="00AF5921"/>
    <w:rsid w:val="00B005C1"/>
    <w:rsid w:val="00B0106C"/>
    <w:rsid w:val="00B12F53"/>
    <w:rsid w:val="00B173CC"/>
    <w:rsid w:val="00B17AF7"/>
    <w:rsid w:val="00B218F8"/>
    <w:rsid w:val="00B25145"/>
    <w:rsid w:val="00B255CC"/>
    <w:rsid w:val="00B273CF"/>
    <w:rsid w:val="00B36314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A7244"/>
    <w:rsid w:val="00BB2A40"/>
    <w:rsid w:val="00BB6FFF"/>
    <w:rsid w:val="00BC2E38"/>
    <w:rsid w:val="00BC636B"/>
    <w:rsid w:val="00BC76FB"/>
    <w:rsid w:val="00BD0B5B"/>
    <w:rsid w:val="00BD1625"/>
    <w:rsid w:val="00BD4F13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4093"/>
    <w:rsid w:val="00C04B09"/>
    <w:rsid w:val="00C0712A"/>
    <w:rsid w:val="00C07231"/>
    <w:rsid w:val="00C10CB0"/>
    <w:rsid w:val="00C12200"/>
    <w:rsid w:val="00C14B1A"/>
    <w:rsid w:val="00C14DD4"/>
    <w:rsid w:val="00C17A30"/>
    <w:rsid w:val="00C246A6"/>
    <w:rsid w:val="00C3125E"/>
    <w:rsid w:val="00C3406E"/>
    <w:rsid w:val="00C34AA6"/>
    <w:rsid w:val="00C47162"/>
    <w:rsid w:val="00C507B6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F5F"/>
    <w:rsid w:val="00CE64CC"/>
    <w:rsid w:val="00CF4B69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0961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A1151"/>
    <w:rsid w:val="00DA1B2B"/>
    <w:rsid w:val="00DB2F3B"/>
    <w:rsid w:val="00DB7031"/>
    <w:rsid w:val="00DC4F86"/>
    <w:rsid w:val="00DD4EE1"/>
    <w:rsid w:val="00DD6D56"/>
    <w:rsid w:val="00DF0302"/>
    <w:rsid w:val="00DF1462"/>
    <w:rsid w:val="00DF1696"/>
    <w:rsid w:val="00DF2216"/>
    <w:rsid w:val="00DF70B1"/>
    <w:rsid w:val="00DF712A"/>
    <w:rsid w:val="00E06B57"/>
    <w:rsid w:val="00E14861"/>
    <w:rsid w:val="00E2758D"/>
    <w:rsid w:val="00E4409A"/>
    <w:rsid w:val="00E44F20"/>
    <w:rsid w:val="00E46A3D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93617"/>
    <w:rsid w:val="00E9389D"/>
    <w:rsid w:val="00E967BF"/>
    <w:rsid w:val="00EB059B"/>
    <w:rsid w:val="00EB2FD0"/>
    <w:rsid w:val="00EB4F2E"/>
    <w:rsid w:val="00EB5C4C"/>
    <w:rsid w:val="00EC16B8"/>
    <w:rsid w:val="00EC18C0"/>
    <w:rsid w:val="00EC1EE7"/>
    <w:rsid w:val="00EC6C22"/>
    <w:rsid w:val="00ED1044"/>
    <w:rsid w:val="00ED2D71"/>
    <w:rsid w:val="00ED50FD"/>
    <w:rsid w:val="00ED57D8"/>
    <w:rsid w:val="00EE3056"/>
    <w:rsid w:val="00EE528E"/>
    <w:rsid w:val="00EE70B6"/>
    <w:rsid w:val="00EF1C64"/>
    <w:rsid w:val="00EF2407"/>
    <w:rsid w:val="00EF62F1"/>
    <w:rsid w:val="00F01A87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52EE"/>
    <w:rsid w:val="00F97644"/>
    <w:rsid w:val="00F978B2"/>
    <w:rsid w:val="00FA1FFE"/>
    <w:rsid w:val="00FA7979"/>
    <w:rsid w:val="00FA7F55"/>
    <w:rsid w:val="00FB27A7"/>
    <w:rsid w:val="00FB5832"/>
    <w:rsid w:val="00FC0A70"/>
    <w:rsid w:val="00FC2247"/>
    <w:rsid w:val="00FC4D18"/>
    <w:rsid w:val="00FC7F75"/>
    <w:rsid w:val="00FD0E6D"/>
    <w:rsid w:val="00FD3CF5"/>
    <w:rsid w:val="00FD516D"/>
    <w:rsid w:val="00FE1699"/>
    <w:rsid w:val="00FE306D"/>
    <w:rsid w:val="00FE7F35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192B521"/>
  <w15:chartTrackingRefBased/>
  <w15:docId w15:val="{67192846-5E14-4CBD-BD6F-5341A410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1689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כללי הבנקאות (שיעורי הפחתה מרביים של סכומי העיצום הכספי), תשע"א-2011</vt:lpwstr>
  </property>
  <property fmtid="{D5CDD505-2E9C-101B-9397-08002B2CF9AE}" pid="4" name="LAWNUMBER">
    <vt:lpwstr>0514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בנקאות</vt:lpwstr>
  </property>
  <property fmtid="{D5CDD505-2E9C-101B-9397-08002B2CF9AE}" pid="23" name="NOSE11">
    <vt:lpwstr>משפט פרטי וכלכלה</vt:lpwstr>
  </property>
  <property fmtid="{D5CDD505-2E9C-101B-9397-08002B2CF9AE}" pid="24" name="NOSE21">
    <vt:lpwstr>כספים</vt:lpwstr>
  </property>
  <property fmtid="{D5CDD505-2E9C-101B-9397-08002B2CF9AE}" pid="25" name="NOSE31">
    <vt:lpwstr>בנקאות</vt:lpwstr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פקודת הבנקאות</vt:lpwstr>
  </property>
  <property fmtid="{D5CDD505-2E9C-101B-9397-08002B2CF9AE}" pid="64" name="MEKOR_SAIF1">
    <vt:lpwstr>14טXבX</vt:lpwstr>
  </property>
  <property fmtid="{D5CDD505-2E9C-101B-9397-08002B2CF9AE}" pid="65" name="LINKK1">
    <vt:lpwstr>http://www.nevo.co.il/Law_word/law06/TAK-7009.pdf;‎רשומות - תקנות כלליות#פורסמו ק"ת תשע"א ‏מס' 7009 #מיום 28.6.2011 עמ' 1102‏</vt:lpwstr>
  </property>
</Properties>
</file>