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BA81" w14:textId="77777777" w:rsidR="00E257D4" w:rsidRDefault="00E257D4" w:rsidP="00B241BE">
      <w:pPr>
        <w:pStyle w:val="big-header"/>
        <w:ind w:left="0" w:right="1134"/>
        <w:rPr>
          <w:rStyle w:val="a6"/>
          <w:rFonts w:cs="Miriam" w:hint="cs"/>
          <w:b/>
          <w:bCs/>
          <w:noProof w:val="0"/>
          <w:position w:val="4"/>
          <w:sz w:val="22"/>
          <w:szCs w:val="20"/>
          <w:vertAlign w:val="baseline"/>
          <w:rtl/>
        </w:rPr>
      </w:pPr>
      <w:r>
        <w:rPr>
          <w:rFonts w:cs="FrankRuehl"/>
          <w:sz w:val="32"/>
          <w:rtl/>
        </w:rPr>
        <w:t>כללי ההגבלים העסקיים (הוראות והגדרות כלליות), תשס"א</w:t>
      </w:r>
      <w:r>
        <w:rPr>
          <w:rFonts w:cs="FrankRuehl" w:hint="cs"/>
          <w:sz w:val="32"/>
          <w:rtl/>
        </w:rPr>
        <w:t>-</w:t>
      </w:r>
      <w:r>
        <w:rPr>
          <w:rFonts w:cs="FrankRuehl"/>
          <w:sz w:val="32"/>
          <w:rtl/>
        </w:rPr>
        <w:t>2001</w:t>
      </w:r>
    </w:p>
    <w:p w14:paraId="1F65CECB" w14:textId="77777777" w:rsidR="00F872EC" w:rsidRDefault="00F872EC" w:rsidP="00F872EC">
      <w:pPr>
        <w:pStyle w:val="big-header"/>
        <w:ind w:left="0" w:right="1134"/>
        <w:rPr>
          <w:rFonts w:cs="FrankRuehl" w:hint="cs"/>
          <w:color w:val="008000"/>
          <w:rtl/>
        </w:rPr>
      </w:pPr>
      <w:r w:rsidRPr="006E674C">
        <w:rPr>
          <w:rFonts w:cs="FrankRuehl" w:hint="cs"/>
          <w:color w:val="008000"/>
          <w:rtl/>
        </w:rPr>
        <w:t>רבדים בחקיקה</w:t>
      </w:r>
    </w:p>
    <w:p w14:paraId="1FBAF2D4" w14:textId="77777777" w:rsidR="00D35A44" w:rsidRPr="00D35A44" w:rsidRDefault="00D35A44" w:rsidP="00D35A44">
      <w:pPr>
        <w:spacing w:line="320" w:lineRule="auto"/>
        <w:jc w:val="left"/>
        <w:rPr>
          <w:rFonts w:cs="FrankRuehl"/>
          <w:szCs w:val="26"/>
          <w:rtl/>
        </w:rPr>
      </w:pPr>
    </w:p>
    <w:p w14:paraId="62026184" w14:textId="77777777" w:rsidR="00D35A44" w:rsidRDefault="00D35A44" w:rsidP="00D35A44">
      <w:pPr>
        <w:spacing w:line="320" w:lineRule="auto"/>
        <w:jc w:val="left"/>
        <w:rPr>
          <w:rtl/>
        </w:rPr>
      </w:pPr>
    </w:p>
    <w:p w14:paraId="1063EF21" w14:textId="77777777" w:rsidR="00D35A44" w:rsidRPr="00D35A44" w:rsidRDefault="00D35A44" w:rsidP="00D35A44">
      <w:pPr>
        <w:spacing w:line="320" w:lineRule="auto"/>
        <w:jc w:val="left"/>
        <w:rPr>
          <w:rFonts w:cs="Miriam" w:hint="cs"/>
          <w:szCs w:val="22"/>
          <w:rtl/>
        </w:rPr>
      </w:pPr>
      <w:r w:rsidRPr="00D35A44">
        <w:rPr>
          <w:rFonts w:cs="Miriam"/>
          <w:szCs w:val="22"/>
          <w:rtl/>
        </w:rPr>
        <w:t>משפט פרטי וכלכלה</w:t>
      </w:r>
      <w:r w:rsidRPr="00D35A44">
        <w:rPr>
          <w:rFonts w:cs="FrankRuehl"/>
          <w:szCs w:val="26"/>
          <w:rtl/>
        </w:rPr>
        <w:t xml:space="preserve"> – מסחר  – הגבלים עסקיים</w:t>
      </w:r>
    </w:p>
    <w:p w14:paraId="64D98739" w14:textId="77777777" w:rsidR="00E257D4" w:rsidRDefault="00E257D4">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257D4" w14:paraId="3DBB5BBE" w14:textId="77777777">
        <w:tblPrEx>
          <w:tblCellMar>
            <w:top w:w="0" w:type="dxa"/>
            <w:bottom w:w="0" w:type="dxa"/>
          </w:tblCellMar>
        </w:tblPrEx>
        <w:trPr>
          <w:jc w:val="right"/>
        </w:trPr>
        <w:tc>
          <w:tcPr>
            <w:tcW w:w="850" w:type="dxa"/>
          </w:tcPr>
          <w:p w14:paraId="0825856E" w14:textId="77777777" w:rsidR="00E257D4" w:rsidRDefault="00E257D4">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241BE">
              <w:rPr>
                <w:noProof/>
                <w:sz w:val="24"/>
                <w:rtl/>
              </w:rPr>
              <w:t>2</w:t>
            </w:r>
            <w:r>
              <w:rPr>
                <w:sz w:val="24"/>
                <w:rtl/>
              </w:rPr>
              <w:fldChar w:fldCharType="end"/>
            </w:r>
          </w:p>
        </w:tc>
        <w:tc>
          <w:tcPr>
            <w:tcW w:w="567" w:type="dxa"/>
          </w:tcPr>
          <w:p w14:paraId="227C79C5" w14:textId="77777777" w:rsidR="00E257D4" w:rsidRDefault="00E257D4">
            <w:pPr>
              <w:spacing w:line="240" w:lineRule="auto"/>
              <w:jc w:val="left"/>
              <w:rPr>
                <w:sz w:val="24"/>
              </w:rPr>
            </w:pPr>
            <w:hyperlink w:anchor="Seif0" w:tooltip="הגדרות" w:history="1">
              <w:r>
                <w:rPr>
                  <w:rStyle w:val="Hyperlink"/>
                </w:rPr>
                <w:t>Go</w:t>
              </w:r>
            </w:hyperlink>
          </w:p>
        </w:tc>
        <w:tc>
          <w:tcPr>
            <w:tcW w:w="5669" w:type="dxa"/>
          </w:tcPr>
          <w:p w14:paraId="1C5845DF" w14:textId="77777777" w:rsidR="00E257D4" w:rsidRDefault="00E257D4">
            <w:pPr>
              <w:spacing w:line="240" w:lineRule="auto"/>
              <w:jc w:val="left"/>
              <w:rPr>
                <w:sz w:val="24"/>
                <w:rtl/>
              </w:rPr>
            </w:pPr>
            <w:r>
              <w:rPr>
                <w:sz w:val="24"/>
                <w:rtl/>
              </w:rPr>
              <w:t>הגדרות</w:t>
            </w:r>
          </w:p>
        </w:tc>
        <w:tc>
          <w:tcPr>
            <w:tcW w:w="1247" w:type="dxa"/>
          </w:tcPr>
          <w:p w14:paraId="017D448C" w14:textId="77777777" w:rsidR="00E257D4" w:rsidRDefault="00E257D4">
            <w:pPr>
              <w:spacing w:line="240" w:lineRule="auto"/>
              <w:jc w:val="left"/>
              <w:rPr>
                <w:sz w:val="24"/>
              </w:rPr>
            </w:pPr>
            <w:r>
              <w:rPr>
                <w:sz w:val="24"/>
                <w:rtl/>
              </w:rPr>
              <w:t xml:space="preserve">סעיף 1 </w:t>
            </w:r>
          </w:p>
        </w:tc>
      </w:tr>
      <w:tr w:rsidR="00E257D4" w14:paraId="61F615E0" w14:textId="77777777">
        <w:tblPrEx>
          <w:tblCellMar>
            <w:top w:w="0" w:type="dxa"/>
            <w:bottom w:w="0" w:type="dxa"/>
          </w:tblCellMar>
        </w:tblPrEx>
        <w:trPr>
          <w:jc w:val="right"/>
        </w:trPr>
        <w:tc>
          <w:tcPr>
            <w:tcW w:w="850" w:type="dxa"/>
          </w:tcPr>
          <w:p w14:paraId="57BB5A4B" w14:textId="77777777" w:rsidR="00E257D4" w:rsidRDefault="00E257D4">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241BE">
              <w:rPr>
                <w:noProof/>
                <w:sz w:val="24"/>
                <w:rtl/>
              </w:rPr>
              <w:t>3</w:t>
            </w:r>
            <w:r>
              <w:rPr>
                <w:sz w:val="24"/>
                <w:rtl/>
              </w:rPr>
              <w:fldChar w:fldCharType="end"/>
            </w:r>
          </w:p>
        </w:tc>
        <w:tc>
          <w:tcPr>
            <w:tcW w:w="567" w:type="dxa"/>
          </w:tcPr>
          <w:p w14:paraId="4983E57C" w14:textId="77777777" w:rsidR="00E257D4" w:rsidRDefault="00E257D4">
            <w:pPr>
              <w:spacing w:line="240" w:lineRule="auto"/>
              <w:jc w:val="left"/>
              <w:rPr>
                <w:sz w:val="24"/>
              </w:rPr>
            </w:pPr>
            <w:hyperlink w:anchor="Seif1" w:tooltip="תחולה על אדם קשור" w:history="1">
              <w:r>
                <w:rPr>
                  <w:rStyle w:val="Hyperlink"/>
                </w:rPr>
                <w:t>Go</w:t>
              </w:r>
            </w:hyperlink>
          </w:p>
        </w:tc>
        <w:tc>
          <w:tcPr>
            <w:tcW w:w="5669" w:type="dxa"/>
          </w:tcPr>
          <w:p w14:paraId="640791A6" w14:textId="77777777" w:rsidR="00E257D4" w:rsidRDefault="00E257D4">
            <w:pPr>
              <w:spacing w:line="240" w:lineRule="auto"/>
              <w:jc w:val="left"/>
              <w:rPr>
                <w:sz w:val="24"/>
                <w:rtl/>
              </w:rPr>
            </w:pPr>
            <w:r>
              <w:rPr>
                <w:sz w:val="24"/>
                <w:rtl/>
              </w:rPr>
              <w:t>תחולה על אדם קשור</w:t>
            </w:r>
          </w:p>
        </w:tc>
        <w:tc>
          <w:tcPr>
            <w:tcW w:w="1247" w:type="dxa"/>
          </w:tcPr>
          <w:p w14:paraId="116B71B6" w14:textId="77777777" w:rsidR="00E257D4" w:rsidRDefault="00E257D4">
            <w:pPr>
              <w:spacing w:line="240" w:lineRule="auto"/>
              <w:jc w:val="left"/>
              <w:rPr>
                <w:sz w:val="24"/>
              </w:rPr>
            </w:pPr>
            <w:r>
              <w:rPr>
                <w:sz w:val="24"/>
                <w:rtl/>
              </w:rPr>
              <w:t xml:space="preserve">סעיף 2 </w:t>
            </w:r>
          </w:p>
        </w:tc>
      </w:tr>
      <w:tr w:rsidR="00E257D4" w14:paraId="7FC500A2" w14:textId="77777777">
        <w:tblPrEx>
          <w:tblCellMar>
            <w:top w:w="0" w:type="dxa"/>
            <w:bottom w:w="0" w:type="dxa"/>
          </w:tblCellMar>
        </w:tblPrEx>
        <w:trPr>
          <w:jc w:val="right"/>
        </w:trPr>
        <w:tc>
          <w:tcPr>
            <w:tcW w:w="850" w:type="dxa"/>
          </w:tcPr>
          <w:p w14:paraId="38B22C82" w14:textId="77777777" w:rsidR="00E257D4" w:rsidRDefault="00E257D4">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241BE">
              <w:rPr>
                <w:noProof/>
                <w:sz w:val="24"/>
                <w:rtl/>
              </w:rPr>
              <w:t>3</w:t>
            </w:r>
            <w:r>
              <w:rPr>
                <w:sz w:val="24"/>
                <w:rtl/>
              </w:rPr>
              <w:fldChar w:fldCharType="end"/>
            </w:r>
          </w:p>
        </w:tc>
        <w:tc>
          <w:tcPr>
            <w:tcW w:w="567" w:type="dxa"/>
          </w:tcPr>
          <w:p w14:paraId="266253EA" w14:textId="77777777" w:rsidR="00E257D4" w:rsidRDefault="00E257D4">
            <w:pPr>
              <w:spacing w:line="240" w:lineRule="auto"/>
              <w:jc w:val="left"/>
              <w:rPr>
                <w:sz w:val="24"/>
              </w:rPr>
            </w:pPr>
            <w:hyperlink w:anchor="Seif2" w:tooltip="חישוב חלקם של הצדדים" w:history="1">
              <w:r>
                <w:rPr>
                  <w:rStyle w:val="Hyperlink"/>
                </w:rPr>
                <w:t>Go</w:t>
              </w:r>
            </w:hyperlink>
          </w:p>
        </w:tc>
        <w:tc>
          <w:tcPr>
            <w:tcW w:w="5669" w:type="dxa"/>
          </w:tcPr>
          <w:p w14:paraId="253A05EF" w14:textId="77777777" w:rsidR="00E257D4" w:rsidRDefault="00E257D4">
            <w:pPr>
              <w:spacing w:line="240" w:lineRule="auto"/>
              <w:jc w:val="left"/>
              <w:rPr>
                <w:sz w:val="24"/>
                <w:rtl/>
              </w:rPr>
            </w:pPr>
            <w:r>
              <w:rPr>
                <w:sz w:val="24"/>
                <w:rtl/>
              </w:rPr>
              <w:t>חישוב חלקם של הצדדים</w:t>
            </w:r>
          </w:p>
        </w:tc>
        <w:tc>
          <w:tcPr>
            <w:tcW w:w="1247" w:type="dxa"/>
          </w:tcPr>
          <w:p w14:paraId="3E027811" w14:textId="77777777" w:rsidR="00E257D4" w:rsidRDefault="00E257D4">
            <w:pPr>
              <w:spacing w:line="240" w:lineRule="auto"/>
              <w:jc w:val="left"/>
              <w:rPr>
                <w:sz w:val="24"/>
              </w:rPr>
            </w:pPr>
            <w:r>
              <w:rPr>
                <w:sz w:val="24"/>
                <w:rtl/>
              </w:rPr>
              <w:t xml:space="preserve">סעיף 3 </w:t>
            </w:r>
          </w:p>
        </w:tc>
      </w:tr>
      <w:tr w:rsidR="00E257D4" w14:paraId="654584A2" w14:textId="77777777">
        <w:tblPrEx>
          <w:tblCellMar>
            <w:top w:w="0" w:type="dxa"/>
            <w:bottom w:w="0" w:type="dxa"/>
          </w:tblCellMar>
        </w:tblPrEx>
        <w:trPr>
          <w:jc w:val="right"/>
        </w:trPr>
        <w:tc>
          <w:tcPr>
            <w:tcW w:w="850" w:type="dxa"/>
          </w:tcPr>
          <w:p w14:paraId="43B64C99" w14:textId="77777777" w:rsidR="00E257D4" w:rsidRDefault="00E257D4">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241BE">
              <w:rPr>
                <w:noProof/>
                <w:sz w:val="24"/>
                <w:rtl/>
              </w:rPr>
              <w:t>3</w:t>
            </w:r>
            <w:r>
              <w:rPr>
                <w:sz w:val="24"/>
                <w:rtl/>
              </w:rPr>
              <w:fldChar w:fldCharType="end"/>
            </w:r>
          </w:p>
        </w:tc>
        <w:tc>
          <w:tcPr>
            <w:tcW w:w="567" w:type="dxa"/>
          </w:tcPr>
          <w:p w14:paraId="43A56C43" w14:textId="77777777" w:rsidR="00E257D4" w:rsidRDefault="00E257D4">
            <w:pPr>
              <w:spacing w:line="240" w:lineRule="auto"/>
              <w:jc w:val="left"/>
              <w:rPr>
                <w:sz w:val="24"/>
              </w:rPr>
            </w:pPr>
            <w:hyperlink w:anchor="Seif3" w:tooltip="אי_תחולת פטורי הסוג על סוגים מסוימים  של כבילות" w:history="1">
              <w:r>
                <w:rPr>
                  <w:rStyle w:val="Hyperlink"/>
                </w:rPr>
                <w:t>Go</w:t>
              </w:r>
            </w:hyperlink>
          </w:p>
        </w:tc>
        <w:tc>
          <w:tcPr>
            <w:tcW w:w="5669" w:type="dxa"/>
          </w:tcPr>
          <w:p w14:paraId="3C3728A5" w14:textId="77777777" w:rsidR="00E257D4" w:rsidRDefault="00E257D4">
            <w:pPr>
              <w:spacing w:line="240" w:lineRule="auto"/>
              <w:jc w:val="left"/>
              <w:rPr>
                <w:sz w:val="24"/>
                <w:rtl/>
              </w:rPr>
            </w:pPr>
            <w:r>
              <w:rPr>
                <w:sz w:val="24"/>
                <w:rtl/>
              </w:rPr>
              <w:t>אי</w:t>
            </w:r>
            <w:r w:rsidR="00B241BE">
              <w:rPr>
                <w:rFonts w:hint="cs"/>
                <w:sz w:val="24"/>
                <w:rtl/>
              </w:rPr>
              <w:t>-</w:t>
            </w:r>
            <w:r>
              <w:rPr>
                <w:sz w:val="24"/>
                <w:rtl/>
              </w:rPr>
              <w:t>תחולת פטורי הסוג על סוגים מסוימים  של כבילות</w:t>
            </w:r>
          </w:p>
        </w:tc>
        <w:tc>
          <w:tcPr>
            <w:tcW w:w="1247" w:type="dxa"/>
          </w:tcPr>
          <w:p w14:paraId="2B1F27C5" w14:textId="77777777" w:rsidR="00E257D4" w:rsidRDefault="00E257D4">
            <w:pPr>
              <w:spacing w:line="240" w:lineRule="auto"/>
              <w:jc w:val="left"/>
              <w:rPr>
                <w:sz w:val="24"/>
              </w:rPr>
            </w:pPr>
            <w:r>
              <w:rPr>
                <w:sz w:val="24"/>
                <w:rtl/>
              </w:rPr>
              <w:t xml:space="preserve">סעיף 4 </w:t>
            </w:r>
          </w:p>
        </w:tc>
      </w:tr>
      <w:tr w:rsidR="00E257D4" w14:paraId="644F577D" w14:textId="77777777">
        <w:tblPrEx>
          <w:tblCellMar>
            <w:top w:w="0" w:type="dxa"/>
            <w:bottom w:w="0" w:type="dxa"/>
          </w:tblCellMar>
        </w:tblPrEx>
        <w:trPr>
          <w:jc w:val="right"/>
        </w:trPr>
        <w:tc>
          <w:tcPr>
            <w:tcW w:w="850" w:type="dxa"/>
          </w:tcPr>
          <w:p w14:paraId="36FE3369" w14:textId="77777777" w:rsidR="00E257D4" w:rsidRDefault="00E257D4">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241BE">
              <w:rPr>
                <w:noProof/>
                <w:sz w:val="24"/>
                <w:rtl/>
              </w:rPr>
              <w:t>4</w:t>
            </w:r>
            <w:r>
              <w:rPr>
                <w:sz w:val="24"/>
                <w:rtl/>
              </w:rPr>
              <w:fldChar w:fldCharType="end"/>
            </w:r>
          </w:p>
        </w:tc>
        <w:tc>
          <w:tcPr>
            <w:tcW w:w="567" w:type="dxa"/>
          </w:tcPr>
          <w:p w14:paraId="510726F3" w14:textId="77777777" w:rsidR="00E257D4" w:rsidRDefault="00E257D4">
            <w:pPr>
              <w:spacing w:line="240" w:lineRule="auto"/>
              <w:jc w:val="left"/>
              <w:rPr>
                <w:sz w:val="24"/>
              </w:rPr>
            </w:pPr>
            <w:hyperlink w:anchor="Seif4" w:tooltip="אי_תחולת הפטור  על הסכם הכולל כבילות אחרות" w:history="1">
              <w:r>
                <w:rPr>
                  <w:rStyle w:val="Hyperlink"/>
                </w:rPr>
                <w:t>Go</w:t>
              </w:r>
            </w:hyperlink>
          </w:p>
        </w:tc>
        <w:tc>
          <w:tcPr>
            <w:tcW w:w="5669" w:type="dxa"/>
          </w:tcPr>
          <w:p w14:paraId="1A6E1005" w14:textId="77777777" w:rsidR="00E257D4" w:rsidRDefault="00E257D4">
            <w:pPr>
              <w:spacing w:line="240" w:lineRule="auto"/>
              <w:jc w:val="left"/>
              <w:rPr>
                <w:sz w:val="24"/>
                <w:rtl/>
              </w:rPr>
            </w:pPr>
            <w:r>
              <w:rPr>
                <w:sz w:val="24"/>
                <w:rtl/>
              </w:rPr>
              <w:t>אי</w:t>
            </w:r>
            <w:r w:rsidR="00B241BE">
              <w:rPr>
                <w:rFonts w:hint="cs"/>
                <w:sz w:val="24"/>
                <w:rtl/>
              </w:rPr>
              <w:t>-</w:t>
            </w:r>
            <w:r>
              <w:rPr>
                <w:sz w:val="24"/>
                <w:rtl/>
              </w:rPr>
              <w:t>תחולת הפטור  על הסכם הכולל כבילות אחרות</w:t>
            </w:r>
          </w:p>
        </w:tc>
        <w:tc>
          <w:tcPr>
            <w:tcW w:w="1247" w:type="dxa"/>
          </w:tcPr>
          <w:p w14:paraId="0B695E32" w14:textId="77777777" w:rsidR="00E257D4" w:rsidRDefault="00E257D4">
            <w:pPr>
              <w:spacing w:line="240" w:lineRule="auto"/>
              <w:jc w:val="left"/>
              <w:rPr>
                <w:sz w:val="24"/>
              </w:rPr>
            </w:pPr>
            <w:r>
              <w:rPr>
                <w:sz w:val="24"/>
                <w:rtl/>
              </w:rPr>
              <w:t xml:space="preserve">סעיף 5 </w:t>
            </w:r>
          </w:p>
        </w:tc>
      </w:tr>
      <w:tr w:rsidR="00E257D4" w14:paraId="23D80206" w14:textId="77777777">
        <w:tblPrEx>
          <w:tblCellMar>
            <w:top w:w="0" w:type="dxa"/>
            <w:bottom w:w="0" w:type="dxa"/>
          </w:tblCellMar>
        </w:tblPrEx>
        <w:trPr>
          <w:jc w:val="right"/>
        </w:trPr>
        <w:tc>
          <w:tcPr>
            <w:tcW w:w="850" w:type="dxa"/>
          </w:tcPr>
          <w:p w14:paraId="52DC4082" w14:textId="77777777" w:rsidR="00E257D4" w:rsidRDefault="00E257D4">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241BE">
              <w:rPr>
                <w:noProof/>
                <w:sz w:val="24"/>
                <w:rtl/>
              </w:rPr>
              <w:t>4</w:t>
            </w:r>
            <w:r>
              <w:rPr>
                <w:sz w:val="24"/>
                <w:rtl/>
              </w:rPr>
              <w:fldChar w:fldCharType="end"/>
            </w:r>
          </w:p>
        </w:tc>
        <w:tc>
          <w:tcPr>
            <w:tcW w:w="567" w:type="dxa"/>
          </w:tcPr>
          <w:p w14:paraId="66A39CDB" w14:textId="77777777" w:rsidR="00E257D4" w:rsidRDefault="00E257D4">
            <w:pPr>
              <w:spacing w:line="240" w:lineRule="auto"/>
              <w:jc w:val="left"/>
              <w:rPr>
                <w:sz w:val="24"/>
              </w:rPr>
            </w:pPr>
            <w:hyperlink w:anchor="Seif5" w:tooltip="אי_פיצול פטורים" w:history="1">
              <w:r>
                <w:rPr>
                  <w:rStyle w:val="Hyperlink"/>
                </w:rPr>
                <w:t>Go</w:t>
              </w:r>
            </w:hyperlink>
          </w:p>
        </w:tc>
        <w:tc>
          <w:tcPr>
            <w:tcW w:w="5669" w:type="dxa"/>
          </w:tcPr>
          <w:p w14:paraId="2DC57166" w14:textId="77777777" w:rsidR="00E257D4" w:rsidRDefault="00E257D4">
            <w:pPr>
              <w:spacing w:line="240" w:lineRule="auto"/>
              <w:jc w:val="left"/>
              <w:rPr>
                <w:sz w:val="24"/>
                <w:rtl/>
              </w:rPr>
            </w:pPr>
            <w:r>
              <w:rPr>
                <w:sz w:val="24"/>
                <w:rtl/>
              </w:rPr>
              <w:t>אי</w:t>
            </w:r>
            <w:r w:rsidR="00B241BE">
              <w:rPr>
                <w:rFonts w:hint="cs"/>
                <w:sz w:val="24"/>
                <w:rtl/>
              </w:rPr>
              <w:t>-</w:t>
            </w:r>
            <w:r>
              <w:rPr>
                <w:sz w:val="24"/>
                <w:rtl/>
              </w:rPr>
              <w:t>פיצול פטורים</w:t>
            </w:r>
          </w:p>
        </w:tc>
        <w:tc>
          <w:tcPr>
            <w:tcW w:w="1247" w:type="dxa"/>
          </w:tcPr>
          <w:p w14:paraId="0A9C28DB" w14:textId="77777777" w:rsidR="00E257D4" w:rsidRDefault="00E257D4">
            <w:pPr>
              <w:spacing w:line="240" w:lineRule="auto"/>
              <w:jc w:val="left"/>
              <w:rPr>
                <w:sz w:val="24"/>
              </w:rPr>
            </w:pPr>
            <w:r>
              <w:rPr>
                <w:sz w:val="24"/>
                <w:rtl/>
              </w:rPr>
              <w:t xml:space="preserve">סעיף 6 </w:t>
            </w:r>
          </w:p>
        </w:tc>
      </w:tr>
      <w:tr w:rsidR="00E257D4" w14:paraId="48583717" w14:textId="77777777">
        <w:tblPrEx>
          <w:tblCellMar>
            <w:top w:w="0" w:type="dxa"/>
            <w:bottom w:w="0" w:type="dxa"/>
          </w:tblCellMar>
        </w:tblPrEx>
        <w:trPr>
          <w:jc w:val="right"/>
        </w:trPr>
        <w:tc>
          <w:tcPr>
            <w:tcW w:w="850" w:type="dxa"/>
          </w:tcPr>
          <w:p w14:paraId="30D256F4" w14:textId="77777777" w:rsidR="00E257D4" w:rsidRDefault="00E257D4">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241BE">
              <w:rPr>
                <w:noProof/>
                <w:sz w:val="24"/>
                <w:rtl/>
              </w:rPr>
              <w:t>4</w:t>
            </w:r>
            <w:r>
              <w:rPr>
                <w:sz w:val="24"/>
                <w:rtl/>
              </w:rPr>
              <w:fldChar w:fldCharType="end"/>
            </w:r>
          </w:p>
        </w:tc>
        <w:tc>
          <w:tcPr>
            <w:tcW w:w="567" w:type="dxa"/>
          </w:tcPr>
          <w:p w14:paraId="105EA004" w14:textId="77777777" w:rsidR="00E257D4" w:rsidRDefault="00E257D4">
            <w:pPr>
              <w:spacing w:line="240" w:lineRule="auto"/>
              <w:jc w:val="left"/>
              <w:rPr>
                <w:sz w:val="24"/>
              </w:rPr>
            </w:pPr>
            <w:hyperlink w:anchor="Seif6" w:tooltip="פרשנות תנאי  שענינו נתח שוק" w:history="1">
              <w:r>
                <w:rPr>
                  <w:rStyle w:val="Hyperlink"/>
                </w:rPr>
                <w:t>Go</w:t>
              </w:r>
            </w:hyperlink>
          </w:p>
        </w:tc>
        <w:tc>
          <w:tcPr>
            <w:tcW w:w="5669" w:type="dxa"/>
          </w:tcPr>
          <w:p w14:paraId="192D76F9" w14:textId="77777777" w:rsidR="00E257D4" w:rsidRDefault="00E257D4">
            <w:pPr>
              <w:spacing w:line="240" w:lineRule="auto"/>
              <w:jc w:val="left"/>
              <w:rPr>
                <w:sz w:val="24"/>
                <w:rtl/>
              </w:rPr>
            </w:pPr>
            <w:r>
              <w:rPr>
                <w:sz w:val="24"/>
                <w:rtl/>
              </w:rPr>
              <w:t>פרשנות תנאי  שענינו נתח שוק</w:t>
            </w:r>
          </w:p>
        </w:tc>
        <w:tc>
          <w:tcPr>
            <w:tcW w:w="1247" w:type="dxa"/>
          </w:tcPr>
          <w:p w14:paraId="0039E6CF" w14:textId="77777777" w:rsidR="00E257D4" w:rsidRDefault="00E257D4">
            <w:pPr>
              <w:spacing w:line="240" w:lineRule="auto"/>
              <w:jc w:val="left"/>
              <w:rPr>
                <w:sz w:val="24"/>
              </w:rPr>
            </w:pPr>
            <w:r>
              <w:rPr>
                <w:sz w:val="24"/>
                <w:rtl/>
              </w:rPr>
              <w:t xml:space="preserve">סעיף 7 </w:t>
            </w:r>
          </w:p>
        </w:tc>
      </w:tr>
      <w:tr w:rsidR="00E257D4" w14:paraId="35FEA373" w14:textId="77777777">
        <w:tblPrEx>
          <w:tblCellMar>
            <w:top w:w="0" w:type="dxa"/>
            <w:bottom w:w="0" w:type="dxa"/>
          </w:tblCellMar>
        </w:tblPrEx>
        <w:trPr>
          <w:jc w:val="right"/>
        </w:trPr>
        <w:tc>
          <w:tcPr>
            <w:tcW w:w="850" w:type="dxa"/>
          </w:tcPr>
          <w:p w14:paraId="7B46476B" w14:textId="77777777" w:rsidR="00E257D4" w:rsidRDefault="00E257D4">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241BE">
              <w:rPr>
                <w:noProof/>
                <w:sz w:val="24"/>
                <w:rtl/>
              </w:rPr>
              <w:t>4</w:t>
            </w:r>
            <w:r>
              <w:rPr>
                <w:sz w:val="24"/>
                <w:rtl/>
              </w:rPr>
              <w:fldChar w:fldCharType="end"/>
            </w:r>
          </w:p>
        </w:tc>
        <w:tc>
          <w:tcPr>
            <w:tcW w:w="567" w:type="dxa"/>
          </w:tcPr>
          <w:p w14:paraId="522EC8D5" w14:textId="77777777" w:rsidR="00E257D4" w:rsidRDefault="00E257D4">
            <w:pPr>
              <w:spacing w:line="240" w:lineRule="auto"/>
              <w:jc w:val="left"/>
              <w:rPr>
                <w:sz w:val="24"/>
              </w:rPr>
            </w:pPr>
            <w:hyperlink w:anchor="Seif7" w:tooltip="כתב כראיה" w:history="1">
              <w:r>
                <w:rPr>
                  <w:rStyle w:val="Hyperlink"/>
                </w:rPr>
                <w:t>Go</w:t>
              </w:r>
            </w:hyperlink>
          </w:p>
        </w:tc>
        <w:tc>
          <w:tcPr>
            <w:tcW w:w="5669" w:type="dxa"/>
          </w:tcPr>
          <w:p w14:paraId="67DB820C" w14:textId="77777777" w:rsidR="00E257D4" w:rsidRDefault="00E257D4">
            <w:pPr>
              <w:spacing w:line="240" w:lineRule="auto"/>
              <w:jc w:val="left"/>
              <w:rPr>
                <w:sz w:val="24"/>
                <w:rtl/>
              </w:rPr>
            </w:pPr>
            <w:r>
              <w:rPr>
                <w:sz w:val="24"/>
                <w:rtl/>
              </w:rPr>
              <w:t>כתב כראיה</w:t>
            </w:r>
          </w:p>
        </w:tc>
        <w:tc>
          <w:tcPr>
            <w:tcW w:w="1247" w:type="dxa"/>
          </w:tcPr>
          <w:p w14:paraId="6B18EB10" w14:textId="77777777" w:rsidR="00E257D4" w:rsidRDefault="00E257D4">
            <w:pPr>
              <w:spacing w:line="240" w:lineRule="auto"/>
              <w:jc w:val="left"/>
              <w:rPr>
                <w:sz w:val="24"/>
              </w:rPr>
            </w:pPr>
            <w:r>
              <w:rPr>
                <w:sz w:val="24"/>
                <w:rtl/>
              </w:rPr>
              <w:t xml:space="preserve">סעיף 8 </w:t>
            </w:r>
          </w:p>
        </w:tc>
      </w:tr>
    </w:tbl>
    <w:p w14:paraId="04D13624" w14:textId="77777777" w:rsidR="00E257D4" w:rsidRDefault="00E257D4">
      <w:pPr>
        <w:pStyle w:val="big-header"/>
        <w:ind w:left="0" w:right="1134"/>
        <w:rPr>
          <w:rFonts w:cs="FrankRuehl"/>
          <w:sz w:val="32"/>
          <w:rtl/>
        </w:rPr>
      </w:pPr>
    </w:p>
    <w:p w14:paraId="6916C1DE" w14:textId="77777777" w:rsidR="00E257D4" w:rsidRDefault="00E257D4" w:rsidP="00D35A44">
      <w:pPr>
        <w:pStyle w:val="big-header"/>
        <w:ind w:left="0" w:right="1134"/>
        <w:rPr>
          <w:rStyle w:val="default"/>
          <w:rFonts w:cs="FrankRuehl" w:hint="cs"/>
          <w:rtl/>
        </w:rPr>
      </w:pPr>
      <w:r>
        <w:rPr>
          <w:rFonts w:cs="FrankRuehl"/>
          <w:sz w:val="32"/>
          <w:rtl/>
        </w:rPr>
        <w:br w:type="page"/>
      </w:r>
      <w:r>
        <w:rPr>
          <w:rFonts w:cs="FrankRuehl"/>
          <w:sz w:val="32"/>
          <w:rtl/>
        </w:rPr>
        <w:lastRenderedPageBreak/>
        <w:t>כל</w:t>
      </w:r>
      <w:r>
        <w:rPr>
          <w:rFonts w:cs="FrankRuehl" w:hint="cs"/>
          <w:sz w:val="32"/>
          <w:rtl/>
        </w:rPr>
        <w:t>לי ההגבלים העסקיים (הוראות והגדרות כלליות), תשס"א-</w:t>
      </w:r>
      <w:r>
        <w:rPr>
          <w:rFonts w:cs="FrankRuehl"/>
          <w:sz w:val="32"/>
          <w:rtl/>
        </w:rPr>
        <w:t>2001</w:t>
      </w:r>
      <w:r w:rsidR="00B241BE">
        <w:rPr>
          <w:rStyle w:val="a6"/>
          <w:rFonts w:cs="FrankRuehl"/>
          <w:sz w:val="32"/>
          <w:rtl/>
        </w:rPr>
        <w:footnoteReference w:customMarkFollows="1" w:id="1"/>
        <w:t>*</w:t>
      </w:r>
    </w:p>
    <w:p w14:paraId="291843BB"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15א לחוק ההגבלים העסקיים, תשמ"ח</w:t>
      </w:r>
      <w:r w:rsidR="001678E8">
        <w:rPr>
          <w:rStyle w:val="default"/>
          <w:rFonts w:cs="FrankRuehl" w:hint="cs"/>
          <w:rtl/>
        </w:rPr>
        <w:t>-</w:t>
      </w:r>
      <w:r>
        <w:rPr>
          <w:rStyle w:val="default"/>
          <w:rFonts w:cs="FrankRuehl"/>
          <w:rtl/>
        </w:rPr>
        <w:t>1988 (</w:t>
      </w:r>
      <w:r>
        <w:rPr>
          <w:rStyle w:val="default"/>
          <w:rFonts w:cs="FrankRuehl" w:hint="cs"/>
          <w:rtl/>
        </w:rPr>
        <w:t xml:space="preserve">להלן </w:t>
      </w:r>
      <w:r w:rsidR="001678E8">
        <w:rPr>
          <w:rStyle w:val="default"/>
          <w:rFonts w:cs="FrankRuehl" w:hint="cs"/>
          <w:rtl/>
        </w:rPr>
        <w:t>-</w:t>
      </w:r>
      <w:r>
        <w:rPr>
          <w:rStyle w:val="default"/>
          <w:rFonts w:cs="FrankRuehl"/>
          <w:rtl/>
        </w:rPr>
        <w:t xml:space="preserve"> </w:t>
      </w:r>
      <w:r>
        <w:rPr>
          <w:rStyle w:val="default"/>
          <w:rFonts w:cs="FrankRuehl" w:hint="cs"/>
          <w:rtl/>
        </w:rPr>
        <w:t>החוק), ובאישור הועדה לפטורים ולמיזוגים, אני מתקין הוראות והגדרות כלליות אלה, אשר יחולו על כללי ההגבלים ה</w:t>
      </w:r>
      <w:r>
        <w:rPr>
          <w:rStyle w:val="default"/>
          <w:rFonts w:cs="FrankRuehl"/>
          <w:rtl/>
        </w:rPr>
        <w:t>עס</w:t>
      </w:r>
      <w:r>
        <w:rPr>
          <w:rStyle w:val="default"/>
          <w:rFonts w:cs="FrankRuehl" w:hint="cs"/>
          <w:rtl/>
        </w:rPr>
        <w:t xml:space="preserve">קיים הקובעים פטורי סוג (להלן </w:t>
      </w:r>
      <w:r w:rsidR="001678E8">
        <w:rPr>
          <w:rStyle w:val="default"/>
          <w:rFonts w:cs="FrankRuehl" w:hint="cs"/>
          <w:rtl/>
        </w:rPr>
        <w:t>-</w:t>
      </w:r>
      <w:r>
        <w:rPr>
          <w:rStyle w:val="default"/>
          <w:rFonts w:cs="FrankRuehl"/>
          <w:rtl/>
        </w:rPr>
        <w:t xml:space="preserve"> </w:t>
      </w:r>
      <w:r>
        <w:rPr>
          <w:rStyle w:val="default"/>
          <w:rFonts w:cs="FrankRuehl" w:hint="cs"/>
          <w:rtl/>
        </w:rPr>
        <w:t>כללי פטור סוג), אלא אם כן נקבע אחרת:</w:t>
      </w:r>
    </w:p>
    <w:p w14:paraId="22EB2DDC" w14:textId="77777777" w:rsidR="00E257D4" w:rsidRDefault="00E257D4">
      <w:pPr>
        <w:pStyle w:val="P00"/>
        <w:spacing w:before="72"/>
        <w:ind w:left="0" w:right="1134"/>
        <w:rPr>
          <w:rStyle w:val="default"/>
          <w:rFonts w:cs="FrankRuehl"/>
          <w:rtl/>
        </w:rPr>
      </w:pPr>
      <w:bookmarkStart w:id="0" w:name="Seif0"/>
      <w:bookmarkEnd w:id="0"/>
      <w:r>
        <w:rPr>
          <w:lang w:val="he-IL"/>
        </w:rPr>
        <w:pict w14:anchorId="06A621C8">
          <v:rect id="_x0000_s1026" style="position:absolute;left:0;text-align:left;margin-left:464.5pt;margin-top:8.05pt;width:75.05pt;height:10.15pt;z-index:251652608" o:allowincell="f" filled="f" stroked="f" strokecolor="lime" strokeweight=".25pt">
            <v:textbox inset="0,0,0,0">
              <w:txbxContent>
                <w:p w14:paraId="589300AC" w14:textId="77777777" w:rsidR="00E257D4" w:rsidRDefault="00E257D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בכ</w:t>
      </w:r>
      <w:r>
        <w:rPr>
          <w:rStyle w:val="default"/>
          <w:rFonts w:cs="FrankRuehl" w:hint="cs"/>
          <w:rtl/>
        </w:rPr>
        <w:t>ללי פטור סוג יחולו הגדרות אלה:</w:t>
      </w:r>
    </w:p>
    <w:p w14:paraId="334B0AFE" w14:textId="77777777" w:rsidR="00E257D4" w:rsidRDefault="00E257D4" w:rsidP="001678E8">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דם קשור" </w:t>
      </w:r>
      <w:r w:rsidR="001678E8">
        <w:rPr>
          <w:rStyle w:val="default"/>
          <w:rFonts w:cs="FrankRuehl" w:hint="cs"/>
          <w:rtl/>
        </w:rPr>
        <w:t>-</w:t>
      </w:r>
      <w:r>
        <w:rPr>
          <w:rStyle w:val="default"/>
          <w:rFonts w:cs="FrankRuehl"/>
          <w:rtl/>
        </w:rPr>
        <w:t xml:space="preserve"> </w:t>
      </w:r>
      <w:r>
        <w:rPr>
          <w:rStyle w:val="default"/>
          <w:rFonts w:cs="FrankRuehl" w:hint="cs"/>
          <w:rtl/>
        </w:rPr>
        <w:t xml:space="preserve">אדם השולט בצד להסכם, תאגיד הנשלט על ידי צד להסכם וכל תאגיד הנשלט בידי </w:t>
      </w:r>
      <w:r>
        <w:rPr>
          <w:rStyle w:val="default"/>
          <w:rFonts w:cs="FrankRuehl"/>
          <w:rtl/>
        </w:rPr>
        <w:t>מ</w:t>
      </w:r>
      <w:r>
        <w:rPr>
          <w:rStyle w:val="default"/>
          <w:rFonts w:cs="FrankRuehl" w:hint="cs"/>
          <w:rtl/>
        </w:rPr>
        <w:t>י מהם;</w:t>
      </w:r>
    </w:p>
    <w:p w14:paraId="60F18358"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מישרין או בעקיפין" </w:t>
      </w:r>
      <w:r w:rsidR="001678E8">
        <w:rPr>
          <w:rStyle w:val="default"/>
          <w:rFonts w:cs="FrankRuehl" w:hint="cs"/>
          <w:rtl/>
        </w:rPr>
        <w:t>-</w:t>
      </w:r>
      <w:r>
        <w:rPr>
          <w:rStyle w:val="default"/>
          <w:rFonts w:cs="FrankRuehl"/>
          <w:rtl/>
        </w:rPr>
        <w:t xml:space="preserve"> </w:t>
      </w:r>
      <w:r>
        <w:rPr>
          <w:rStyle w:val="default"/>
          <w:rFonts w:cs="FrankRuehl" w:hint="cs"/>
          <w:rtl/>
        </w:rPr>
        <w:t>לרבות בכל אחד מאלה:</w:t>
      </w:r>
    </w:p>
    <w:p w14:paraId="2C48B557" w14:textId="77777777" w:rsidR="00E257D4" w:rsidRDefault="00E257D4">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אמצעות שלוח או נאמן;</w:t>
      </w:r>
    </w:p>
    <w:p w14:paraId="7C61936F" w14:textId="77777777" w:rsidR="00E257D4" w:rsidRDefault="00E257D4">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חד עם אחר בשיתוף פעולה לפי הסכם;</w:t>
      </w:r>
    </w:p>
    <w:p w14:paraId="4661F871" w14:textId="77777777" w:rsidR="00E257D4" w:rsidRDefault="00E257D4">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אמצעות זכויות המוקנות לפי הסכם;</w:t>
      </w:r>
    </w:p>
    <w:p w14:paraId="3784EF47" w14:textId="77777777" w:rsidR="00E257D4" w:rsidRDefault="00E257D4">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אמצעות החזקה או רכישה בידי קרוב, חברת נאמנות או חברת רישומים;</w:t>
      </w:r>
    </w:p>
    <w:p w14:paraId="01DC43AC"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חזק</w:t>
      </w:r>
      <w:r>
        <w:rPr>
          <w:rStyle w:val="default"/>
          <w:rFonts w:cs="FrankRuehl"/>
          <w:rtl/>
        </w:rPr>
        <w:t xml:space="preserve">ה" </w:t>
      </w:r>
      <w:r w:rsidR="001678E8">
        <w:rPr>
          <w:rStyle w:val="default"/>
          <w:rFonts w:cs="FrankRuehl" w:hint="cs"/>
          <w:rtl/>
        </w:rPr>
        <w:t>-</w:t>
      </w:r>
      <w:r>
        <w:rPr>
          <w:rStyle w:val="default"/>
          <w:rFonts w:cs="FrankRuehl"/>
          <w:rtl/>
        </w:rPr>
        <w:t xml:space="preserve"> </w:t>
      </w:r>
      <w:r>
        <w:rPr>
          <w:rStyle w:val="default"/>
          <w:rFonts w:cs="FrankRuehl" w:hint="cs"/>
          <w:rtl/>
        </w:rPr>
        <w:t>במישרין או בעקיפין; בלי לגרוע מכלליות האמור, יראו אדם כמי שמחזיק בעצמו, במישרין, בכל החזקותיו של אדם קשור לו;</w:t>
      </w:r>
    </w:p>
    <w:p w14:paraId="7A1CDEE5"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ממונה" </w:t>
      </w:r>
      <w:r w:rsidR="001678E8">
        <w:rPr>
          <w:rStyle w:val="default"/>
          <w:rFonts w:cs="FrankRuehl" w:hint="cs"/>
          <w:rtl/>
        </w:rPr>
        <w:t>-</w:t>
      </w:r>
      <w:r>
        <w:rPr>
          <w:rStyle w:val="default"/>
          <w:rFonts w:cs="FrankRuehl"/>
          <w:rtl/>
        </w:rPr>
        <w:t xml:space="preserve"> </w:t>
      </w:r>
      <w:r>
        <w:rPr>
          <w:rStyle w:val="default"/>
          <w:rFonts w:cs="FrankRuehl" w:hint="cs"/>
          <w:rtl/>
        </w:rPr>
        <w:t>הממונה על הגבלים עסקיים;</w:t>
      </w:r>
    </w:p>
    <w:p w14:paraId="409FE6FD"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סדר" </w:t>
      </w:r>
      <w:r w:rsidR="001678E8">
        <w:rPr>
          <w:rStyle w:val="default"/>
          <w:rFonts w:cs="FrankRuehl" w:hint="cs"/>
          <w:rtl/>
        </w:rPr>
        <w:t>-</w:t>
      </w:r>
      <w:r>
        <w:rPr>
          <w:rStyle w:val="default"/>
          <w:rFonts w:cs="FrankRuehl"/>
          <w:rtl/>
        </w:rPr>
        <w:t xml:space="preserve"> </w:t>
      </w:r>
      <w:r>
        <w:rPr>
          <w:rStyle w:val="default"/>
          <w:rFonts w:cs="FrankRuehl" w:hint="cs"/>
          <w:rtl/>
        </w:rPr>
        <w:t>בין במפורש ובין מכללא, בין בכתב ובין בעל פה או בהתנהגות, בין אם הוא מחייב על פי דין ובין אם לא</w:t>
      </w:r>
      <w:r>
        <w:rPr>
          <w:rStyle w:val="default"/>
          <w:rFonts w:cs="FrankRuehl"/>
          <w:rtl/>
        </w:rPr>
        <w:t>ו;</w:t>
      </w:r>
    </w:p>
    <w:p w14:paraId="516D42C3"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סכם" </w:t>
      </w:r>
      <w:r w:rsidR="001678E8">
        <w:rPr>
          <w:rStyle w:val="default"/>
          <w:rFonts w:cs="FrankRuehl" w:hint="cs"/>
          <w:rtl/>
        </w:rPr>
        <w:t>-</w:t>
      </w:r>
      <w:r>
        <w:rPr>
          <w:rStyle w:val="default"/>
          <w:rFonts w:cs="FrankRuehl"/>
          <w:rtl/>
        </w:rPr>
        <w:t xml:space="preserve"> </w:t>
      </w:r>
      <w:r>
        <w:rPr>
          <w:rStyle w:val="default"/>
          <w:rFonts w:cs="FrankRuehl" w:hint="cs"/>
          <w:rtl/>
        </w:rPr>
        <w:t>לרבות הסדר;</w:t>
      </w:r>
    </w:p>
    <w:p w14:paraId="67A71E49"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כות בתאגיד" </w:t>
      </w:r>
      <w:r w:rsidR="001678E8">
        <w:rPr>
          <w:rStyle w:val="default"/>
          <w:rFonts w:cs="FrankRuehl" w:hint="cs"/>
          <w:rtl/>
        </w:rPr>
        <w:t>-</w:t>
      </w:r>
      <w:r>
        <w:rPr>
          <w:rStyle w:val="default"/>
          <w:rFonts w:cs="FrankRuehl"/>
          <w:rtl/>
        </w:rPr>
        <w:t xml:space="preserve"> </w:t>
      </w:r>
      <w:r>
        <w:rPr>
          <w:rStyle w:val="default"/>
          <w:rFonts w:cs="FrankRuehl" w:hint="cs"/>
          <w:rtl/>
        </w:rPr>
        <w:t>כל אחת מאלה:</w:t>
      </w:r>
    </w:p>
    <w:p w14:paraId="1141C27F" w14:textId="77777777" w:rsidR="00E257D4" w:rsidRDefault="00E257D4">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עלות במניה, החזקה בה או זכות להורות על מכירתה;</w:t>
      </w:r>
    </w:p>
    <w:p w14:paraId="22CF2BCD" w14:textId="77777777" w:rsidR="00E257D4" w:rsidRDefault="00E257D4">
      <w:pPr>
        <w:pStyle w:val="P22"/>
        <w:spacing w:before="72"/>
        <w:ind w:left="1021"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כות להצביע מכוח מניה באסיפה כללית של חברה או בגוף מקביל לאסיפה כללית של תאגיד א</w:t>
      </w:r>
      <w:r>
        <w:rPr>
          <w:rStyle w:val="default"/>
          <w:rFonts w:cs="FrankRuehl"/>
          <w:rtl/>
        </w:rPr>
        <w:t>ח</w:t>
      </w:r>
      <w:r>
        <w:rPr>
          <w:rStyle w:val="default"/>
          <w:rFonts w:cs="FrankRuehl" w:hint="cs"/>
          <w:rtl/>
        </w:rPr>
        <w:t>ר, או זכות להורות כיצד להצביע מכוח המניה;</w:t>
      </w:r>
    </w:p>
    <w:p w14:paraId="00D00AA7" w14:textId="77777777" w:rsidR="00E257D4" w:rsidRDefault="00E257D4" w:rsidP="001678E8">
      <w:pPr>
        <w:pStyle w:val="P22"/>
        <w:spacing w:before="72"/>
        <w:ind w:left="1021" w:right="1134"/>
        <w:rPr>
          <w:rStyle w:val="default"/>
          <w:rFonts w:cs="FrankRuehl"/>
          <w:rtl/>
        </w:rPr>
      </w:pPr>
      <w:r>
        <w:rPr>
          <w:rStyle w:val="default"/>
          <w:rFonts w:cs="FrankRuehl" w:hint="cs"/>
          <w:rtl/>
        </w:rPr>
        <w:t>(3)</w:t>
      </w:r>
      <w:r>
        <w:rPr>
          <w:rStyle w:val="default"/>
          <w:rFonts w:cs="FrankRuehl"/>
          <w:rtl/>
        </w:rPr>
        <w:tab/>
        <w:t>ז</w:t>
      </w:r>
      <w:r>
        <w:rPr>
          <w:rStyle w:val="default"/>
          <w:rFonts w:cs="FrankRuehl" w:hint="cs"/>
          <w:rtl/>
        </w:rPr>
        <w:t>כות למנות דירקטור</w:t>
      </w:r>
      <w:r>
        <w:rPr>
          <w:rStyle w:val="default"/>
          <w:rFonts w:cs="FrankRuehl"/>
          <w:rtl/>
        </w:rPr>
        <w:t xml:space="preserve"> א</w:t>
      </w:r>
      <w:r>
        <w:rPr>
          <w:rStyle w:val="default"/>
          <w:rFonts w:cs="FrankRuehl" w:hint="cs"/>
          <w:rtl/>
        </w:rPr>
        <w:t xml:space="preserve">ו מנהל כללי, ובתאגיד שאינו חברה </w:t>
      </w:r>
      <w:r w:rsidR="001678E8">
        <w:rPr>
          <w:rStyle w:val="default"/>
          <w:rFonts w:cs="FrankRuehl" w:hint="cs"/>
          <w:rtl/>
        </w:rPr>
        <w:t>-</w:t>
      </w:r>
      <w:r>
        <w:rPr>
          <w:rStyle w:val="default"/>
          <w:rFonts w:cs="FrankRuehl"/>
          <w:rtl/>
        </w:rPr>
        <w:t xml:space="preserve"> </w:t>
      </w:r>
      <w:r>
        <w:rPr>
          <w:rStyle w:val="default"/>
          <w:rFonts w:cs="FrankRuehl" w:hint="cs"/>
          <w:rtl/>
        </w:rPr>
        <w:t>בעלי תפקידים דומים; לענין זה יראו את מי שמינה דירקטור או מנהל כללי בתאגיד כבעל הזכות למנותו;</w:t>
      </w:r>
    </w:p>
    <w:p w14:paraId="48355E77" w14:textId="77777777" w:rsidR="00E257D4" w:rsidRDefault="00E257D4">
      <w:pPr>
        <w:pStyle w:val="P22"/>
        <w:spacing w:before="72"/>
        <w:ind w:left="1021" w:right="1134"/>
        <w:rPr>
          <w:rStyle w:val="default"/>
          <w:rFonts w:cs="FrankRuehl"/>
          <w:rtl/>
        </w:rPr>
      </w:pPr>
      <w:r>
        <w:rPr>
          <w:rStyle w:val="default"/>
          <w:rFonts w:cs="FrankRuehl" w:hint="cs"/>
          <w:rtl/>
        </w:rPr>
        <w:t>(4)</w:t>
      </w:r>
      <w:r>
        <w:rPr>
          <w:rStyle w:val="default"/>
          <w:rFonts w:cs="FrankRuehl"/>
          <w:rtl/>
        </w:rPr>
        <w:tab/>
        <w:t>ז</w:t>
      </w:r>
      <w:r>
        <w:rPr>
          <w:rStyle w:val="default"/>
          <w:rFonts w:cs="FrankRuehl" w:hint="cs"/>
          <w:rtl/>
        </w:rPr>
        <w:t>כות להשתתף ברווחי התאגיד;</w:t>
      </w:r>
    </w:p>
    <w:p w14:paraId="4275E51B" w14:textId="77777777" w:rsidR="00E257D4" w:rsidRDefault="00E257D4">
      <w:pPr>
        <w:pStyle w:val="P22"/>
        <w:spacing w:before="72"/>
        <w:ind w:left="1021" w:right="1134"/>
        <w:rPr>
          <w:rStyle w:val="default"/>
          <w:rFonts w:cs="FrankRuehl"/>
          <w:rtl/>
        </w:rPr>
      </w:pPr>
      <w:r>
        <w:rPr>
          <w:rStyle w:val="default"/>
          <w:rFonts w:cs="FrankRuehl" w:hint="cs"/>
          <w:rtl/>
        </w:rPr>
        <w:t>(5)</w:t>
      </w:r>
      <w:r>
        <w:rPr>
          <w:rStyle w:val="default"/>
          <w:rFonts w:cs="FrankRuehl"/>
          <w:rtl/>
        </w:rPr>
        <w:tab/>
        <w:t>ז</w:t>
      </w:r>
      <w:r>
        <w:rPr>
          <w:rStyle w:val="default"/>
          <w:rFonts w:cs="FrankRuehl" w:hint="cs"/>
          <w:rtl/>
        </w:rPr>
        <w:t>כות לחלוק ביתרת נכסי התאגי</w:t>
      </w:r>
      <w:r>
        <w:rPr>
          <w:rStyle w:val="default"/>
          <w:rFonts w:cs="FrankRuehl"/>
          <w:rtl/>
        </w:rPr>
        <w:t>ד</w:t>
      </w:r>
      <w:r>
        <w:rPr>
          <w:rStyle w:val="default"/>
          <w:rFonts w:cs="FrankRuehl" w:hint="cs"/>
          <w:rtl/>
        </w:rPr>
        <w:t xml:space="preserve"> לאחר סילוק חובותיו בעת פירוקו;</w:t>
      </w:r>
    </w:p>
    <w:p w14:paraId="3FE31500" w14:textId="77777777" w:rsidR="00E257D4" w:rsidRDefault="00E257D4">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ל זכות שתוכנה כתוכן זכות כא</w:t>
      </w:r>
      <w:r>
        <w:rPr>
          <w:rStyle w:val="default"/>
          <w:rFonts w:cs="FrankRuehl"/>
          <w:rtl/>
        </w:rPr>
        <w:t>מו</w:t>
      </w:r>
      <w:r>
        <w:rPr>
          <w:rStyle w:val="default"/>
          <w:rFonts w:cs="FrankRuehl" w:hint="cs"/>
          <w:rtl/>
        </w:rPr>
        <w:t>ר בפסקאות (1) עד (5), אף אם תוארה שונה;</w:t>
      </w:r>
    </w:p>
    <w:p w14:paraId="05A972D3"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ובין" </w:t>
      </w:r>
      <w:r w:rsidR="001678E8">
        <w:rPr>
          <w:rStyle w:val="default"/>
          <w:rFonts w:cs="FrankRuehl" w:hint="cs"/>
          <w:rtl/>
        </w:rPr>
        <w:t>-</w:t>
      </w:r>
      <w:r>
        <w:rPr>
          <w:rStyle w:val="default"/>
          <w:rFonts w:cs="FrankRuehl"/>
          <w:rtl/>
        </w:rPr>
        <w:t xml:space="preserve"> </w:t>
      </w:r>
      <w:r>
        <w:rPr>
          <w:rStyle w:val="default"/>
          <w:rFonts w:cs="FrankRuehl" w:hint="cs"/>
          <w:rtl/>
        </w:rPr>
        <w:t>לרבות שירותים ולרבות זכויות;</w:t>
      </w:r>
    </w:p>
    <w:p w14:paraId="50A6C99D"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ובין תחליפיים" </w:t>
      </w:r>
      <w:r w:rsidR="001678E8">
        <w:rPr>
          <w:rStyle w:val="default"/>
          <w:rFonts w:cs="FrankRuehl" w:hint="cs"/>
          <w:rtl/>
        </w:rPr>
        <w:t>-</w:t>
      </w:r>
      <w:r>
        <w:rPr>
          <w:rStyle w:val="default"/>
          <w:rFonts w:cs="FrankRuehl"/>
          <w:rtl/>
        </w:rPr>
        <w:t xml:space="preserve"> </w:t>
      </w:r>
      <w:r>
        <w:rPr>
          <w:rStyle w:val="default"/>
          <w:rFonts w:cs="FrankRuehl" w:hint="cs"/>
          <w:rtl/>
        </w:rPr>
        <w:t>הקבוצה המצומצמת של טובין שהם תחליפים ישירים ומשמעותיים בעיני הצרכן, לרבות בהיבט הגאוגרפי;</w:t>
      </w:r>
    </w:p>
    <w:p w14:paraId="29917862"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ונופולין" </w:t>
      </w:r>
      <w:r w:rsidR="001678E8">
        <w:rPr>
          <w:rStyle w:val="default"/>
          <w:rFonts w:cs="FrankRuehl" w:hint="cs"/>
          <w:rtl/>
        </w:rPr>
        <w:t>-</w:t>
      </w:r>
      <w:r>
        <w:rPr>
          <w:rStyle w:val="default"/>
          <w:rFonts w:cs="FrankRuehl"/>
          <w:rtl/>
        </w:rPr>
        <w:t xml:space="preserve"> </w:t>
      </w:r>
      <w:r>
        <w:rPr>
          <w:rStyle w:val="default"/>
          <w:rFonts w:cs="FrankRuehl" w:hint="cs"/>
          <w:rtl/>
        </w:rPr>
        <w:t>בין שקיומו הוכרז לפי החוק ובין שלא הוכרז;</w:t>
      </w:r>
    </w:p>
    <w:p w14:paraId="4CC4141A"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תחרה</w:t>
      </w:r>
      <w:r>
        <w:rPr>
          <w:rStyle w:val="default"/>
          <w:rFonts w:cs="FrankRuehl"/>
          <w:rtl/>
        </w:rPr>
        <w:t xml:space="preserve">" </w:t>
      </w:r>
      <w:r w:rsidR="001678E8">
        <w:rPr>
          <w:rStyle w:val="default"/>
          <w:rFonts w:cs="FrankRuehl" w:hint="cs"/>
          <w:rtl/>
        </w:rPr>
        <w:t>-</w:t>
      </w:r>
      <w:r>
        <w:rPr>
          <w:rStyle w:val="default"/>
          <w:rFonts w:cs="FrankRuehl"/>
          <w:rtl/>
        </w:rPr>
        <w:t xml:space="preserve"> </w:t>
      </w:r>
      <w:r>
        <w:rPr>
          <w:rStyle w:val="default"/>
          <w:rFonts w:cs="FrankRuehl" w:hint="cs"/>
          <w:rtl/>
        </w:rPr>
        <w:t>בפועל או בכוח, במישרין או בעקיפין; בלי לגרוע מכלליות האמור, יראו כמתחרה מי שייצר, שיווק או מכר טובין תחליפיים במועד כלשהו במהלך שתי השנים שקדמו להסכם, וכן מתחרה בכוח;</w:t>
      </w:r>
    </w:p>
    <w:p w14:paraId="194414BF"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תחרה בכוח" </w:t>
      </w:r>
      <w:r w:rsidR="001678E8">
        <w:rPr>
          <w:rStyle w:val="default"/>
          <w:rFonts w:cs="FrankRuehl" w:hint="cs"/>
          <w:rtl/>
        </w:rPr>
        <w:t>-</w:t>
      </w:r>
      <w:r>
        <w:rPr>
          <w:rStyle w:val="default"/>
          <w:rFonts w:cs="FrankRuehl"/>
          <w:rtl/>
        </w:rPr>
        <w:t xml:space="preserve"> </w:t>
      </w:r>
      <w:r>
        <w:rPr>
          <w:rStyle w:val="default"/>
          <w:rFonts w:cs="FrankRuehl" w:hint="cs"/>
          <w:rtl/>
        </w:rPr>
        <w:t>אדם שמתקיים בו אחד או יותר מאלה:</w:t>
      </w:r>
    </w:p>
    <w:p w14:paraId="63DC9B0E" w14:textId="77777777" w:rsidR="00E257D4" w:rsidRDefault="00E257D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מס</w:t>
      </w:r>
      <w:r>
        <w:rPr>
          <w:rStyle w:val="default"/>
          <w:rFonts w:cs="FrankRuehl"/>
          <w:rtl/>
        </w:rPr>
        <w:t>וג</w:t>
      </w:r>
      <w:r>
        <w:rPr>
          <w:rStyle w:val="default"/>
          <w:rFonts w:cs="FrankRuehl" w:hint="cs"/>
          <w:rtl/>
        </w:rPr>
        <w:t>ל לייצר טובין תחליפיים או לספקם, באופן מיידי;</w:t>
      </w:r>
    </w:p>
    <w:p w14:paraId="213566B8" w14:textId="77777777" w:rsidR="00E257D4" w:rsidRDefault="00E257D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מסוגל להתחיל לייצר טובין תחליפיים או להתחיל לספקם, בעלות סבירה ובאופן סדיר, בתוך שנה;</w:t>
      </w:r>
    </w:p>
    <w:p w14:paraId="18B25346" w14:textId="77777777" w:rsidR="00E257D4" w:rsidRDefault="00E257D4">
      <w:pPr>
        <w:pStyle w:val="P22"/>
        <w:spacing w:before="72"/>
        <w:ind w:left="1021" w:right="1134"/>
        <w:rPr>
          <w:rStyle w:val="default"/>
          <w:rFonts w:cs="FrankRuehl"/>
          <w:rtl/>
        </w:rPr>
      </w:pPr>
      <w:r>
        <w:rPr>
          <w:rStyle w:val="default"/>
          <w:rFonts w:cs="FrankRuehl" w:hint="cs"/>
          <w:rtl/>
        </w:rPr>
        <w:lastRenderedPageBreak/>
        <w:t>(3)</w:t>
      </w:r>
      <w:r>
        <w:rPr>
          <w:rStyle w:val="default"/>
          <w:rFonts w:cs="FrankRuehl"/>
          <w:rtl/>
        </w:rPr>
        <w:tab/>
        <w:t>ה</w:t>
      </w:r>
      <w:r>
        <w:rPr>
          <w:rStyle w:val="default"/>
          <w:rFonts w:cs="FrankRuehl" w:hint="cs"/>
          <w:rtl/>
        </w:rPr>
        <w:t xml:space="preserve">וא גילה דעתו, בביצוע הכנות לייצור או הספקה של טובין תחליפיים או בדרך אחרת, כי בכוונתו להתחיל בייצור או הספקה </w:t>
      </w:r>
      <w:r>
        <w:rPr>
          <w:rStyle w:val="default"/>
          <w:rFonts w:cs="FrankRuehl"/>
          <w:rtl/>
        </w:rPr>
        <w:t>כא</w:t>
      </w:r>
      <w:r>
        <w:rPr>
          <w:rStyle w:val="default"/>
          <w:rFonts w:cs="FrankRuehl" w:hint="cs"/>
          <w:rtl/>
        </w:rPr>
        <w:t>מור במועד קרוב;</w:t>
      </w:r>
    </w:p>
    <w:p w14:paraId="0C316146" w14:textId="77777777" w:rsidR="00E257D4" w:rsidRDefault="00E257D4">
      <w:pPr>
        <w:pStyle w:val="P00"/>
        <w:spacing w:before="72"/>
        <w:ind w:left="0" w:right="1134"/>
        <w:rPr>
          <w:rFonts w:cs="FrankRuehl" w:hint="cs"/>
          <w:sz w:val="26"/>
          <w:rtl/>
        </w:rPr>
      </w:pPr>
      <w:r>
        <w:rPr>
          <w:rFonts w:cs="FrankRuehl"/>
          <w:rtl/>
          <w:lang w:val="he-IL"/>
        </w:rPr>
        <w:pict w14:anchorId="2E6AB4F9">
          <v:shapetype id="_x0000_t202" coordsize="21600,21600" o:spt="202" path="m,l,21600r21600,l21600,xe">
            <v:stroke joinstyle="miter"/>
            <v:path gradientshapeok="t" o:connecttype="rect"/>
          </v:shapetype>
          <v:shape id="_x0000_s1034" type="#_x0000_t202" style="position:absolute;left:0;text-align:left;margin-left:470.25pt;margin-top:7.1pt;width:1in;height:11.05pt;z-index:251660800" filled="f" stroked="f">
            <v:textbox inset="1mm,0,1mm,0">
              <w:txbxContent>
                <w:p w14:paraId="3C5A4CDA" w14:textId="77777777" w:rsidR="00E257D4" w:rsidRDefault="00E257D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ab/>
        <w:t xml:space="preserve">"מתחרה בפועל" </w:t>
      </w:r>
      <w:r>
        <w:rPr>
          <w:rFonts w:cs="FrankRuehl"/>
          <w:sz w:val="26"/>
          <w:rtl/>
        </w:rPr>
        <w:t>–</w:t>
      </w:r>
      <w:r>
        <w:rPr>
          <w:rFonts w:cs="FrankRuehl" w:hint="cs"/>
          <w:sz w:val="26"/>
          <w:rtl/>
        </w:rPr>
        <w:t xml:space="preserve"> מתחרה שאינו מתחרה בכוח;</w:t>
      </w:r>
    </w:p>
    <w:p w14:paraId="5D6D80C9" w14:textId="77777777" w:rsidR="007C0F17" w:rsidRPr="001678E8" w:rsidRDefault="007C0F17" w:rsidP="00EE5453">
      <w:pPr>
        <w:pStyle w:val="P00"/>
        <w:tabs>
          <w:tab w:val="clear" w:pos="6259"/>
        </w:tabs>
        <w:spacing w:before="0"/>
        <w:ind w:left="0" w:right="1134"/>
        <w:rPr>
          <w:rFonts w:cs="FrankRuehl" w:hint="cs"/>
          <w:vanish/>
          <w:szCs w:val="20"/>
          <w:shd w:val="clear" w:color="auto" w:fill="FFFF99"/>
          <w:rtl/>
        </w:rPr>
      </w:pPr>
      <w:bookmarkStart w:id="1" w:name="Rov9"/>
      <w:r w:rsidRPr="001678E8">
        <w:rPr>
          <w:rFonts w:cs="FrankRuehl" w:hint="cs"/>
          <w:vanish/>
          <w:color w:val="FF0000"/>
          <w:szCs w:val="20"/>
          <w:shd w:val="clear" w:color="auto" w:fill="FFFF99"/>
          <w:rtl/>
        </w:rPr>
        <w:t xml:space="preserve">מיום </w:t>
      </w:r>
      <w:r w:rsidR="00EE5453" w:rsidRPr="001678E8">
        <w:rPr>
          <w:rFonts w:cs="FrankRuehl" w:hint="cs"/>
          <w:vanish/>
          <w:color w:val="FF0000"/>
          <w:szCs w:val="20"/>
          <w:shd w:val="clear" w:color="auto" w:fill="FFFF99"/>
          <w:rtl/>
        </w:rPr>
        <w:t>1</w:t>
      </w:r>
      <w:r w:rsidRPr="001678E8">
        <w:rPr>
          <w:rFonts w:cs="FrankRuehl" w:hint="cs"/>
          <w:vanish/>
          <w:color w:val="FF0000"/>
          <w:szCs w:val="20"/>
          <w:shd w:val="clear" w:color="auto" w:fill="FFFF99"/>
          <w:rtl/>
        </w:rPr>
        <w:t>.</w:t>
      </w:r>
      <w:r w:rsidR="00EE5453" w:rsidRPr="001678E8">
        <w:rPr>
          <w:rFonts w:cs="FrankRuehl" w:hint="cs"/>
          <w:vanish/>
          <w:color w:val="FF0000"/>
          <w:szCs w:val="20"/>
          <w:shd w:val="clear" w:color="auto" w:fill="FFFF99"/>
          <w:rtl/>
        </w:rPr>
        <w:t>7</w:t>
      </w:r>
      <w:r w:rsidRPr="001678E8">
        <w:rPr>
          <w:rFonts w:cs="FrankRuehl" w:hint="cs"/>
          <w:vanish/>
          <w:color w:val="FF0000"/>
          <w:szCs w:val="20"/>
          <w:shd w:val="clear" w:color="auto" w:fill="FFFF99"/>
          <w:rtl/>
        </w:rPr>
        <w:t>.</w:t>
      </w:r>
      <w:r w:rsidR="00EE5453" w:rsidRPr="001678E8">
        <w:rPr>
          <w:rFonts w:cs="FrankRuehl" w:hint="cs"/>
          <w:vanish/>
          <w:color w:val="FF0000"/>
          <w:szCs w:val="20"/>
          <w:shd w:val="clear" w:color="auto" w:fill="FFFF99"/>
          <w:rtl/>
        </w:rPr>
        <w:t>2004</w:t>
      </w:r>
    </w:p>
    <w:p w14:paraId="4CF28E5D" w14:textId="77777777" w:rsidR="007C0F17" w:rsidRPr="001678E8" w:rsidRDefault="007C0F17" w:rsidP="00EE5453">
      <w:pPr>
        <w:pStyle w:val="P00"/>
        <w:spacing w:before="0"/>
        <w:ind w:left="0" w:right="1134"/>
        <w:rPr>
          <w:rFonts w:cs="FrankRuehl" w:hint="cs"/>
          <w:b/>
          <w:bCs/>
          <w:vanish/>
          <w:szCs w:val="20"/>
          <w:shd w:val="clear" w:color="auto" w:fill="FFFF99"/>
          <w:rtl/>
        </w:rPr>
      </w:pPr>
      <w:r w:rsidRPr="001678E8">
        <w:rPr>
          <w:rFonts w:cs="FrankRuehl" w:hint="cs"/>
          <w:b/>
          <w:bCs/>
          <w:vanish/>
          <w:szCs w:val="20"/>
          <w:shd w:val="clear" w:color="auto" w:fill="FFFF99"/>
          <w:rtl/>
        </w:rPr>
        <w:t>תק' תש</w:t>
      </w:r>
      <w:r w:rsidR="00EE5453" w:rsidRPr="001678E8">
        <w:rPr>
          <w:rFonts w:cs="FrankRuehl" w:hint="cs"/>
          <w:b/>
          <w:bCs/>
          <w:vanish/>
          <w:szCs w:val="20"/>
          <w:shd w:val="clear" w:color="auto" w:fill="FFFF99"/>
          <w:rtl/>
        </w:rPr>
        <w:t>ס"ד</w:t>
      </w:r>
      <w:r w:rsidRPr="001678E8">
        <w:rPr>
          <w:rFonts w:cs="FrankRuehl" w:hint="cs"/>
          <w:b/>
          <w:bCs/>
          <w:vanish/>
          <w:szCs w:val="20"/>
          <w:shd w:val="clear" w:color="auto" w:fill="FFFF99"/>
          <w:rtl/>
        </w:rPr>
        <w:t>-</w:t>
      </w:r>
      <w:r w:rsidR="00EE5453" w:rsidRPr="001678E8">
        <w:rPr>
          <w:rFonts w:cs="FrankRuehl" w:hint="cs"/>
          <w:b/>
          <w:bCs/>
          <w:vanish/>
          <w:szCs w:val="20"/>
          <w:shd w:val="clear" w:color="auto" w:fill="FFFF99"/>
          <w:rtl/>
        </w:rPr>
        <w:t>2004</w:t>
      </w:r>
    </w:p>
    <w:p w14:paraId="104C5C7B" w14:textId="77777777" w:rsidR="007C0F17" w:rsidRPr="001678E8" w:rsidRDefault="00EE5453" w:rsidP="00EE5453">
      <w:pPr>
        <w:pStyle w:val="P00"/>
        <w:spacing w:before="0"/>
        <w:ind w:left="0" w:right="1134"/>
        <w:rPr>
          <w:rFonts w:cs="FrankRuehl" w:hint="cs"/>
          <w:vanish/>
          <w:szCs w:val="20"/>
          <w:shd w:val="clear" w:color="auto" w:fill="FFFF99"/>
          <w:rtl/>
        </w:rPr>
      </w:pPr>
      <w:hyperlink r:id="rId6" w:history="1">
        <w:r w:rsidRPr="001678E8">
          <w:rPr>
            <w:rStyle w:val="Hyperlink"/>
            <w:rFonts w:cs="FrankRuehl" w:hint="cs"/>
            <w:vanish/>
            <w:szCs w:val="20"/>
            <w:shd w:val="clear" w:color="auto" w:fill="FFFF99"/>
            <w:rtl/>
          </w:rPr>
          <w:t>ק"ת תשס"ד מס' 6327</w:t>
        </w:r>
      </w:hyperlink>
      <w:r w:rsidR="007C0F17" w:rsidRPr="001678E8">
        <w:rPr>
          <w:rFonts w:cs="FrankRuehl" w:hint="cs"/>
          <w:vanish/>
          <w:szCs w:val="20"/>
          <w:shd w:val="clear" w:color="auto" w:fill="FFFF99"/>
          <w:rtl/>
        </w:rPr>
        <w:t xml:space="preserve"> מיום </w:t>
      </w:r>
      <w:r w:rsidRPr="001678E8">
        <w:rPr>
          <w:rFonts w:cs="FrankRuehl" w:hint="cs"/>
          <w:vanish/>
          <w:szCs w:val="20"/>
          <w:shd w:val="clear" w:color="auto" w:fill="FFFF99"/>
          <w:rtl/>
        </w:rPr>
        <w:t>1</w:t>
      </w:r>
      <w:r w:rsidR="007C0F17" w:rsidRPr="001678E8">
        <w:rPr>
          <w:rFonts w:cs="FrankRuehl" w:hint="cs"/>
          <w:vanish/>
          <w:szCs w:val="20"/>
          <w:shd w:val="clear" w:color="auto" w:fill="FFFF99"/>
          <w:rtl/>
        </w:rPr>
        <w:t>.</w:t>
      </w:r>
      <w:r w:rsidRPr="001678E8">
        <w:rPr>
          <w:rFonts w:cs="FrankRuehl" w:hint="cs"/>
          <w:vanish/>
          <w:szCs w:val="20"/>
          <w:shd w:val="clear" w:color="auto" w:fill="FFFF99"/>
          <w:rtl/>
        </w:rPr>
        <w:t>7</w:t>
      </w:r>
      <w:r w:rsidR="007C0F17" w:rsidRPr="001678E8">
        <w:rPr>
          <w:rFonts w:cs="FrankRuehl" w:hint="cs"/>
          <w:vanish/>
          <w:szCs w:val="20"/>
          <w:shd w:val="clear" w:color="auto" w:fill="FFFF99"/>
          <w:rtl/>
        </w:rPr>
        <w:t>.</w:t>
      </w:r>
      <w:r w:rsidRPr="001678E8">
        <w:rPr>
          <w:rFonts w:cs="FrankRuehl" w:hint="cs"/>
          <w:vanish/>
          <w:szCs w:val="20"/>
          <w:shd w:val="clear" w:color="auto" w:fill="FFFF99"/>
          <w:rtl/>
        </w:rPr>
        <w:t>2004</w:t>
      </w:r>
      <w:r w:rsidR="007C0F17" w:rsidRPr="001678E8">
        <w:rPr>
          <w:rFonts w:cs="FrankRuehl" w:hint="cs"/>
          <w:vanish/>
          <w:szCs w:val="20"/>
          <w:shd w:val="clear" w:color="auto" w:fill="FFFF99"/>
          <w:rtl/>
        </w:rPr>
        <w:t xml:space="preserve"> עמ' </w:t>
      </w:r>
      <w:r w:rsidRPr="001678E8">
        <w:rPr>
          <w:rFonts w:cs="FrankRuehl" w:hint="cs"/>
          <w:vanish/>
          <w:szCs w:val="20"/>
          <w:shd w:val="clear" w:color="auto" w:fill="FFFF99"/>
          <w:rtl/>
        </w:rPr>
        <w:t>7</w:t>
      </w:r>
      <w:r w:rsidR="007D5F7A" w:rsidRPr="001678E8">
        <w:rPr>
          <w:rFonts w:cs="FrankRuehl" w:hint="cs"/>
          <w:vanish/>
          <w:szCs w:val="20"/>
          <w:shd w:val="clear" w:color="auto" w:fill="FFFF99"/>
          <w:rtl/>
        </w:rPr>
        <w:t>51</w:t>
      </w:r>
    </w:p>
    <w:p w14:paraId="5C84943A" w14:textId="77777777" w:rsidR="00FF4A8F" w:rsidRPr="00A33624" w:rsidRDefault="00FF4A8F" w:rsidP="00A33624">
      <w:pPr>
        <w:pStyle w:val="P00"/>
        <w:spacing w:before="0"/>
        <w:ind w:left="0" w:right="1134"/>
        <w:rPr>
          <w:rFonts w:cs="FrankRuehl" w:hint="cs"/>
          <w:b/>
          <w:bCs/>
          <w:sz w:val="2"/>
          <w:szCs w:val="2"/>
          <w:rtl/>
        </w:rPr>
      </w:pPr>
      <w:r w:rsidRPr="001678E8">
        <w:rPr>
          <w:rFonts w:cs="FrankRuehl" w:hint="cs"/>
          <w:b/>
          <w:bCs/>
          <w:vanish/>
          <w:szCs w:val="20"/>
          <w:shd w:val="clear" w:color="auto" w:fill="FFFF99"/>
          <w:rtl/>
        </w:rPr>
        <w:t>הוספת הגדרת "מתחרה בפועל"</w:t>
      </w:r>
      <w:bookmarkEnd w:id="1"/>
    </w:p>
    <w:p w14:paraId="65376217"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רוב" </w:t>
      </w:r>
      <w:r w:rsidR="001678E8">
        <w:rPr>
          <w:rStyle w:val="default"/>
          <w:rFonts w:cs="FrankRuehl" w:hint="cs"/>
          <w:rtl/>
        </w:rPr>
        <w:t>-</w:t>
      </w:r>
      <w:r>
        <w:rPr>
          <w:rStyle w:val="default"/>
          <w:rFonts w:cs="FrankRuehl"/>
          <w:rtl/>
        </w:rPr>
        <w:t xml:space="preserve"> </w:t>
      </w:r>
      <w:r>
        <w:rPr>
          <w:rStyle w:val="default"/>
          <w:rFonts w:cs="FrankRuehl" w:hint="cs"/>
          <w:rtl/>
        </w:rPr>
        <w:t>בן משפחה, כהגדרתו בחוק ניירות ערך, תשכ"ח</w:t>
      </w:r>
      <w:r w:rsidR="001678E8">
        <w:rPr>
          <w:rStyle w:val="default"/>
          <w:rFonts w:cs="FrankRuehl" w:hint="cs"/>
          <w:rtl/>
        </w:rPr>
        <w:t>-</w:t>
      </w:r>
      <w:r>
        <w:rPr>
          <w:rStyle w:val="default"/>
          <w:rFonts w:cs="FrankRuehl"/>
          <w:rtl/>
        </w:rPr>
        <w:t>1968;</w:t>
      </w:r>
    </w:p>
    <w:p w14:paraId="18BAF136"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וק מוצר" </w:t>
      </w:r>
      <w:r w:rsidR="001678E8">
        <w:rPr>
          <w:rStyle w:val="default"/>
          <w:rFonts w:cs="FrankRuehl" w:hint="cs"/>
          <w:rtl/>
        </w:rPr>
        <w:t>-</w:t>
      </w:r>
      <w:r>
        <w:rPr>
          <w:rStyle w:val="default"/>
          <w:rFonts w:cs="FrankRuehl"/>
          <w:rtl/>
        </w:rPr>
        <w:t xml:space="preserve"> </w:t>
      </w:r>
      <w:r>
        <w:rPr>
          <w:rStyle w:val="default"/>
          <w:rFonts w:cs="FrankRuehl" w:hint="cs"/>
          <w:rtl/>
        </w:rPr>
        <w:t>קבוצת הטובין התחליפיים; נקבעה הגדרת שוק מוצר בפסק דין של בית הדין להגבלים עסקיים או בערעור עליו, או בה</w:t>
      </w:r>
      <w:r>
        <w:rPr>
          <w:rStyle w:val="default"/>
          <w:rFonts w:cs="FrankRuehl"/>
          <w:rtl/>
        </w:rPr>
        <w:t>ח</w:t>
      </w:r>
      <w:r>
        <w:rPr>
          <w:rStyle w:val="default"/>
          <w:rFonts w:cs="FrankRuehl" w:hint="cs"/>
          <w:rtl/>
        </w:rPr>
        <w:t xml:space="preserve">לטה של הממונה על הגבלים עסקיים או בערר עליה, תהא זו חזקה כי היא </w:t>
      </w:r>
      <w:r>
        <w:rPr>
          <w:rStyle w:val="default"/>
          <w:rFonts w:cs="FrankRuehl"/>
          <w:rtl/>
        </w:rPr>
        <w:t>הג</w:t>
      </w:r>
      <w:r>
        <w:rPr>
          <w:rStyle w:val="default"/>
          <w:rFonts w:cs="FrankRuehl" w:hint="cs"/>
          <w:rtl/>
        </w:rPr>
        <w:t>דרת שוק המוצר לענין פטור סוג;</w:t>
      </w:r>
    </w:p>
    <w:p w14:paraId="56C46AD3" w14:textId="77777777" w:rsidR="00E257D4" w:rsidRDefault="00E257D4" w:rsidP="001678E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וקי מוצר משיקים" </w:t>
      </w:r>
      <w:r w:rsidR="001678E8">
        <w:rPr>
          <w:rStyle w:val="default"/>
          <w:rFonts w:cs="FrankRuehl" w:hint="cs"/>
          <w:rtl/>
        </w:rPr>
        <w:t>-</w:t>
      </w:r>
      <w:r>
        <w:rPr>
          <w:rStyle w:val="default"/>
          <w:rFonts w:cs="FrankRuehl"/>
          <w:rtl/>
        </w:rPr>
        <w:t xml:space="preserve"> </w:t>
      </w:r>
      <w:r>
        <w:rPr>
          <w:rStyle w:val="default"/>
          <w:rFonts w:cs="FrankRuehl" w:hint="cs"/>
          <w:rtl/>
        </w:rPr>
        <w:t xml:space="preserve">שוקי מוצר שהטובין המיוצרים באחד מהם, משמשים תשומה בייצורם או בשיווקם של טובין מן השוק אחר, וכן שווקי מוצר שהטובין המיוצרים בהם </w:t>
      </w:r>
      <w:r w:rsidR="001678E8">
        <w:rPr>
          <w:rStyle w:val="default"/>
          <w:rFonts w:cs="FrankRuehl" w:hint="cs"/>
          <w:rtl/>
        </w:rPr>
        <w:t>-</w:t>
      </w:r>
      <w:r>
        <w:rPr>
          <w:rStyle w:val="default"/>
          <w:rFonts w:cs="FrankRuehl"/>
          <w:rtl/>
        </w:rPr>
        <w:t xml:space="preserve"> </w:t>
      </w:r>
      <w:r>
        <w:rPr>
          <w:rStyle w:val="default"/>
          <w:rFonts w:cs="FrankRuehl" w:hint="cs"/>
          <w:rtl/>
        </w:rPr>
        <w:t xml:space="preserve">מטבעם או בהתאם לתנאי מסחר מקובלים </w:t>
      </w:r>
      <w:r w:rsidR="001678E8">
        <w:rPr>
          <w:rStyle w:val="default"/>
          <w:rFonts w:cs="FrankRuehl" w:hint="cs"/>
          <w:rtl/>
        </w:rPr>
        <w:t>-</w:t>
      </w:r>
      <w:r>
        <w:rPr>
          <w:rStyle w:val="default"/>
          <w:rFonts w:cs="FrankRuehl"/>
          <w:rtl/>
        </w:rPr>
        <w:t xml:space="preserve"> </w:t>
      </w:r>
      <w:r>
        <w:rPr>
          <w:rStyle w:val="default"/>
          <w:rFonts w:cs="FrankRuehl" w:hint="cs"/>
          <w:rtl/>
        </w:rPr>
        <w:t>מיוצרים, משווקים או מופצים יחד, או שה</w:t>
      </w:r>
      <w:r>
        <w:rPr>
          <w:rStyle w:val="default"/>
          <w:rFonts w:cs="FrankRuehl"/>
          <w:rtl/>
        </w:rPr>
        <w:t xml:space="preserve">ם </w:t>
      </w:r>
      <w:r>
        <w:rPr>
          <w:rStyle w:val="default"/>
          <w:rFonts w:cs="FrankRuehl" w:hint="cs"/>
          <w:rtl/>
        </w:rPr>
        <w:t>מוצרים משלימים;</w:t>
      </w:r>
    </w:p>
    <w:p w14:paraId="4843020F" w14:textId="77777777" w:rsidR="00E257D4" w:rsidRDefault="00E257D4" w:rsidP="001678E8">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ליטה" </w:t>
      </w:r>
      <w:r w:rsidR="001678E8">
        <w:rPr>
          <w:rStyle w:val="default"/>
          <w:rFonts w:cs="FrankRuehl" w:hint="cs"/>
          <w:rtl/>
        </w:rPr>
        <w:t>-</w:t>
      </w:r>
      <w:r>
        <w:rPr>
          <w:rStyle w:val="default"/>
          <w:rFonts w:cs="FrankRuehl"/>
          <w:rtl/>
        </w:rPr>
        <w:t xml:space="preserve"> </w:t>
      </w:r>
      <w:r>
        <w:rPr>
          <w:rStyle w:val="default"/>
          <w:rFonts w:cs="FrankRuehl" w:hint="cs"/>
          <w:rtl/>
        </w:rPr>
        <w:t xml:space="preserve">היכולת לכוון, במישרין או בעקיפין, פעילותו של תאגיד; בלי לגרוע מכלליות האמור לעיל, חזקה על אדם </w:t>
      </w:r>
      <w:r w:rsidR="001678E8">
        <w:rPr>
          <w:rStyle w:val="default"/>
          <w:rFonts w:cs="FrankRuehl"/>
          <w:rtl/>
        </w:rPr>
        <w:t>–</w:t>
      </w:r>
    </w:p>
    <w:p w14:paraId="4DB2D862" w14:textId="77777777" w:rsidR="00E257D4" w:rsidRDefault="00E257D4" w:rsidP="001678E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הוא בעל שליטה בתאגיד אם הוא מחזיק ביותר ממחצית מהזכות להצביע </w:t>
      </w:r>
      <w:r>
        <w:rPr>
          <w:rStyle w:val="default"/>
          <w:rFonts w:cs="FrankRuehl"/>
          <w:rtl/>
        </w:rPr>
        <w:t>מ</w:t>
      </w:r>
      <w:r>
        <w:rPr>
          <w:rStyle w:val="default"/>
          <w:rFonts w:cs="FrankRuehl" w:hint="cs"/>
          <w:rtl/>
        </w:rPr>
        <w:t>כוח המניות או סוג שלהן באסיפה כללית של חברה או בגוף מקביל לאסיפה</w:t>
      </w:r>
      <w:r>
        <w:rPr>
          <w:rStyle w:val="default"/>
          <w:rFonts w:cs="FrankRuehl"/>
          <w:rtl/>
        </w:rPr>
        <w:t xml:space="preserve"> כ</w:t>
      </w:r>
      <w:r>
        <w:rPr>
          <w:rStyle w:val="default"/>
          <w:rFonts w:cs="FrankRuehl" w:hint="cs"/>
          <w:rtl/>
        </w:rPr>
        <w:t xml:space="preserve">ללית של תאגיד אחר, או מהזכות למנות דירקטורים ובתאגיד שאינו חברה </w:t>
      </w:r>
      <w:r w:rsidR="001678E8">
        <w:rPr>
          <w:rStyle w:val="default"/>
          <w:rFonts w:cs="FrankRuehl" w:hint="cs"/>
          <w:rtl/>
        </w:rPr>
        <w:t>-</w:t>
      </w:r>
      <w:r>
        <w:rPr>
          <w:rStyle w:val="default"/>
          <w:rFonts w:cs="FrankRuehl"/>
          <w:rtl/>
        </w:rPr>
        <w:t xml:space="preserve"> </w:t>
      </w:r>
      <w:r>
        <w:rPr>
          <w:rStyle w:val="default"/>
          <w:rFonts w:cs="FrankRuehl" w:hint="cs"/>
          <w:rtl/>
        </w:rPr>
        <w:t>מהזכות למנות בעלי תפקידים דומים;</w:t>
      </w:r>
    </w:p>
    <w:p w14:paraId="612406C2" w14:textId="77777777" w:rsidR="00E257D4" w:rsidRDefault="00E257D4">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הוא בעל שליטה בתאגיד אם הוא מחזיק בזכות למנות מנהל כללי באותו תאגיד;</w:t>
      </w:r>
    </w:p>
    <w:p w14:paraId="3E24348A" w14:textId="77777777" w:rsidR="00E257D4" w:rsidRDefault="00E257D4">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הוא בעל שלי</w:t>
      </w:r>
      <w:r>
        <w:rPr>
          <w:rStyle w:val="default"/>
          <w:rFonts w:cs="FrankRuehl"/>
          <w:rtl/>
        </w:rPr>
        <w:t>ט</w:t>
      </w:r>
      <w:r>
        <w:rPr>
          <w:rStyle w:val="default"/>
          <w:rFonts w:cs="FrankRuehl" w:hint="cs"/>
          <w:rtl/>
        </w:rPr>
        <w:t xml:space="preserve">ה בתאגיד אם הוא מחזיק ביותר משלושים אחוזים מזכות בתאגיד, אם אין </w:t>
      </w:r>
      <w:r>
        <w:rPr>
          <w:rStyle w:val="default"/>
          <w:rFonts w:cs="FrankRuehl"/>
          <w:rtl/>
        </w:rPr>
        <w:t>אד</w:t>
      </w:r>
      <w:r>
        <w:rPr>
          <w:rStyle w:val="default"/>
          <w:rFonts w:cs="FrankRuehl" w:hint="cs"/>
          <w:rtl/>
        </w:rPr>
        <w:t>ם אחר מחזיק יותר ממחצית מזכות כאמור;</w:t>
      </w:r>
    </w:p>
    <w:p w14:paraId="0E0079D6" w14:textId="77777777" w:rsidR="00E257D4" w:rsidRDefault="00E257D4" w:rsidP="001678E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נהנה בנאמנות כי הוא מחזיק שליטה בנכסיה, למעט החזקה ביחידה בקרן נאמנות שחל עליה חוק השקעות</w:t>
      </w:r>
      <w:r>
        <w:rPr>
          <w:rFonts w:cs="FrankRuehl"/>
          <w:sz w:val="26"/>
          <w:rtl/>
        </w:rPr>
        <w:t> </w:t>
      </w:r>
      <w:r>
        <w:rPr>
          <w:rStyle w:val="default"/>
          <w:rFonts w:cs="FrankRuehl"/>
          <w:rtl/>
        </w:rPr>
        <w:t xml:space="preserve"> מ</w:t>
      </w:r>
      <w:r>
        <w:rPr>
          <w:rStyle w:val="default"/>
          <w:rFonts w:cs="FrankRuehl" w:hint="cs"/>
          <w:rtl/>
        </w:rPr>
        <w:t>שותפות בנאמנות, תשנ"ד</w:t>
      </w:r>
      <w:r w:rsidR="001678E8">
        <w:rPr>
          <w:rStyle w:val="default"/>
          <w:rFonts w:cs="FrankRuehl" w:hint="cs"/>
          <w:rtl/>
        </w:rPr>
        <w:t>-</w:t>
      </w:r>
      <w:r>
        <w:rPr>
          <w:rStyle w:val="default"/>
          <w:rFonts w:cs="FrankRuehl"/>
          <w:rtl/>
        </w:rPr>
        <w:t>1994;</w:t>
      </w:r>
    </w:p>
    <w:p w14:paraId="434EC934" w14:textId="77777777" w:rsidR="00E257D4" w:rsidRDefault="00E257D4" w:rsidP="001678E8">
      <w:pPr>
        <w:pStyle w:val="P22"/>
        <w:spacing w:before="72"/>
        <w:ind w:left="1021" w:right="1134"/>
        <w:rPr>
          <w:rStyle w:val="default"/>
          <w:rFonts w:cs="FrankRuehl"/>
          <w:rtl/>
        </w:rPr>
      </w:pPr>
      <w:r>
        <w:rPr>
          <w:rStyle w:val="default"/>
          <w:rFonts w:cs="FrankRuehl"/>
          <w:rtl/>
        </w:rPr>
        <w:t>(5)</w:t>
      </w:r>
      <w:r>
        <w:rPr>
          <w:rStyle w:val="default"/>
          <w:rFonts w:cs="FrankRuehl"/>
          <w:rtl/>
        </w:rPr>
        <w:tab/>
        <w:t>ש</w:t>
      </w:r>
      <w:r>
        <w:rPr>
          <w:rStyle w:val="default"/>
          <w:rFonts w:cs="FrankRuehl" w:hint="cs"/>
          <w:rtl/>
        </w:rPr>
        <w:t>הוא בעל שליטה בתאגיד אם הוא מחזיק ביכולת למנוע קבלת החלטה עסק</w:t>
      </w:r>
      <w:r>
        <w:rPr>
          <w:rStyle w:val="default"/>
          <w:rFonts w:cs="FrankRuehl"/>
          <w:rtl/>
        </w:rPr>
        <w:t>ית</w:t>
      </w:r>
      <w:r>
        <w:rPr>
          <w:rStyle w:val="default"/>
          <w:rFonts w:cs="FrankRuehl" w:hint="cs"/>
          <w:rtl/>
        </w:rPr>
        <w:t xml:space="preserve"> מהותית של התאגיד, זולת אם מקור אותה יכולת בהסכם המסדיר תנאי הלוואה שנתן תאגיד בנקאי במהלך עסקיו הרגילים; לענין זה, "החלטה עסקית מהותית" </w:t>
      </w:r>
      <w:r w:rsidR="001678E8">
        <w:rPr>
          <w:rStyle w:val="default"/>
          <w:rFonts w:cs="FrankRuehl" w:hint="cs"/>
          <w:rtl/>
        </w:rPr>
        <w:t>-</w:t>
      </w:r>
      <w:r>
        <w:rPr>
          <w:rStyle w:val="default"/>
          <w:rFonts w:cs="FrankRuehl"/>
          <w:rtl/>
        </w:rPr>
        <w:t xml:space="preserve"> </w:t>
      </w:r>
      <w:r>
        <w:rPr>
          <w:rStyle w:val="default"/>
          <w:rFonts w:cs="FrankRuehl" w:hint="cs"/>
          <w:rtl/>
        </w:rPr>
        <w:t xml:space="preserve">למעט החלטה שענינה הנפקת אמצעי שליטה בתאגיד, מכירה </w:t>
      </w:r>
      <w:r>
        <w:rPr>
          <w:rStyle w:val="default"/>
          <w:rFonts w:cs="FrankRuehl"/>
          <w:rtl/>
        </w:rPr>
        <w:t>א</w:t>
      </w:r>
      <w:r>
        <w:rPr>
          <w:rStyle w:val="default"/>
          <w:rFonts w:cs="FrankRuehl" w:hint="cs"/>
          <w:rtl/>
        </w:rPr>
        <w:t>ו חיסול של רוב עסקי התאגיד, או שינוי מהותי בעסקי התאגיד.</w:t>
      </w:r>
    </w:p>
    <w:p w14:paraId="4089AE27" w14:textId="77777777" w:rsidR="00E257D4" w:rsidRDefault="00E257D4">
      <w:pPr>
        <w:pStyle w:val="P00"/>
        <w:spacing w:before="72"/>
        <w:ind w:left="0" w:right="1134"/>
        <w:rPr>
          <w:rStyle w:val="default"/>
          <w:rFonts w:cs="FrankRuehl"/>
          <w:rtl/>
        </w:rPr>
      </w:pPr>
      <w:bookmarkStart w:id="2" w:name="Seif1"/>
      <w:bookmarkEnd w:id="2"/>
      <w:r>
        <w:rPr>
          <w:lang w:val="he-IL"/>
        </w:rPr>
        <w:pict w14:anchorId="4EAD7A97">
          <v:rect id="_x0000_s1027" style="position:absolute;left:0;text-align:left;margin-left:464.5pt;margin-top:8.05pt;width:75.05pt;height:16pt;z-index:251653632" o:allowincell="f" filled="f" stroked="f" strokecolor="lime" strokeweight=".25pt">
            <v:textbox inset="0,0,0,0">
              <w:txbxContent>
                <w:p w14:paraId="492680FA" w14:textId="77777777" w:rsidR="00E257D4" w:rsidRDefault="00E257D4" w:rsidP="00D25695">
                  <w:pPr>
                    <w:spacing w:line="160" w:lineRule="exact"/>
                    <w:jc w:val="left"/>
                    <w:rPr>
                      <w:rFonts w:cs="Miriam"/>
                      <w:noProof/>
                      <w:sz w:val="18"/>
                      <w:szCs w:val="18"/>
                      <w:rtl/>
                    </w:rPr>
                  </w:pPr>
                  <w:r>
                    <w:rPr>
                      <w:rFonts w:cs="Miriam"/>
                      <w:sz w:val="18"/>
                      <w:szCs w:val="18"/>
                      <w:rtl/>
                    </w:rPr>
                    <w:t>תח</w:t>
                  </w:r>
                  <w:r>
                    <w:rPr>
                      <w:rFonts w:cs="Miriam" w:hint="cs"/>
                      <w:sz w:val="18"/>
                      <w:szCs w:val="18"/>
                      <w:rtl/>
                    </w:rPr>
                    <w:t>ולה על</w:t>
                  </w:r>
                  <w:r w:rsidR="00D25695">
                    <w:rPr>
                      <w:rFonts w:cs="Miriam" w:hint="cs"/>
                      <w:sz w:val="18"/>
                      <w:szCs w:val="18"/>
                      <w:rtl/>
                    </w:rPr>
                    <w:t xml:space="preserve"> </w:t>
                  </w:r>
                  <w:r>
                    <w:rPr>
                      <w:rFonts w:cs="Miriam"/>
                      <w:sz w:val="18"/>
                      <w:szCs w:val="18"/>
                      <w:rtl/>
                    </w:rPr>
                    <w:t>אד</w:t>
                  </w:r>
                  <w:r>
                    <w:rPr>
                      <w:rFonts w:cs="Miriam" w:hint="cs"/>
                      <w:sz w:val="18"/>
                      <w:szCs w:val="18"/>
                      <w:rtl/>
                    </w:rPr>
                    <w:t>ם קשור</w:t>
                  </w:r>
                </w:p>
              </w:txbxContent>
            </v:textbox>
            <w10:anchorlock/>
          </v:rect>
        </w:pict>
      </w:r>
      <w:r>
        <w:rPr>
          <w:rStyle w:val="big-number"/>
          <w:rFonts w:cs="Miriam"/>
          <w:rtl/>
        </w:rPr>
        <w:t>2.</w:t>
      </w:r>
      <w:r>
        <w:rPr>
          <w:rStyle w:val="big-number"/>
          <w:rFonts w:cs="Miriam"/>
          <w:rtl/>
        </w:rPr>
        <w:tab/>
      </w:r>
      <w:r>
        <w:rPr>
          <w:rStyle w:val="default"/>
          <w:rFonts w:cs="FrankRuehl"/>
          <w:rtl/>
        </w:rPr>
        <w:t>הג</w:t>
      </w:r>
      <w:r>
        <w:rPr>
          <w:rStyle w:val="default"/>
          <w:rFonts w:cs="FrankRuehl" w:hint="cs"/>
          <w:rtl/>
        </w:rPr>
        <w:t>ב</w:t>
      </w:r>
      <w:r>
        <w:rPr>
          <w:rStyle w:val="default"/>
          <w:rFonts w:cs="FrankRuehl"/>
          <w:rtl/>
        </w:rPr>
        <w:t>לה</w:t>
      </w:r>
      <w:r>
        <w:rPr>
          <w:rStyle w:val="default"/>
          <w:rFonts w:cs="FrankRuehl" w:hint="cs"/>
          <w:rtl/>
        </w:rPr>
        <w:t xml:space="preserve"> או תנאי החלים מכוח כללי פטור סוג על צד להסכם יחולו גם על אדם הקשור לצד כאמור, ויראו אי עמידה בהגבלה או בתנאי כאמור, של אדם קשור או יחד עמו, כאי עמידה בפטור הסוג בידי הצד שאליו הוא קשור.</w:t>
      </w:r>
    </w:p>
    <w:p w14:paraId="7CEAD4F9" w14:textId="77777777" w:rsidR="00E257D4" w:rsidRDefault="00E257D4" w:rsidP="001678E8">
      <w:pPr>
        <w:pStyle w:val="P00"/>
        <w:spacing w:before="72"/>
        <w:ind w:left="0" w:right="1134"/>
        <w:rPr>
          <w:rStyle w:val="default"/>
          <w:rFonts w:cs="FrankRuehl"/>
          <w:rtl/>
        </w:rPr>
      </w:pPr>
      <w:bookmarkStart w:id="3" w:name="Seif2"/>
      <w:bookmarkEnd w:id="3"/>
      <w:r>
        <w:rPr>
          <w:lang w:val="he-IL"/>
        </w:rPr>
        <w:pict w14:anchorId="7044CD4B">
          <v:rect id="_x0000_s1028" style="position:absolute;left:0;text-align:left;margin-left:464.5pt;margin-top:8.05pt;width:75.05pt;height:21.25pt;z-index:251654656" o:allowincell="f" filled="f" stroked="f" strokecolor="lime" strokeweight=".25pt">
            <v:textbox inset="0,0,0,0">
              <w:txbxContent>
                <w:p w14:paraId="4E52C8B9" w14:textId="77777777" w:rsidR="00E257D4" w:rsidRDefault="00E257D4" w:rsidP="00D25695">
                  <w:pPr>
                    <w:spacing w:line="160" w:lineRule="exact"/>
                    <w:jc w:val="left"/>
                    <w:rPr>
                      <w:rFonts w:cs="Miriam"/>
                      <w:noProof/>
                      <w:sz w:val="18"/>
                      <w:szCs w:val="18"/>
                      <w:rtl/>
                    </w:rPr>
                  </w:pPr>
                  <w:r>
                    <w:rPr>
                      <w:rFonts w:cs="Miriam"/>
                      <w:sz w:val="18"/>
                      <w:szCs w:val="18"/>
                      <w:rtl/>
                    </w:rPr>
                    <w:t>חי</w:t>
                  </w:r>
                  <w:r>
                    <w:rPr>
                      <w:rFonts w:cs="Miriam" w:hint="cs"/>
                      <w:sz w:val="18"/>
                      <w:szCs w:val="18"/>
                      <w:rtl/>
                    </w:rPr>
                    <w:t>שוב חלקם</w:t>
                  </w:r>
                  <w:r w:rsidR="00D25695">
                    <w:rPr>
                      <w:rFonts w:cs="Miriam" w:hint="cs"/>
                      <w:sz w:val="18"/>
                      <w:szCs w:val="18"/>
                      <w:rtl/>
                    </w:rPr>
                    <w:t xml:space="preserve"> </w:t>
                  </w:r>
                  <w:r>
                    <w:rPr>
                      <w:rFonts w:cs="Miriam"/>
                      <w:sz w:val="18"/>
                      <w:szCs w:val="18"/>
                      <w:rtl/>
                    </w:rPr>
                    <w:t>של</w:t>
                  </w:r>
                  <w:r>
                    <w:rPr>
                      <w:rFonts w:cs="Miriam" w:hint="cs"/>
                      <w:sz w:val="18"/>
                      <w:szCs w:val="18"/>
                      <w:rtl/>
                    </w:rPr>
                    <w:t xml:space="preserve"> הצדדים</w:t>
                  </w:r>
                </w:p>
              </w:txbxContent>
            </v:textbox>
            <w10:anchorlock/>
          </v:rect>
        </w:pict>
      </w:r>
      <w:r>
        <w:rPr>
          <w:rStyle w:val="big-number"/>
          <w:rFonts w:cs="Miriam"/>
          <w:rtl/>
        </w:rPr>
        <w:t>3.</w:t>
      </w:r>
      <w:r>
        <w:rPr>
          <w:rStyle w:val="big-number"/>
          <w:rFonts w:cs="Miriam"/>
          <w:rtl/>
        </w:rPr>
        <w:tab/>
      </w:r>
      <w:r>
        <w:rPr>
          <w:rStyle w:val="default"/>
          <w:rFonts w:cs="FrankRuehl"/>
          <w:rtl/>
        </w:rPr>
        <w:t>בח</w:t>
      </w:r>
      <w:r>
        <w:rPr>
          <w:rStyle w:val="default"/>
          <w:rFonts w:cs="FrankRuehl" w:hint="cs"/>
          <w:rtl/>
        </w:rPr>
        <w:t xml:space="preserve">ישוב חלקם של צדדים להסכם בשוק מוצר יובא בחשבון גם חלקם באותו </w:t>
      </w:r>
      <w:r>
        <w:rPr>
          <w:rStyle w:val="default"/>
          <w:rFonts w:cs="FrankRuehl"/>
          <w:rtl/>
        </w:rPr>
        <w:t>שו</w:t>
      </w:r>
      <w:r>
        <w:rPr>
          <w:rStyle w:val="default"/>
          <w:rFonts w:cs="FrankRuehl" w:hint="cs"/>
          <w:rtl/>
        </w:rPr>
        <w:t xml:space="preserve">ק מוצר של אחרים שיש להם עם מי מהצדדים הסכמים זהים או דומים להסכם נושא פטור הסוג האמור; לענין זה, "הסכמים דומים" </w:t>
      </w:r>
      <w:r w:rsidR="001678E8">
        <w:rPr>
          <w:rStyle w:val="default"/>
          <w:rFonts w:cs="FrankRuehl" w:hint="cs"/>
          <w:rtl/>
        </w:rPr>
        <w:t>-</w:t>
      </w:r>
      <w:r>
        <w:rPr>
          <w:rStyle w:val="default"/>
          <w:rFonts w:cs="FrankRuehl"/>
          <w:rtl/>
        </w:rPr>
        <w:t xml:space="preserve"> </w:t>
      </w:r>
      <w:r>
        <w:rPr>
          <w:rStyle w:val="default"/>
          <w:rFonts w:cs="FrankRuehl" w:hint="cs"/>
          <w:rtl/>
        </w:rPr>
        <w:t xml:space="preserve">הסכמים הכוללים כבילות המתייחסות </w:t>
      </w:r>
      <w:r>
        <w:rPr>
          <w:rStyle w:val="default"/>
          <w:rFonts w:cs="FrankRuehl"/>
          <w:rtl/>
        </w:rPr>
        <w:t>ל</w:t>
      </w:r>
      <w:r>
        <w:rPr>
          <w:rStyle w:val="default"/>
          <w:rFonts w:cs="FrankRuehl" w:hint="cs"/>
          <w:rtl/>
        </w:rPr>
        <w:t>אותו שוק מוצר, לרבות הסכמים מהסוג שלגביו הותקן פטור הסוג אף אם אין מתקיימים בהם כל תנאי אותו פטור, והסכמים</w:t>
      </w:r>
      <w:r>
        <w:rPr>
          <w:rStyle w:val="default"/>
          <w:rFonts w:cs="FrankRuehl"/>
          <w:rtl/>
        </w:rPr>
        <w:t xml:space="preserve"> </w:t>
      </w:r>
      <w:r>
        <w:rPr>
          <w:rStyle w:val="default"/>
          <w:rFonts w:cs="FrankRuehl" w:hint="cs"/>
          <w:rtl/>
        </w:rPr>
        <w:t>ש</w:t>
      </w:r>
      <w:r>
        <w:rPr>
          <w:rStyle w:val="default"/>
          <w:rFonts w:cs="FrankRuehl"/>
          <w:rtl/>
        </w:rPr>
        <w:t>ת</w:t>
      </w:r>
      <w:r>
        <w:rPr>
          <w:rStyle w:val="default"/>
          <w:rFonts w:cs="FrankRuehl" w:hint="cs"/>
          <w:rtl/>
        </w:rPr>
        <w:t>וצאתם זהה גם אם תוארם שונה.</w:t>
      </w:r>
    </w:p>
    <w:p w14:paraId="57F9473F" w14:textId="77777777" w:rsidR="00E257D4" w:rsidRDefault="00E257D4">
      <w:pPr>
        <w:pStyle w:val="P00"/>
        <w:spacing w:before="72"/>
        <w:ind w:left="0" w:right="1134"/>
        <w:rPr>
          <w:rStyle w:val="default"/>
          <w:rFonts w:cs="FrankRuehl"/>
          <w:rtl/>
        </w:rPr>
      </w:pPr>
      <w:bookmarkStart w:id="4" w:name="Seif3"/>
      <w:bookmarkEnd w:id="4"/>
      <w:r>
        <w:rPr>
          <w:lang w:val="he-IL"/>
        </w:rPr>
        <w:pict w14:anchorId="1A84994E">
          <v:rect id="_x0000_s1029" style="position:absolute;left:0;text-align:left;margin-left:468.45pt;margin-top:8.05pt;width:71.1pt;height:25.8pt;z-index:251655680" o:allowincell="f" filled="f" stroked="f" strokecolor="lime" strokeweight=".25pt">
            <v:textbox inset="0,0,0,0">
              <w:txbxContent>
                <w:p w14:paraId="5516B814" w14:textId="77777777" w:rsidR="00E257D4" w:rsidRDefault="00E257D4" w:rsidP="00D53815">
                  <w:pPr>
                    <w:spacing w:line="160" w:lineRule="exact"/>
                    <w:jc w:val="left"/>
                    <w:rPr>
                      <w:rFonts w:cs="Miriam"/>
                      <w:noProof/>
                      <w:sz w:val="18"/>
                      <w:szCs w:val="18"/>
                      <w:rtl/>
                    </w:rPr>
                  </w:pPr>
                  <w:r>
                    <w:rPr>
                      <w:rFonts w:cs="Miriam"/>
                      <w:sz w:val="18"/>
                      <w:szCs w:val="18"/>
                      <w:rtl/>
                    </w:rPr>
                    <w:t>אי</w:t>
                  </w:r>
                  <w:r w:rsidR="00D25695">
                    <w:rPr>
                      <w:rFonts w:cs="Miriam" w:hint="cs"/>
                      <w:sz w:val="18"/>
                      <w:szCs w:val="18"/>
                      <w:rtl/>
                    </w:rPr>
                    <w:t>-</w:t>
                  </w:r>
                  <w:r>
                    <w:rPr>
                      <w:rFonts w:cs="Miriam" w:hint="cs"/>
                      <w:sz w:val="18"/>
                      <w:szCs w:val="18"/>
                      <w:rtl/>
                    </w:rPr>
                    <w:t>תחולת</w:t>
                  </w:r>
                  <w:r w:rsidR="00D53815">
                    <w:rPr>
                      <w:rFonts w:cs="Miriam" w:hint="cs"/>
                      <w:sz w:val="18"/>
                      <w:szCs w:val="18"/>
                      <w:rtl/>
                    </w:rPr>
                    <w:t xml:space="preserve"> </w:t>
                  </w:r>
                  <w:r>
                    <w:rPr>
                      <w:rFonts w:cs="Miriam"/>
                      <w:sz w:val="18"/>
                      <w:szCs w:val="18"/>
                      <w:rtl/>
                    </w:rPr>
                    <w:t>פט</w:t>
                  </w:r>
                  <w:r>
                    <w:rPr>
                      <w:rFonts w:cs="Miriam" w:hint="cs"/>
                      <w:sz w:val="18"/>
                      <w:szCs w:val="18"/>
                      <w:rtl/>
                    </w:rPr>
                    <w:t xml:space="preserve">ורי הסוג על </w:t>
                  </w:r>
                  <w:r>
                    <w:rPr>
                      <w:rFonts w:cs="Miriam"/>
                      <w:sz w:val="18"/>
                      <w:szCs w:val="18"/>
                      <w:rtl/>
                    </w:rPr>
                    <w:t>סו</w:t>
                  </w:r>
                  <w:r>
                    <w:rPr>
                      <w:rFonts w:cs="Miriam" w:hint="cs"/>
                      <w:sz w:val="18"/>
                      <w:szCs w:val="18"/>
                      <w:rtl/>
                    </w:rPr>
                    <w:t>גים מסוימים ש</w:t>
                  </w:r>
                  <w:r>
                    <w:rPr>
                      <w:rFonts w:cs="Miriam"/>
                      <w:sz w:val="18"/>
                      <w:szCs w:val="18"/>
                      <w:rtl/>
                    </w:rPr>
                    <w:t>ל</w:t>
                  </w:r>
                  <w:r>
                    <w:rPr>
                      <w:rFonts w:cs="Miriam" w:hint="cs"/>
                      <w:sz w:val="18"/>
                      <w:szCs w:val="18"/>
                      <w:rtl/>
                    </w:rPr>
                    <w:t xml:space="preserve"> כבילות</w:t>
                  </w:r>
                </w:p>
              </w:txbxContent>
            </v:textbox>
            <w10:anchorlock/>
          </v:rect>
        </w:pict>
      </w:r>
      <w:r>
        <w:rPr>
          <w:rStyle w:val="big-number"/>
          <w:rFonts w:cs="Miriam"/>
          <w:rtl/>
        </w:rPr>
        <w:t>4.</w:t>
      </w:r>
      <w:r>
        <w:rPr>
          <w:rStyle w:val="big-number"/>
          <w:rFonts w:cs="Miriam"/>
          <w:rtl/>
        </w:rPr>
        <w:tab/>
      </w:r>
      <w:r>
        <w:rPr>
          <w:rStyle w:val="default"/>
          <w:rFonts w:cs="FrankRuehl"/>
          <w:rtl/>
        </w:rPr>
        <w:t>זו</w:t>
      </w:r>
      <w:r>
        <w:rPr>
          <w:rStyle w:val="default"/>
          <w:rFonts w:cs="FrankRuehl" w:hint="cs"/>
          <w:rtl/>
        </w:rPr>
        <w:t>לת אם נאמר אחרת בכללי פטור סוג, לא יחול פטור סוג על הסכם הכולל, במישרין או בעקיפין, כבילה באחד או יותר מענינים אלה:</w:t>
      </w:r>
    </w:p>
    <w:p w14:paraId="112F2038" w14:textId="77777777" w:rsidR="00E257D4" w:rsidRDefault="00E257D4">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יאום מחירים שיוצעו, יידרשו או ישולמו, או הכתבתם;</w:t>
      </w:r>
    </w:p>
    <w:p w14:paraId="57F3C023" w14:textId="77777777" w:rsidR="00E257D4" w:rsidRDefault="00E257D4">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גבלת הכמויות המרביות של טובין שייווצרו, יסופק</w:t>
      </w:r>
      <w:r>
        <w:rPr>
          <w:rStyle w:val="default"/>
          <w:rFonts w:cs="FrankRuehl"/>
          <w:rtl/>
        </w:rPr>
        <w:t xml:space="preserve">ו, </w:t>
      </w:r>
      <w:r>
        <w:rPr>
          <w:rStyle w:val="default"/>
          <w:rFonts w:cs="FrankRuehl" w:hint="cs"/>
          <w:rtl/>
        </w:rPr>
        <w:t>ישווקו או ייובאו;</w:t>
      </w:r>
    </w:p>
    <w:p w14:paraId="3D1ED69B" w14:textId="77777777" w:rsidR="00E257D4" w:rsidRDefault="00E257D4">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לוקת שווקים בין צדדים לפי אזור, לקוחות, מוצרים או בכל דרך אחרת;</w:t>
      </w:r>
    </w:p>
    <w:p w14:paraId="631BD49E" w14:textId="77777777" w:rsidR="00E257D4" w:rsidRDefault="00E257D4">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סדר</w:t>
      </w:r>
      <w:r>
        <w:rPr>
          <w:rStyle w:val="default"/>
          <w:rFonts w:cs="FrankRuehl"/>
          <w:rtl/>
        </w:rPr>
        <w:t xml:space="preserve"> </w:t>
      </w:r>
      <w:r>
        <w:rPr>
          <w:rStyle w:val="default"/>
          <w:rFonts w:cs="FrankRuehl" w:hint="cs"/>
          <w:rtl/>
        </w:rPr>
        <w:t>שענינו הטלת חרם מסחרי מלא או חלקי על אדם או על סוג בני אדם;</w:t>
      </w:r>
    </w:p>
    <w:p w14:paraId="3DB8A936" w14:textId="77777777" w:rsidR="00E257D4" w:rsidRDefault="00E257D4">
      <w:pPr>
        <w:pStyle w:val="P11"/>
        <w:spacing w:before="72"/>
        <w:ind w:left="624" w:right="1134"/>
        <w:rPr>
          <w:rStyle w:val="default"/>
          <w:rFonts w:cs="FrankRuehl" w:hint="cs"/>
          <w:rtl/>
        </w:rPr>
      </w:pPr>
      <w:r>
        <w:rPr>
          <w:rFonts w:cs="FrankRuehl"/>
          <w:rtl/>
          <w:lang w:val="he-IL"/>
        </w:rPr>
        <w:pict w14:anchorId="6BF9FDE8">
          <v:shape id="_x0000_s1035" type="#_x0000_t202" style="position:absolute;left:0;text-align:left;margin-left:470.25pt;margin-top:6.85pt;width:1in;height:11.2pt;z-index:251661824" filled="f" stroked="f">
            <v:textbox inset="1mm,0,1mm,0">
              <w:txbxContent>
                <w:p w14:paraId="7D48C896" w14:textId="77777777" w:rsidR="00E257D4" w:rsidRDefault="00E257D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(5</w:t>
      </w:r>
      <w:r>
        <w:rPr>
          <w:rStyle w:val="default"/>
          <w:rFonts w:cs="FrankRuehl"/>
          <w:rtl/>
        </w:rPr>
        <w:t>)</w:t>
      </w:r>
      <w:r>
        <w:rPr>
          <w:rStyle w:val="default"/>
          <w:rFonts w:cs="FrankRuehl"/>
          <w:rtl/>
        </w:rPr>
        <w:tab/>
        <w:t>ה</w:t>
      </w:r>
      <w:r>
        <w:rPr>
          <w:rStyle w:val="default"/>
          <w:rFonts w:cs="FrankRuehl" w:hint="cs"/>
          <w:rtl/>
        </w:rPr>
        <w:t>סדר שענינו הגשה או אי הגשה של הצעה למכרז או פרט כלשהו בתוכן ההצעה למעט הסדר שענינו הגשת הצעה משותפת במכרז, אם מתקיימים בהסדר התנאים לפטור לפי כללי ההגבלים העסקיים (פטור סוג למיזמים משותפים), התשס"א-2001, ובלבד שדבר שיתוף הפעולה צוין במפורש בהצעה שהוגשה במכרז.</w:t>
      </w:r>
    </w:p>
    <w:p w14:paraId="70404119" w14:textId="77777777" w:rsidR="00BE53C3" w:rsidRPr="001678E8" w:rsidRDefault="00BE53C3" w:rsidP="00BE53C3">
      <w:pPr>
        <w:pStyle w:val="P00"/>
        <w:tabs>
          <w:tab w:val="clear" w:pos="6259"/>
        </w:tabs>
        <w:spacing w:before="0"/>
        <w:ind w:left="624" w:right="1134"/>
        <w:rPr>
          <w:rFonts w:cs="FrankRuehl" w:hint="cs"/>
          <w:vanish/>
          <w:szCs w:val="20"/>
          <w:shd w:val="clear" w:color="auto" w:fill="FFFF99"/>
          <w:rtl/>
        </w:rPr>
      </w:pPr>
      <w:bookmarkStart w:id="5" w:name="Rov10"/>
      <w:r w:rsidRPr="001678E8">
        <w:rPr>
          <w:rFonts w:cs="FrankRuehl" w:hint="cs"/>
          <w:vanish/>
          <w:color w:val="FF0000"/>
          <w:szCs w:val="20"/>
          <w:shd w:val="clear" w:color="auto" w:fill="FFFF99"/>
          <w:rtl/>
        </w:rPr>
        <w:t>מיום 1.7.2004</w:t>
      </w:r>
    </w:p>
    <w:p w14:paraId="6C0E5D08" w14:textId="77777777" w:rsidR="00BE53C3" w:rsidRPr="001678E8" w:rsidRDefault="00BE53C3" w:rsidP="00BE53C3">
      <w:pPr>
        <w:pStyle w:val="P00"/>
        <w:spacing w:before="0"/>
        <w:ind w:left="624" w:right="1134"/>
        <w:rPr>
          <w:rFonts w:cs="FrankRuehl" w:hint="cs"/>
          <w:b/>
          <w:bCs/>
          <w:vanish/>
          <w:szCs w:val="20"/>
          <w:shd w:val="clear" w:color="auto" w:fill="FFFF99"/>
          <w:rtl/>
        </w:rPr>
      </w:pPr>
      <w:r w:rsidRPr="001678E8">
        <w:rPr>
          <w:rFonts w:cs="FrankRuehl" w:hint="cs"/>
          <w:b/>
          <w:bCs/>
          <w:vanish/>
          <w:szCs w:val="20"/>
          <w:shd w:val="clear" w:color="auto" w:fill="FFFF99"/>
          <w:rtl/>
        </w:rPr>
        <w:t>תק' תשס"ד-2004</w:t>
      </w:r>
    </w:p>
    <w:p w14:paraId="7E13ECF8" w14:textId="77777777" w:rsidR="00BE53C3" w:rsidRPr="001678E8" w:rsidRDefault="00BE53C3" w:rsidP="00BE53C3">
      <w:pPr>
        <w:pStyle w:val="P00"/>
        <w:spacing w:before="0"/>
        <w:ind w:left="624" w:right="1134"/>
        <w:rPr>
          <w:rFonts w:cs="FrankRuehl" w:hint="cs"/>
          <w:vanish/>
          <w:szCs w:val="20"/>
          <w:shd w:val="clear" w:color="auto" w:fill="FFFF99"/>
          <w:rtl/>
        </w:rPr>
      </w:pPr>
      <w:hyperlink r:id="rId7" w:history="1">
        <w:r w:rsidRPr="001678E8">
          <w:rPr>
            <w:rStyle w:val="Hyperlink"/>
            <w:rFonts w:cs="FrankRuehl" w:hint="cs"/>
            <w:vanish/>
            <w:szCs w:val="20"/>
            <w:shd w:val="clear" w:color="auto" w:fill="FFFF99"/>
            <w:rtl/>
          </w:rPr>
          <w:t>ק"ת תשס"ד מס' 6327</w:t>
        </w:r>
      </w:hyperlink>
      <w:r w:rsidRPr="001678E8">
        <w:rPr>
          <w:rFonts w:cs="FrankRuehl" w:hint="cs"/>
          <w:vanish/>
          <w:szCs w:val="20"/>
          <w:shd w:val="clear" w:color="auto" w:fill="FFFF99"/>
          <w:rtl/>
        </w:rPr>
        <w:t xml:space="preserve"> מיום 1.7.2004 עמ' 751</w:t>
      </w:r>
    </w:p>
    <w:p w14:paraId="5D76EA0A" w14:textId="77777777" w:rsidR="00136960" w:rsidRPr="00A33624" w:rsidRDefault="00136960" w:rsidP="003666CB">
      <w:pPr>
        <w:pStyle w:val="P11"/>
        <w:ind w:left="624" w:right="1134"/>
        <w:rPr>
          <w:rStyle w:val="default"/>
          <w:rFonts w:cs="FrankRuehl" w:hint="cs"/>
          <w:sz w:val="2"/>
          <w:szCs w:val="2"/>
          <w:u w:val="single"/>
          <w:rtl/>
        </w:rPr>
      </w:pPr>
      <w:r w:rsidRPr="001678E8">
        <w:rPr>
          <w:rStyle w:val="default"/>
          <w:rFonts w:cs="FrankRuehl" w:hint="cs"/>
          <w:vanish/>
          <w:sz w:val="22"/>
          <w:szCs w:val="22"/>
          <w:shd w:val="clear" w:color="auto" w:fill="FFFF99"/>
          <w:rtl/>
        </w:rPr>
        <w:t>(5</w:t>
      </w:r>
      <w:r w:rsidRPr="001678E8">
        <w:rPr>
          <w:rStyle w:val="default"/>
          <w:rFonts w:cs="FrankRuehl"/>
          <w:vanish/>
          <w:sz w:val="22"/>
          <w:szCs w:val="22"/>
          <w:shd w:val="clear" w:color="auto" w:fill="FFFF99"/>
          <w:rtl/>
        </w:rPr>
        <w:t>)</w:t>
      </w:r>
      <w:r w:rsidRPr="001678E8">
        <w:rPr>
          <w:rStyle w:val="default"/>
          <w:rFonts w:cs="FrankRuehl"/>
          <w:vanish/>
          <w:sz w:val="22"/>
          <w:szCs w:val="22"/>
          <w:shd w:val="clear" w:color="auto" w:fill="FFFF99"/>
          <w:rtl/>
        </w:rPr>
        <w:tab/>
        <w:t>ה</w:t>
      </w:r>
      <w:r w:rsidRPr="001678E8">
        <w:rPr>
          <w:rStyle w:val="default"/>
          <w:rFonts w:cs="FrankRuehl" w:hint="cs"/>
          <w:vanish/>
          <w:sz w:val="22"/>
          <w:szCs w:val="22"/>
          <w:shd w:val="clear" w:color="auto" w:fill="FFFF99"/>
          <w:rtl/>
        </w:rPr>
        <w:t xml:space="preserve">סדר שענינו הגשה או אי הגשה של הצעה למכרז או פרט כלשהו בתוכן ההצעה </w:t>
      </w:r>
      <w:r w:rsidRPr="001678E8">
        <w:rPr>
          <w:rStyle w:val="default"/>
          <w:rFonts w:cs="FrankRuehl" w:hint="cs"/>
          <w:vanish/>
          <w:sz w:val="22"/>
          <w:szCs w:val="22"/>
          <w:u w:val="single"/>
          <w:shd w:val="clear" w:color="auto" w:fill="FFFF99"/>
          <w:rtl/>
        </w:rPr>
        <w:t>למעט הסדר שענינו הגשת הצעה משותפת במכרז, אם מתקיימים בהסדר התנאים לפטור לפי כללי ההגבלים העסקיים (פטור סוג למיזמים משותפים), התשס"א-2001, ובלבד שדבר שיתוף הפעולה צוין במפורש בהצעה שהוגשה במכרז</w:t>
      </w:r>
      <w:r w:rsidRPr="001678E8">
        <w:rPr>
          <w:rStyle w:val="default"/>
          <w:rFonts w:cs="FrankRuehl" w:hint="cs"/>
          <w:vanish/>
          <w:sz w:val="22"/>
          <w:szCs w:val="22"/>
          <w:shd w:val="clear" w:color="auto" w:fill="FFFF99"/>
          <w:rtl/>
        </w:rPr>
        <w:t>.</w:t>
      </w:r>
      <w:bookmarkEnd w:id="5"/>
    </w:p>
    <w:p w14:paraId="35FD7CE4" w14:textId="77777777" w:rsidR="00E257D4" w:rsidRDefault="00E257D4">
      <w:pPr>
        <w:pStyle w:val="P00"/>
        <w:spacing w:before="72"/>
        <w:ind w:left="0" w:right="1134"/>
        <w:rPr>
          <w:rStyle w:val="default"/>
          <w:rFonts w:cs="FrankRuehl"/>
          <w:rtl/>
        </w:rPr>
      </w:pPr>
      <w:bookmarkStart w:id="6" w:name="Seif4"/>
      <w:bookmarkEnd w:id="6"/>
      <w:r>
        <w:rPr>
          <w:lang w:val="he-IL"/>
        </w:rPr>
        <w:pict w14:anchorId="708E8C70">
          <v:rect id="_x0000_s1030" style="position:absolute;left:0;text-align:left;margin-left:464.5pt;margin-top:8.05pt;width:75.05pt;height:27.8pt;z-index:251656704" o:allowincell="f" filled="f" stroked="f" strokecolor="lime" strokeweight=".25pt">
            <v:textbox inset="0,0,0,0">
              <w:txbxContent>
                <w:p w14:paraId="2A1583AF" w14:textId="77777777" w:rsidR="00E257D4" w:rsidRDefault="00E257D4" w:rsidP="00D53815">
                  <w:pPr>
                    <w:spacing w:line="160" w:lineRule="exact"/>
                    <w:jc w:val="left"/>
                    <w:rPr>
                      <w:rFonts w:cs="Miriam"/>
                      <w:noProof/>
                      <w:sz w:val="18"/>
                      <w:szCs w:val="18"/>
                      <w:rtl/>
                    </w:rPr>
                  </w:pPr>
                  <w:r>
                    <w:rPr>
                      <w:rFonts w:cs="Miriam"/>
                      <w:sz w:val="18"/>
                      <w:szCs w:val="18"/>
                      <w:rtl/>
                    </w:rPr>
                    <w:t>אי</w:t>
                  </w:r>
                  <w:r w:rsidR="00D53815">
                    <w:rPr>
                      <w:rFonts w:cs="Miriam" w:hint="cs"/>
                      <w:sz w:val="18"/>
                      <w:szCs w:val="18"/>
                      <w:rtl/>
                    </w:rPr>
                    <w:t>-</w:t>
                  </w:r>
                  <w:r>
                    <w:rPr>
                      <w:rFonts w:cs="Miriam" w:hint="cs"/>
                      <w:sz w:val="18"/>
                      <w:szCs w:val="18"/>
                      <w:rtl/>
                    </w:rPr>
                    <w:t>תחולת הפטור ע</w:t>
                  </w:r>
                  <w:r>
                    <w:rPr>
                      <w:rFonts w:cs="Miriam"/>
                      <w:sz w:val="18"/>
                      <w:szCs w:val="18"/>
                      <w:rtl/>
                    </w:rPr>
                    <w:t>ל</w:t>
                  </w:r>
                  <w:r>
                    <w:rPr>
                      <w:rFonts w:cs="Miriam" w:hint="cs"/>
                      <w:sz w:val="18"/>
                      <w:szCs w:val="18"/>
                      <w:rtl/>
                    </w:rPr>
                    <w:t xml:space="preserve"> הסכם הכולל כבילות אחרות</w:t>
                  </w:r>
                </w:p>
              </w:txbxContent>
            </v:textbox>
            <w10:anchorlock/>
          </v:rect>
        </w:pict>
      </w:r>
      <w:r>
        <w:rPr>
          <w:rStyle w:val="big-number"/>
          <w:rFonts w:cs="Miriam"/>
          <w:rtl/>
        </w:rPr>
        <w:t>5.</w:t>
      </w:r>
      <w:r>
        <w:rPr>
          <w:rStyle w:val="big-number"/>
          <w:rFonts w:cs="Miriam"/>
          <w:rtl/>
        </w:rPr>
        <w:tab/>
      </w:r>
      <w:r>
        <w:rPr>
          <w:rStyle w:val="default"/>
          <w:rFonts w:cs="FrankRuehl"/>
          <w:rtl/>
        </w:rPr>
        <w:t>זו</w:t>
      </w:r>
      <w:r>
        <w:rPr>
          <w:rStyle w:val="default"/>
          <w:rFonts w:cs="FrankRuehl" w:hint="cs"/>
          <w:rtl/>
        </w:rPr>
        <w:t>לת אם נאמר אחרת בכל</w:t>
      </w:r>
      <w:r>
        <w:rPr>
          <w:rStyle w:val="default"/>
          <w:rFonts w:cs="FrankRuehl"/>
          <w:rtl/>
        </w:rPr>
        <w:t>לי</w:t>
      </w:r>
      <w:r>
        <w:rPr>
          <w:rStyle w:val="default"/>
          <w:rFonts w:cs="FrankRuehl" w:hint="cs"/>
          <w:rtl/>
        </w:rPr>
        <w:t xml:space="preserve"> פטור סוג, רשאי אדם להסתמך על פטור סוג רק אם כל הכבילות שבהסכם, שאינן פטורות מכוח אותו פטור סוג, אושרו בהתאם לחוק.</w:t>
      </w:r>
    </w:p>
    <w:p w14:paraId="58AD08F3" w14:textId="77777777" w:rsidR="00E257D4" w:rsidRDefault="00E257D4">
      <w:pPr>
        <w:pStyle w:val="P00"/>
        <w:spacing w:before="72"/>
        <w:ind w:left="0" w:right="1134"/>
        <w:rPr>
          <w:rStyle w:val="default"/>
          <w:rFonts w:cs="FrankRuehl"/>
          <w:rtl/>
        </w:rPr>
      </w:pPr>
      <w:bookmarkStart w:id="7" w:name="Seif5"/>
      <w:bookmarkEnd w:id="7"/>
      <w:r>
        <w:rPr>
          <w:lang w:val="he-IL"/>
        </w:rPr>
        <w:pict w14:anchorId="27AE98E7">
          <v:rect id="_x0000_s1031" style="position:absolute;left:0;text-align:left;margin-left:464.5pt;margin-top:8.05pt;width:75.05pt;height:16pt;z-index:251657728" o:allowincell="f" filled="f" stroked="f" strokecolor="lime" strokeweight=".25pt">
            <v:textbox inset="0,0,0,0">
              <w:txbxContent>
                <w:p w14:paraId="6D5CC5F4" w14:textId="77777777" w:rsidR="00E257D4" w:rsidRDefault="00E257D4" w:rsidP="00D53815">
                  <w:pPr>
                    <w:spacing w:line="160" w:lineRule="exact"/>
                    <w:jc w:val="left"/>
                    <w:rPr>
                      <w:rFonts w:cs="Miriam"/>
                      <w:noProof/>
                      <w:sz w:val="18"/>
                      <w:szCs w:val="18"/>
                      <w:rtl/>
                    </w:rPr>
                  </w:pPr>
                  <w:r>
                    <w:rPr>
                      <w:rFonts w:cs="Miriam"/>
                      <w:sz w:val="18"/>
                      <w:szCs w:val="18"/>
                      <w:rtl/>
                    </w:rPr>
                    <w:t>אי</w:t>
                  </w:r>
                  <w:r w:rsidR="00D53815">
                    <w:rPr>
                      <w:rFonts w:cs="Miriam" w:hint="cs"/>
                      <w:sz w:val="18"/>
                      <w:szCs w:val="18"/>
                      <w:rtl/>
                    </w:rPr>
                    <w:t>-</w:t>
                  </w:r>
                  <w:r>
                    <w:rPr>
                      <w:rFonts w:cs="Miriam" w:hint="cs"/>
                      <w:sz w:val="18"/>
                      <w:szCs w:val="18"/>
                      <w:rtl/>
                    </w:rPr>
                    <w:t>פיצול</w:t>
                  </w:r>
                  <w:r w:rsidR="00D53815">
                    <w:rPr>
                      <w:rFonts w:cs="Miriam" w:hint="cs"/>
                      <w:sz w:val="18"/>
                      <w:szCs w:val="18"/>
                      <w:rtl/>
                    </w:rPr>
                    <w:t xml:space="preserve"> </w:t>
                  </w:r>
                  <w:r>
                    <w:rPr>
                      <w:rFonts w:cs="Miriam"/>
                      <w:sz w:val="18"/>
                      <w:szCs w:val="18"/>
                      <w:rtl/>
                    </w:rPr>
                    <w:t>פט</w:t>
                  </w:r>
                  <w:r>
                    <w:rPr>
                      <w:rFonts w:cs="Miriam" w:hint="cs"/>
                      <w:sz w:val="18"/>
                      <w:szCs w:val="18"/>
                      <w:rtl/>
                    </w:rPr>
                    <w:t>ורים</w:t>
                  </w:r>
                </w:p>
              </w:txbxContent>
            </v:textbox>
            <w10:anchorlock/>
          </v:rect>
        </w:pict>
      </w:r>
      <w:r>
        <w:rPr>
          <w:rStyle w:val="big-number"/>
          <w:rFonts w:cs="Miriam"/>
          <w:rtl/>
        </w:rPr>
        <w:t>6.</w:t>
      </w:r>
      <w:r>
        <w:rPr>
          <w:rStyle w:val="big-number"/>
          <w:rFonts w:cs="Miriam"/>
          <w:rtl/>
        </w:rPr>
        <w:tab/>
      </w:r>
      <w:r>
        <w:rPr>
          <w:rStyle w:val="default"/>
          <w:rFonts w:cs="FrankRuehl"/>
          <w:rtl/>
        </w:rPr>
        <w:t>זו</w:t>
      </w:r>
      <w:r>
        <w:rPr>
          <w:rStyle w:val="default"/>
          <w:rFonts w:cs="FrankRuehl" w:hint="cs"/>
          <w:rtl/>
        </w:rPr>
        <w:t xml:space="preserve">לת אם נאמר אחרת בכללי פטור סוג, רשאי אדם להסתמך ביחס לאותו הסכם על פטורי סוג שונים רק אם </w:t>
      </w:r>
      <w:r>
        <w:rPr>
          <w:rStyle w:val="default"/>
          <w:rFonts w:cs="FrankRuehl"/>
          <w:rtl/>
        </w:rPr>
        <w:t>הת</w:t>
      </w:r>
      <w:r>
        <w:rPr>
          <w:rStyle w:val="default"/>
          <w:rFonts w:cs="FrankRuehl" w:hint="cs"/>
          <w:rtl/>
        </w:rPr>
        <w:t>קיימו בכל פטור סוג שהוא מסתמך עלי</w:t>
      </w:r>
      <w:r>
        <w:rPr>
          <w:rStyle w:val="default"/>
          <w:rFonts w:cs="FrankRuehl"/>
          <w:rtl/>
        </w:rPr>
        <w:t>ו</w:t>
      </w:r>
      <w:r>
        <w:rPr>
          <w:rStyle w:val="default"/>
          <w:rFonts w:cs="FrankRuehl" w:hint="cs"/>
          <w:rtl/>
        </w:rPr>
        <w:t xml:space="preserve"> כל תנאיו.</w:t>
      </w:r>
    </w:p>
    <w:p w14:paraId="013D2F1E" w14:textId="77777777" w:rsidR="00E257D4" w:rsidRDefault="00E257D4">
      <w:pPr>
        <w:pStyle w:val="P00"/>
        <w:spacing w:before="72"/>
        <w:ind w:left="0" w:right="1134"/>
        <w:rPr>
          <w:rStyle w:val="default"/>
          <w:rFonts w:cs="FrankRuehl"/>
          <w:rtl/>
        </w:rPr>
      </w:pPr>
      <w:bookmarkStart w:id="8" w:name="Seif6"/>
      <w:bookmarkEnd w:id="8"/>
      <w:r>
        <w:rPr>
          <w:lang w:val="he-IL"/>
        </w:rPr>
        <w:pict w14:anchorId="702CA544">
          <v:rect id="_x0000_s1032" style="position:absolute;left:0;text-align:left;margin-left:464.5pt;margin-top:8.05pt;width:75.05pt;height:17.95pt;z-index:251658752" o:allowincell="f" filled="f" stroked="f" strokecolor="lime" strokeweight=".25pt">
            <v:textbox inset="0,0,0,0">
              <w:txbxContent>
                <w:p w14:paraId="2E602702" w14:textId="77777777" w:rsidR="00E257D4" w:rsidRDefault="00E257D4" w:rsidP="00D53815">
                  <w:pPr>
                    <w:spacing w:line="160" w:lineRule="exact"/>
                    <w:jc w:val="left"/>
                    <w:rPr>
                      <w:rFonts w:cs="Miriam"/>
                      <w:noProof/>
                      <w:sz w:val="18"/>
                      <w:szCs w:val="18"/>
                      <w:rtl/>
                    </w:rPr>
                  </w:pPr>
                  <w:r>
                    <w:rPr>
                      <w:rFonts w:cs="Miriam"/>
                      <w:sz w:val="18"/>
                      <w:szCs w:val="18"/>
                      <w:rtl/>
                    </w:rPr>
                    <w:t>פר</w:t>
                  </w:r>
                  <w:r>
                    <w:rPr>
                      <w:rFonts w:cs="Miriam" w:hint="cs"/>
                      <w:sz w:val="18"/>
                      <w:szCs w:val="18"/>
                      <w:rtl/>
                    </w:rPr>
                    <w:t>שנות תנאי ש</w:t>
                  </w:r>
                  <w:r>
                    <w:rPr>
                      <w:rFonts w:cs="Miriam"/>
                      <w:sz w:val="18"/>
                      <w:szCs w:val="18"/>
                      <w:rtl/>
                    </w:rPr>
                    <w:t>ע</w:t>
                  </w:r>
                  <w:r>
                    <w:rPr>
                      <w:rFonts w:cs="Miriam" w:hint="cs"/>
                      <w:sz w:val="18"/>
                      <w:szCs w:val="18"/>
                      <w:rtl/>
                    </w:rPr>
                    <w:t>נינו נתח שוק</w:t>
                  </w:r>
                </w:p>
              </w:txbxContent>
            </v:textbox>
            <w10:anchorlock/>
          </v:rect>
        </w:pict>
      </w:r>
      <w:r>
        <w:rPr>
          <w:rStyle w:val="big-number"/>
          <w:rFonts w:cs="Miriam"/>
          <w:rtl/>
        </w:rPr>
        <w:t>7.</w:t>
      </w:r>
      <w:r>
        <w:rPr>
          <w:rStyle w:val="big-number"/>
          <w:rFonts w:cs="Miriam"/>
          <w:rtl/>
        </w:rPr>
        <w:tab/>
      </w:r>
      <w:r>
        <w:rPr>
          <w:rStyle w:val="default"/>
          <w:rFonts w:cs="FrankRuehl"/>
          <w:rtl/>
        </w:rPr>
        <w:t>נק</w:t>
      </w:r>
      <w:r>
        <w:rPr>
          <w:rStyle w:val="default"/>
          <w:rFonts w:cs="FrankRuehl" w:hint="cs"/>
          <w:rtl/>
        </w:rPr>
        <w:t>בע תנאי שענינו נתח שוק בכללי פטור סוג, יחול התנאי במועד כריתת ההסכם ובכל עת לאחר מכן, זולת אם נאמר אחרת בפטור הסוג.</w:t>
      </w:r>
    </w:p>
    <w:p w14:paraId="23454766" w14:textId="77777777" w:rsidR="00E257D4" w:rsidRDefault="00E257D4">
      <w:pPr>
        <w:pStyle w:val="P00"/>
        <w:spacing w:before="72"/>
        <w:ind w:left="0" w:right="1134"/>
        <w:rPr>
          <w:rStyle w:val="default"/>
          <w:rFonts w:cs="FrankRuehl" w:hint="cs"/>
          <w:rtl/>
        </w:rPr>
      </w:pPr>
      <w:bookmarkStart w:id="9" w:name="Seif7"/>
      <w:bookmarkEnd w:id="9"/>
      <w:r>
        <w:rPr>
          <w:lang w:val="he-IL"/>
        </w:rPr>
        <w:pict w14:anchorId="7BCD0940">
          <v:rect id="_x0000_s1033" style="position:absolute;left:0;text-align:left;margin-left:464.5pt;margin-top:8.05pt;width:75.05pt;height:13.05pt;z-index:251659776" o:allowincell="f" filled="f" stroked="f" strokecolor="lime" strokeweight=".25pt">
            <v:textbox inset="0,0,0,0">
              <w:txbxContent>
                <w:p w14:paraId="61EB1871" w14:textId="77777777" w:rsidR="00E257D4" w:rsidRDefault="00E257D4">
                  <w:pPr>
                    <w:spacing w:line="160" w:lineRule="exact"/>
                    <w:jc w:val="left"/>
                    <w:rPr>
                      <w:rFonts w:cs="Miriam"/>
                      <w:noProof/>
                      <w:sz w:val="18"/>
                      <w:szCs w:val="18"/>
                      <w:rtl/>
                    </w:rPr>
                  </w:pPr>
                  <w:r>
                    <w:rPr>
                      <w:rFonts w:cs="Miriam"/>
                      <w:sz w:val="18"/>
                      <w:szCs w:val="18"/>
                      <w:rtl/>
                    </w:rPr>
                    <w:t>כת</w:t>
                  </w:r>
                  <w:r>
                    <w:rPr>
                      <w:rFonts w:cs="Miriam" w:hint="cs"/>
                      <w:sz w:val="18"/>
                      <w:szCs w:val="18"/>
                      <w:rtl/>
                    </w:rPr>
                    <w:t>ב כראיה</w:t>
                  </w:r>
                </w:p>
              </w:txbxContent>
            </v:textbox>
            <w10:anchorlock/>
          </v:rect>
        </w:pict>
      </w:r>
      <w:r>
        <w:rPr>
          <w:rStyle w:val="big-number"/>
          <w:rFonts w:cs="Miriam"/>
          <w:rtl/>
        </w:rPr>
        <w:t>8.</w:t>
      </w:r>
      <w:r>
        <w:rPr>
          <w:rStyle w:val="big-number"/>
          <w:rFonts w:cs="Miriam"/>
          <w:rtl/>
        </w:rPr>
        <w:tab/>
      </w:r>
      <w:r>
        <w:rPr>
          <w:rStyle w:val="default"/>
          <w:rFonts w:cs="FrankRuehl"/>
          <w:rtl/>
        </w:rPr>
        <w:t>אם</w:t>
      </w:r>
      <w:r>
        <w:rPr>
          <w:rStyle w:val="default"/>
          <w:rFonts w:cs="FrankRuehl" w:hint="cs"/>
          <w:rtl/>
        </w:rPr>
        <w:t xml:space="preserve"> לא נאמר אחרת בפטור סוג </w:t>
      </w:r>
      <w:r w:rsidR="001678E8">
        <w:rPr>
          <w:rStyle w:val="default"/>
          <w:rFonts w:cs="FrankRuehl"/>
          <w:rtl/>
        </w:rPr>
        <w:t>–</w:t>
      </w:r>
    </w:p>
    <w:p w14:paraId="33D0E20F" w14:textId="77777777" w:rsidR="00E257D4" w:rsidRDefault="00E257D4" w:rsidP="001678E8">
      <w:pPr>
        <w:pStyle w:val="P11"/>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עשה הסכם בעל פה </w:t>
      </w:r>
      <w:r w:rsidR="001678E8">
        <w:rPr>
          <w:rStyle w:val="default"/>
          <w:rFonts w:cs="FrankRuehl" w:hint="cs"/>
          <w:rtl/>
        </w:rPr>
        <w:t>-</w:t>
      </w:r>
      <w:r>
        <w:rPr>
          <w:rStyle w:val="default"/>
          <w:rFonts w:cs="FrankRuehl"/>
          <w:rtl/>
        </w:rPr>
        <w:t xml:space="preserve"> </w:t>
      </w:r>
      <w:r>
        <w:rPr>
          <w:rStyle w:val="default"/>
          <w:rFonts w:cs="FrankRuehl" w:hint="cs"/>
          <w:rtl/>
        </w:rPr>
        <w:t xml:space="preserve">חזקה כי אין מתקיימים בו התנאים </w:t>
      </w:r>
      <w:r>
        <w:rPr>
          <w:rStyle w:val="default"/>
          <w:rFonts w:cs="FrankRuehl"/>
          <w:rtl/>
        </w:rPr>
        <w:t>שה</w:t>
      </w:r>
      <w:r>
        <w:rPr>
          <w:rStyle w:val="default"/>
          <w:rFonts w:cs="FrankRuehl" w:hint="cs"/>
          <w:rtl/>
        </w:rPr>
        <w:t>תנה פטור סוג לתחולתו;</w:t>
      </w:r>
    </w:p>
    <w:p w14:paraId="6F7D1BCC" w14:textId="77777777" w:rsidR="00E257D4" w:rsidRDefault="00E257D4">
      <w:pPr>
        <w:pStyle w:val="P11"/>
        <w:spacing w:before="72"/>
        <w:ind w:left="624" w:right="1134"/>
        <w:rPr>
          <w:rStyle w:val="default"/>
          <w:rFonts w:cs="FrankRuehl"/>
          <w:rtl/>
        </w:rPr>
      </w:pPr>
      <w:r>
        <w:rPr>
          <w:rFonts w:cs="FrankRuehl"/>
          <w:rtl/>
          <w:lang w:val="he-IL"/>
        </w:rPr>
        <w:pict w14:anchorId="03E8DDA8">
          <v:shape id="_x0000_s1036" type="#_x0000_t202" style="position:absolute;left:0;text-align:left;margin-left:470.25pt;margin-top:7.1pt;width:1in;height:11.2pt;z-index:251662848" filled="f" stroked="f">
            <v:textbox inset="1mm,0,1mm,0">
              <w:txbxContent>
                <w:p w14:paraId="0A3C37B6" w14:textId="77777777" w:rsidR="00E257D4" w:rsidRDefault="00E257D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(2)</w:t>
      </w:r>
      <w:r>
        <w:rPr>
          <w:rStyle w:val="default"/>
          <w:rFonts w:cs="FrankRuehl"/>
          <w:rtl/>
        </w:rPr>
        <w:tab/>
      </w:r>
      <w:r>
        <w:rPr>
          <w:rStyle w:val="default"/>
          <w:rFonts w:cs="FrankRuehl" w:hint="cs"/>
          <w:rtl/>
        </w:rPr>
        <w:t>(נמחקה);</w:t>
      </w:r>
    </w:p>
    <w:p w14:paraId="2DA0481A" w14:textId="77777777" w:rsidR="00E257D4" w:rsidRDefault="00E257D4" w:rsidP="001678E8">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נ</w:t>
      </w:r>
      <w:r>
        <w:rPr>
          <w:rStyle w:val="default"/>
          <w:rFonts w:cs="FrankRuehl" w:hint="cs"/>
          <w:rtl/>
        </w:rPr>
        <w:t xml:space="preserve">עשה הסכם בכתב והוארך בעל פה </w:t>
      </w:r>
      <w:r w:rsidR="001678E8">
        <w:rPr>
          <w:rStyle w:val="default"/>
          <w:rFonts w:cs="FrankRuehl" w:hint="cs"/>
          <w:rtl/>
        </w:rPr>
        <w:t>-</w:t>
      </w:r>
      <w:r>
        <w:rPr>
          <w:rStyle w:val="default"/>
          <w:rFonts w:cs="FrankRuehl"/>
          <w:rtl/>
        </w:rPr>
        <w:t xml:space="preserve"> </w:t>
      </w:r>
      <w:r>
        <w:rPr>
          <w:rStyle w:val="default"/>
          <w:rFonts w:cs="FrankRuehl" w:hint="cs"/>
          <w:rtl/>
        </w:rPr>
        <w:t>יראו אותו לתקופה שבה הוארך, כהסכם שנעשה בעל פה, ויחול האמור בפסקה (1).</w:t>
      </w:r>
    </w:p>
    <w:p w14:paraId="78FAC75D" w14:textId="77777777" w:rsidR="00841527" w:rsidRPr="001678E8" w:rsidRDefault="00841527" w:rsidP="00841527">
      <w:pPr>
        <w:pStyle w:val="P00"/>
        <w:tabs>
          <w:tab w:val="clear" w:pos="6259"/>
        </w:tabs>
        <w:spacing w:before="0"/>
        <w:ind w:left="624" w:right="1134"/>
        <w:rPr>
          <w:rFonts w:cs="FrankRuehl" w:hint="cs"/>
          <w:vanish/>
          <w:szCs w:val="20"/>
          <w:shd w:val="clear" w:color="auto" w:fill="FFFF99"/>
          <w:rtl/>
        </w:rPr>
      </w:pPr>
      <w:bookmarkStart w:id="10" w:name="Rov11"/>
      <w:r w:rsidRPr="001678E8">
        <w:rPr>
          <w:rFonts w:cs="FrankRuehl" w:hint="cs"/>
          <w:vanish/>
          <w:color w:val="FF0000"/>
          <w:szCs w:val="20"/>
          <w:shd w:val="clear" w:color="auto" w:fill="FFFF99"/>
          <w:rtl/>
        </w:rPr>
        <w:t>מיום 1.7.2004</w:t>
      </w:r>
    </w:p>
    <w:p w14:paraId="47BF2449" w14:textId="77777777" w:rsidR="00841527" w:rsidRPr="001678E8" w:rsidRDefault="00841527" w:rsidP="00841527">
      <w:pPr>
        <w:pStyle w:val="P00"/>
        <w:spacing w:before="0"/>
        <w:ind w:left="624" w:right="1134"/>
        <w:rPr>
          <w:rFonts w:cs="FrankRuehl" w:hint="cs"/>
          <w:b/>
          <w:bCs/>
          <w:vanish/>
          <w:szCs w:val="20"/>
          <w:shd w:val="clear" w:color="auto" w:fill="FFFF99"/>
          <w:rtl/>
        </w:rPr>
      </w:pPr>
      <w:r w:rsidRPr="001678E8">
        <w:rPr>
          <w:rFonts w:cs="FrankRuehl" w:hint="cs"/>
          <w:b/>
          <w:bCs/>
          <w:vanish/>
          <w:szCs w:val="20"/>
          <w:shd w:val="clear" w:color="auto" w:fill="FFFF99"/>
          <w:rtl/>
        </w:rPr>
        <w:t>תק' תשס"ד-2004</w:t>
      </w:r>
    </w:p>
    <w:p w14:paraId="0ADFD4C5" w14:textId="77777777" w:rsidR="00841527" w:rsidRPr="001678E8" w:rsidRDefault="00841527" w:rsidP="00841527">
      <w:pPr>
        <w:pStyle w:val="P00"/>
        <w:spacing w:before="0"/>
        <w:ind w:left="624" w:right="1134"/>
        <w:rPr>
          <w:rFonts w:cs="FrankRuehl" w:hint="cs"/>
          <w:vanish/>
          <w:szCs w:val="20"/>
          <w:shd w:val="clear" w:color="auto" w:fill="FFFF99"/>
          <w:rtl/>
        </w:rPr>
      </w:pPr>
      <w:hyperlink r:id="rId8" w:history="1">
        <w:r w:rsidRPr="001678E8">
          <w:rPr>
            <w:rStyle w:val="Hyperlink"/>
            <w:rFonts w:cs="FrankRuehl" w:hint="cs"/>
            <w:vanish/>
            <w:szCs w:val="20"/>
            <w:shd w:val="clear" w:color="auto" w:fill="FFFF99"/>
            <w:rtl/>
          </w:rPr>
          <w:t>ק"ת תשס"ד מס' 6327</w:t>
        </w:r>
      </w:hyperlink>
      <w:r w:rsidRPr="001678E8">
        <w:rPr>
          <w:rFonts w:cs="FrankRuehl" w:hint="cs"/>
          <w:vanish/>
          <w:szCs w:val="20"/>
          <w:shd w:val="clear" w:color="auto" w:fill="FFFF99"/>
          <w:rtl/>
        </w:rPr>
        <w:t xml:space="preserve"> מיום 1.7.2004 עמ' 751</w:t>
      </w:r>
    </w:p>
    <w:p w14:paraId="47F251A6" w14:textId="77777777" w:rsidR="00841527" w:rsidRPr="001678E8" w:rsidRDefault="00841527" w:rsidP="00841527">
      <w:pPr>
        <w:pStyle w:val="P00"/>
        <w:spacing w:before="0"/>
        <w:ind w:left="624" w:right="1134"/>
        <w:rPr>
          <w:rFonts w:cs="FrankRuehl" w:hint="cs"/>
          <w:b/>
          <w:bCs/>
          <w:vanish/>
          <w:szCs w:val="20"/>
          <w:shd w:val="clear" w:color="auto" w:fill="FFFF99"/>
          <w:rtl/>
        </w:rPr>
      </w:pPr>
      <w:r w:rsidRPr="001678E8">
        <w:rPr>
          <w:rFonts w:cs="FrankRuehl" w:hint="cs"/>
          <w:b/>
          <w:bCs/>
          <w:vanish/>
          <w:szCs w:val="20"/>
          <w:shd w:val="clear" w:color="auto" w:fill="FFFF99"/>
          <w:rtl/>
        </w:rPr>
        <w:t>מחיקת פסקה 8(2)</w:t>
      </w:r>
    </w:p>
    <w:p w14:paraId="36331D1B" w14:textId="77777777" w:rsidR="00841527" w:rsidRPr="001678E8" w:rsidRDefault="00841527" w:rsidP="00841527">
      <w:pPr>
        <w:pStyle w:val="P00"/>
        <w:ind w:left="624" w:right="1134"/>
        <w:rPr>
          <w:rFonts w:cs="FrankRuehl" w:hint="cs"/>
          <w:vanish/>
          <w:szCs w:val="20"/>
          <w:shd w:val="clear" w:color="auto" w:fill="FFFF99"/>
          <w:rtl/>
        </w:rPr>
      </w:pPr>
      <w:r w:rsidRPr="001678E8">
        <w:rPr>
          <w:rFonts w:cs="FrankRuehl" w:hint="cs"/>
          <w:vanish/>
          <w:szCs w:val="20"/>
          <w:shd w:val="clear" w:color="auto" w:fill="FFFF99"/>
          <w:rtl/>
        </w:rPr>
        <w:t>הנוסח הקודם:</w:t>
      </w:r>
    </w:p>
    <w:p w14:paraId="61F05971" w14:textId="77777777" w:rsidR="00841527" w:rsidRPr="00A33624" w:rsidRDefault="00841527" w:rsidP="00A33624">
      <w:pPr>
        <w:pStyle w:val="P00"/>
        <w:spacing w:before="0"/>
        <w:ind w:left="624" w:right="1134"/>
        <w:rPr>
          <w:rFonts w:cs="FrankRuehl" w:hint="cs"/>
          <w:strike/>
          <w:sz w:val="2"/>
          <w:szCs w:val="2"/>
          <w:rtl/>
        </w:rPr>
      </w:pPr>
      <w:r w:rsidRPr="001678E8">
        <w:rPr>
          <w:rFonts w:cs="FrankRuehl" w:hint="cs"/>
          <w:strike/>
          <w:vanish/>
          <w:sz w:val="22"/>
          <w:szCs w:val="22"/>
          <w:shd w:val="clear" w:color="auto" w:fill="FFFF99"/>
          <w:rtl/>
        </w:rPr>
        <w:t>(2)</w:t>
      </w:r>
      <w:r w:rsidRPr="001678E8">
        <w:rPr>
          <w:rFonts w:cs="FrankRuehl" w:hint="cs"/>
          <w:strike/>
          <w:vanish/>
          <w:sz w:val="22"/>
          <w:szCs w:val="22"/>
          <w:shd w:val="clear" w:color="auto" w:fill="FFFF99"/>
          <w:rtl/>
        </w:rPr>
        <w:tab/>
      </w:r>
      <w:r w:rsidR="0062133F" w:rsidRPr="001678E8">
        <w:rPr>
          <w:rFonts w:cs="FrankRuehl" w:hint="cs"/>
          <w:strike/>
          <w:vanish/>
          <w:sz w:val="22"/>
          <w:szCs w:val="22"/>
          <w:shd w:val="clear" w:color="auto" w:fill="FFFF99"/>
          <w:rtl/>
        </w:rPr>
        <w:t xml:space="preserve">נעשה ההסכם בכתב ולא נכתבו בו תנאים שהתנה פטור הסוג לתחולתו </w:t>
      </w:r>
      <w:r w:rsidR="0062133F" w:rsidRPr="001678E8">
        <w:rPr>
          <w:rFonts w:cs="FrankRuehl"/>
          <w:strike/>
          <w:vanish/>
          <w:sz w:val="22"/>
          <w:szCs w:val="22"/>
          <w:shd w:val="clear" w:color="auto" w:fill="FFFF99"/>
          <w:rtl/>
        </w:rPr>
        <w:t>–</w:t>
      </w:r>
      <w:r w:rsidR="0062133F" w:rsidRPr="001678E8">
        <w:rPr>
          <w:rFonts w:cs="FrankRuehl" w:hint="cs"/>
          <w:strike/>
          <w:vanish/>
          <w:sz w:val="22"/>
          <w:szCs w:val="22"/>
          <w:shd w:val="clear" w:color="auto" w:fill="FFFF99"/>
          <w:rtl/>
        </w:rPr>
        <w:t xml:space="preserve"> חזקה כי התנאים האמורים לא התקיימו;</w:t>
      </w:r>
      <w:bookmarkEnd w:id="10"/>
    </w:p>
    <w:p w14:paraId="5CA42C93" w14:textId="77777777" w:rsidR="00841527" w:rsidRDefault="00841527" w:rsidP="001678E8">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rtl/>
        </w:rPr>
      </w:pPr>
    </w:p>
    <w:p w14:paraId="214EEC27" w14:textId="77777777" w:rsidR="00E257D4" w:rsidRDefault="00E257D4" w:rsidP="001678E8">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rtl/>
        </w:rPr>
      </w:pPr>
    </w:p>
    <w:p w14:paraId="6BC66B75" w14:textId="77777777" w:rsidR="00E257D4" w:rsidRPr="001678E8" w:rsidRDefault="00E257D4" w:rsidP="001678E8">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rtl/>
        </w:rPr>
      </w:pPr>
      <w:r w:rsidRPr="001678E8">
        <w:rPr>
          <w:rStyle w:val="default"/>
          <w:rFonts w:cs="FrankRuehl" w:hint="cs"/>
          <w:rtl/>
        </w:rPr>
        <w:t>י</w:t>
      </w:r>
      <w:r w:rsidRPr="001678E8">
        <w:rPr>
          <w:rStyle w:val="default"/>
          <w:rFonts w:cs="FrankRuehl"/>
          <w:rtl/>
        </w:rPr>
        <w:t>"</w:t>
      </w:r>
      <w:r w:rsidRPr="001678E8">
        <w:rPr>
          <w:rStyle w:val="default"/>
          <w:rFonts w:cs="FrankRuehl" w:hint="cs"/>
          <w:rtl/>
        </w:rPr>
        <w:t>ג בכסלו תשס"א (10 בדצמב</w:t>
      </w:r>
      <w:r w:rsidRPr="001678E8">
        <w:rPr>
          <w:rStyle w:val="default"/>
          <w:rFonts w:cs="FrankRuehl"/>
          <w:rtl/>
        </w:rPr>
        <w:t>ר 2000)</w:t>
      </w:r>
      <w:r w:rsidRPr="001678E8">
        <w:rPr>
          <w:rFonts w:cs="FrankRuehl"/>
          <w:rtl/>
        </w:rPr>
        <w:tab/>
        <w:t>ד</w:t>
      </w:r>
      <w:r w:rsidRPr="001678E8">
        <w:rPr>
          <w:rFonts w:cs="FrankRuehl" w:hint="cs"/>
          <w:rtl/>
        </w:rPr>
        <w:t>וד תדמור</w:t>
      </w:r>
      <w:r w:rsidRPr="001678E8">
        <w:rPr>
          <w:rFonts w:cs="FrankRuehl"/>
          <w:rtl/>
        </w:rPr>
        <w:tab/>
        <w:t>א</w:t>
      </w:r>
      <w:r w:rsidRPr="001678E8">
        <w:rPr>
          <w:rFonts w:cs="FrankRuehl" w:hint="cs"/>
          <w:rtl/>
        </w:rPr>
        <w:t>הוד ברק</w:t>
      </w:r>
    </w:p>
    <w:p w14:paraId="361558CC" w14:textId="77777777" w:rsidR="00E257D4" w:rsidRDefault="00E257D4" w:rsidP="001678E8">
      <w:pPr>
        <w:pStyle w:val="sig-1"/>
        <w:widowControl/>
        <w:tabs>
          <w:tab w:val="clear" w:pos="851"/>
          <w:tab w:val="clear" w:pos="2835"/>
          <w:tab w:val="clear" w:pos="4820"/>
          <w:tab w:val="center" w:pos="3969"/>
          <w:tab w:val="center" w:pos="6237"/>
        </w:tabs>
        <w:ind w:left="0" w:right="1134"/>
        <w:rPr>
          <w:rFonts w:cs="FrankRuehl" w:hint="cs"/>
          <w:sz w:val="22"/>
          <w:rtl/>
        </w:rPr>
      </w:pPr>
      <w:r>
        <w:rPr>
          <w:rFonts w:cs="FrankRuehl"/>
          <w:sz w:val="22"/>
          <w:rtl/>
        </w:rPr>
        <w:tab/>
        <w:t>ה</w:t>
      </w:r>
      <w:r>
        <w:rPr>
          <w:rFonts w:cs="FrankRuehl" w:hint="cs"/>
          <w:sz w:val="22"/>
          <w:rtl/>
        </w:rPr>
        <w:t>ממונה על הגבלים עסקיים</w:t>
      </w:r>
      <w:r>
        <w:rPr>
          <w:rFonts w:cs="FrankRuehl"/>
          <w:sz w:val="22"/>
          <w:rtl/>
        </w:rPr>
        <w:tab/>
        <w:t>ש</w:t>
      </w:r>
      <w:r>
        <w:rPr>
          <w:rFonts w:cs="FrankRuehl" w:hint="cs"/>
          <w:sz w:val="22"/>
          <w:rtl/>
        </w:rPr>
        <w:t>ר התעשיה והמסחר</w:t>
      </w:r>
    </w:p>
    <w:p w14:paraId="6BFC5629" w14:textId="77777777" w:rsidR="001678E8" w:rsidRPr="001678E8" w:rsidRDefault="001678E8" w:rsidP="001678E8">
      <w:pPr>
        <w:pStyle w:val="P00"/>
        <w:spacing w:before="72"/>
        <w:ind w:left="0" w:right="1134"/>
        <w:rPr>
          <w:rStyle w:val="default"/>
          <w:rFonts w:cs="FrankRuehl" w:hint="cs"/>
          <w:rtl/>
        </w:rPr>
      </w:pPr>
    </w:p>
    <w:p w14:paraId="4A824ABF" w14:textId="77777777" w:rsidR="001678E8" w:rsidRPr="001678E8" w:rsidRDefault="001678E8" w:rsidP="001678E8">
      <w:pPr>
        <w:pStyle w:val="P00"/>
        <w:spacing w:before="72"/>
        <w:ind w:left="0" w:right="1134"/>
        <w:rPr>
          <w:rStyle w:val="default"/>
          <w:rFonts w:cs="FrankRuehl"/>
          <w:rtl/>
        </w:rPr>
      </w:pPr>
    </w:p>
    <w:p w14:paraId="037A51F0" w14:textId="77777777" w:rsidR="00E257D4" w:rsidRPr="001678E8" w:rsidRDefault="00E257D4" w:rsidP="001678E8">
      <w:pPr>
        <w:pStyle w:val="P00"/>
        <w:spacing w:before="72"/>
        <w:ind w:left="0" w:right="1134"/>
        <w:rPr>
          <w:rStyle w:val="default"/>
          <w:rFonts w:cs="FrankRuehl"/>
          <w:rtl/>
        </w:rPr>
      </w:pPr>
    </w:p>
    <w:sectPr w:rsidR="00E257D4" w:rsidRPr="001678E8">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52223" w14:textId="77777777" w:rsidR="00354B6E" w:rsidRDefault="00354B6E">
      <w:r>
        <w:separator/>
      </w:r>
    </w:p>
  </w:endnote>
  <w:endnote w:type="continuationSeparator" w:id="0">
    <w:p w14:paraId="056DEE0D" w14:textId="77777777" w:rsidR="00354B6E" w:rsidRDefault="00354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CE3B9" w14:textId="77777777" w:rsidR="00E257D4" w:rsidRDefault="00E257D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40907A7" w14:textId="77777777" w:rsidR="00E257D4" w:rsidRDefault="00E257D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977442B" w14:textId="77777777" w:rsidR="00E257D4" w:rsidRDefault="00E257D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241BE">
      <w:rPr>
        <w:rFonts w:cs="TopType Jerushalmi"/>
        <w:noProof/>
        <w:color w:val="000000"/>
        <w:sz w:val="14"/>
        <w:szCs w:val="14"/>
      </w:rPr>
      <w:t>D:\Yael\hakika\Revadim\083_013.doc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DC758" w14:textId="77777777" w:rsidR="00E257D4" w:rsidRDefault="00E257D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78E8">
      <w:rPr>
        <w:rFonts w:hAnsi="FrankRuehl" w:cs="FrankRuehl"/>
        <w:noProof/>
        <w:sz w:val="24"/>
        <w:szCs w:val="24"/>
        <w:rtl/>
      </w:rPr>
      <w:t>2</w:t>
    </w:r>
    <w:r>
      <w:rPr>
        <w:rFonts w:hAnsi="FrankRuehl" w:cs="FrankRuehl"/>
        <w:sz w:val="24"/>
        <w:szCs w:val="24"/>
        <w:rtl/>
      </w:rPr>
      <w:fldChar w:fldCharType="end"/>
    </w:r>
  </w:p>
  <w:p w14:paraId="22256AB0" w14:textId="77777777" w:rsidR="00E257D4" w:rsidRDefault="00E257D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07AB51C" w14:textId="77777777" w:rsidR="00E257D4" w:rsidRDefault="00E257D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241BE">
      <w:rPr>
        <w:rFonts w:cs="TopType Jerushalmi"/>
        <w:noProof/>
        <w:color w:val="000000"/>
        <w:sz w:val="14"/>
        <w:szCs w:val="14"/>
      </w:rPr>
      <w:t>D:\Yael\hakika\Revadim\083_013.doc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C1DD2" w14:textId="77777777" w:rsidR="00354B6E" w:rsidRDefault="00354B6E" w:rsidP="00B241BE">
      <w:pPr>
        <w:spacing w:before="72" w:line="240" w:lineRule="auto"/>
        <w:ind w:right="1134"/>
      </w:pPr>
      <w:r>
        <w:separator/>
      </w:r>
    </w:p>
  </w:footnote>
  <w:footnote w:type="continuationSeparator" w:id="0">
    <w:p w14:paraId="1C9B9701" w14:textId="77777777" w:rsidR="00354B6E" w:rsidRDefault="00354B6E">
      <w:r>
        <w:continuationSeparator/>
      </w:r>
    </w:p>
  </w:footnote>
  <w:footnote w:id="1">
    <w:p w14:paraId="7EC37C70" w14:textId="77777777" w:rsidR="00B241BE" w:rsidRDefault="00B241BE" w:rsidP="00B241BE">
      <w:pPr>
        <w:pStyle w:val="footnote"/>
        <w:tabs>
          <w:tab w:val="left" w:pos="624"/>
          <w:tab w:val="left" w:pos="1021"/>
          <w:tab w:val="left" w:pos="1474"/>
          <w:tab w:val="left" w:pos="1928"/>
          <w:tab w:val="left" w:pos="2381"/>
          <w:tab w:val="left" w:pos="2835"/>
          <w:tab w:val="right" w:leader="dot" w:pos="6259"/>
        </w:tabs>
        <w:ind w:left="340" w:hanging="340"/>
        <w:rPr>
          <w:rFonts w:cs="FrankRuehl" w:hint="cs"/>
          <w:rtl/>
        </w:rPr>
      </w:pPr>
      <w:r w:rsidRPr="00B241BE">
        <w:rPr>
          <w:rFonts w:cs="FrankRuehl"/>
          <w:sz w:val="20"/>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תשס</w:t>
        </w:r>
        <w:r>
          <w:rPr>
            <w:rStyle w:val="Hyperlink"/>
            <w:rFonts w:cs="FrankRuehl" w:hint="cs"/>
            <w:rtl/>
          </w:rPr>
          <w:t>"</w:t>
        </w:r>
        <w:r>
          <w:rPr>
            <w:rStyle w:val="Hyperlink"/>
            <w:rFonts w:cs="FrankRuehl" w:hint="cs"/>
            <w:rtl/>
          </w:rPr>
          <w:t>א מס' 6096</w:t>
        </w:r>
      </w:hyperlink>
      <w:r>
        <w:rPr>
          <w:rFonts w:cs="FrankRuehl" w:hint="cs"/>
          <w:rtl/>
        </w:rPr>
        <w:t xml:space="preserve"> מיום 26.3.20</w:t>
      </w:r>
      <w:r>
        <w:rPr>
          <w:rFonts w:cs="FrankRuehl"/>
          <w:rtl/>
        </w:rPr>
        <w:t>01 ע</w:t>
      </w:r>
      <w:r>
        <w:rPr>
          <w:rFonts w:cs="FrankRuehl" w:hint="cs"/>
          <w:rtl/>
        </w:rPr>
        <w:t>מ' 658.</w:t>
      </w:r>
    </w:p>
    <w:p w14:paraId="2C89CD53" w14:textId="77777777" w:rsidR="00B241BE" w:rsidRPr="00B241BE" w:rsidRDefault="00B241BE" w:rsidP="00B241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Pr>
      </w:pPr>
      <w:r>
        <w:rPr>
          <w:rFonts w:cs="FrankRuehl" w:hint="cs"/>
          <w:rtl/>
        </w:rPr>
        <w:t xml:space="preserve">תוקנו </w:t>
      </w:r>
      <w:hyperlink r:id="rId2" w:history="1">
        <w:r>
          <w:rPr>
            <w:rStyle w:val="Hyperlink"/>
            <w:rFonts w:cs="FrankRuehl" w:hint="cs"/>
            <w:rtl/>
          </w:rPr>
          <w:t>ק"ת ת</w:t>
        </w:r>
        <w:r>
          <w:rPr>
            <w:rStyle w:val="Hyperlink"/>
            <w:rFonts w:cs="FrankRuehl" w:hint="cs"/>
            <w:rtl/>
          </w:rPr>
          <w:t>ש</w:t>
        </w:r>
        <w:r>
          <w:rPr>
            <w:rStyle w:val="Hyperlink"/>
            <w:rFonts w:cs="FrankRuehl" w:hint="cs"/>
            <w:rtl/>
          </w:rPr>
          <w:t>ס"ד מס' 6327</w:t>
        </w:r>
      </w:hyperlink>
      <w:r>
        <w:rPr>
          <w:rFonts w:cs="FrankRuehl" w:hint="cs"/>
          <w:rtl/>
        </w:rPr>
        <w:t xml:space="preserve"> מיום 1.7.2004 עמ' 750 </w:t>
      </w:r>
      <w:r>
        <w:rPr>
          <w:rFonts w:cs="FrankRuehl"/>
          <w:rtl/>
        </w:rPr>
        <w:t>–</w:t>
      </w:r>
      <w:r>
        <w:rPr>
          <w:rFonts w:cs="FrankRuehl" w:hint="cs"/>
          <w:rtl/>
        </w:rPr>
        <w:t xml:space="preserve"> תק' תשס"ד-2004.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2C9A1" w14:textId="77777777" w:rsidR="00E257D4" w:rsidRDefault="00E257D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ההגבלים העסקיים (הוראות והגדרות כלליות), תשס"א–2001</w:t>
    </w:r>
  </w:p>
  <w:p w14:paraId="636DEF24" w14:textId="77777777" w:rsidR="00E257D4" w:rsidRDefault="00E257D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7C2720" w14:textId="77777777" w:rsidR="00E257D4" w:rsidRDefault="00E257D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2C71" w14:textId="77777777" w:rsidR="00E257D4" w:rsidRDefault="00E257D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ההגבלים העסקיים (הוראות והגדרות כלליות), תשס"א</w:t>
    </w:r>
    <w:r>
      <w:rPr>
        <w:rFonts w:hAnsi="FrankRuehl" w:cs="FrankRuehl" w:hint="cs"/>
        <w:color w:val="000000"/>
        <w:sz w:val="28"/>
        <w:szCs w:val="28"/>
        <w:rtl/>
      </w:rPr>
      <w:t>-</w:t>
    </w:r>
    <w:r>
      <w:rPr>
        <w:rFonts w:hAnsi="FrankRuehl" w:cs="FrankRuehl"/>
        <w:color w:val="000000"/>
        <w:sz w:val="28"/>
        <w:szCs w:val="28"/>
        <w:rtl/>
      </w:rPr>
      <w:t>2001</w:t>
    </w:r>
  </w:p>
  <w:p w14:paraId="6BA6D692" w14:textId="77777777" w:rsidR="00E257D4" w:rsidRDefault="00E257D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8291FA" w14:textId="77777777" w:rsidR="00E257D4" w:rsidRDefault="00E257D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57D4"/>
    <w:rsid w:val="0004163E"/>
    <w:rsid w:val="00136960"/>
    <w:rsid w:val="001678E8"/>
    <w:rsid w:val="001834F0"/>
    <w:rsid w:val="001D64F1"/>
    <w:rsid w:val="003129B7"/>
    <w:rsid w:val="00354B6E"/>
    <w:rsid w:val="003666CB"/>
    <w:rsid w:val="005427A3"/>
    <w:rsid w:val="005B65A0"/>
    <w:rsid w:val="0062133F"/>
    <w:rsid w:val="00646A2F"/>
    <w:rsid w:val="007C0F17"/>
    <w:rsid w:val="007D5F7A"/>
    <w:rsid w:val="0080239D"/>
    <w:rsid w:val="00841527"/>
    <w:rsid w:val="009536BE"/>
    <w:rsid w:val="00A33624"/>
    <w:rsid w:val="00AF4387"/>
    <w:rsid w:val="00B241BE"/>
    <w:rsid w:val="00BE53C3"/>
    <w:rsid w:val="00D25695"/>
    <w:rsid w:val="00D35A44"/>
    <w:rsid w:val="00D53815"/>
    <w:rsid w:val="00E257D4"/>
    <w:rsid w:val="00E6144D"/>
    <w:rsid w:val="00EE5453"/>
    <w:rsid w:val="00F6340E"/>
    <w:rsid w:val="00F66C97"/>
    <w:rsid w:val="00F872EC"/>
    <w:rsid w:val="00FF4A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E916078"/>
  <w15:chartTrackingRefBased/>
  <w15:docId w15:val="{30C4A10B-E0E3-4E19-843A-BCFA68C6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327.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327.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327.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327.pdf" TargetMode="External"/><Relationship Id="rId1" Type="http://schemas.openxmlformats.org/officeDocument/2006/relationships/hyperlink" Target="http://www.nevo.co.il/Law_word/law06/TAK-60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1117</Words>
  <Characters>6372</Characters>
  <Application>Microsoft Office Word</Application>
  <DocSecurity>0</DocSecurity>
  <Lines>53</Lines>
  <Paragraphs>14</Paragraphs>
  <ScaleCrop>false</ScaleCrop>
  <HeadingPairs>
    <vt:vector size="2" baseType="variant">
      <vt:variant>
        <vt:lpstr>שם</vt:lpstr>
      </vt:variant>
      <vt:variant>
        <vt:i4>1</vt:i4>
      </vt:variant>
    </vt:vector>
  </HeadingPairs>
  <TitlesOfParts>
    <vt:vector size="1" baseType="lpstr">
      <vt:lpstr>פרק 83</vt:lpstr>
    </vt:vector>
  </TitlesOfParts>
  <Company/>
  <LinksUpToDate>false</LinksUpToDate>
  <CharactersWithSpaces>7475</CharactersWithSpaces>
  <SharedDoc>false</SharedDoc>
  <HLinks>
    <vt:vector size="78" baseType="variant">
      <vt:variant>
        <vt:i4>8192012</vt:i4>
      </vt:variant>
      <vt:variant>
        <vt:i4>54</vt:i4>
      </vt:variant>
      <vt:variant>
        <vt:i4>0</vt:i4>
      </vt:variant>
      <vt:variant>
        <vt:i4>5</vt:i4>
      </vt:variant>
      <vt:variant>
        <vt:lpwstr>http://www.nevo.co.il/Law_word/law06/TAK-6327.pdf</vt:lpwstr>
      </vt:variant>
      <vt:variant>
        <vt:lpwstr/>
      </vt:variant>
      <vt:variant>
        <vt:i4>8192012</vt:i4>
      </vt:variant>
      <vt:variant>
        <vt:i4>51</vt:i4>
      </vt:variant>
      <vt:variant>
        <vt:i4>0</vt:i4>
      </vt:variant>
      <vt:variant>
        <vt:i4>5</vt:i4>
      </vt:variant>
      <vt:variant>
        <vt:lpwstr>http://www.nevo.co.il/Law_word/law06/TAK-6327.pdf</vt:lpwstr>
      </vt:variant>
      <vt:variant>
        <vt:lpwstr/>
      </vt:variant>
      <vt:variant>
        <vt:i4>8192012</vt:i4>
      </vt:variant>
      <vt:variant>
        <vt:i4>48</vt:i4>
      </vt:variant>
      <vt:variant>
        <vt:i4>0</vt:i4>
      </vt:variant>
      <vt:variant>
        <vt:i4>5</vt:i4>
      </vt:variant>
      <vt:variant>
        <vt:lpwstr>http://www.nevo.co.il/Law_word/law06/TAK-6327.pdf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8192012</vt:i4>
      </vt:variant>
      <vt:variant>
        <vt:i4>3</vt:i4>
      </vt:variant>
      <vt:variant>
        <vt:i4>0</vt:i4>
      </vt:variant>
      <vt:variant>
        <vt:i4>5</vt:i4>
      </vt:variant>
      <vt:variant>
        <vt:lpwstr>http://www.nevo.co.il/Law_word/law06/TAK-6327.pdf</vt:lpwstr>
      </vt:variant>
      <vt:variant>
        <vt:lpwstr/>
      </vt:variant>
      <vt:variant>
        <vt:i4>7733262</vt:i4>
      </vt:variant>
      <vt:variant>
        <vt:i4>0</vt:i4>
      </vt:variant>
      <vt:variant>
        <vt:i4>0</vt:i4>
      </vt:variant>
      <vt:variant>
        <vt:i4>5</vt:i4>
      </vt:variant>
      <vt:variant>
        <vt:lpwstr>http://www.nevo.co.il/Law_word/law06/TAK-6096.pdf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83</dc:title>
  <dc:subject/>
  <dc:creator>eli</dc:creator>
  <cp:keywords/>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0083</vt:lpwstr>
  </property>
  <property fmtid="{D5CDD505-2E9C-101B-9397-08002B2CF9AE}" pid="3" name="CHNAME">
    <vt:lpwstr>הגבלים עסקיים</vt:lpwstr>
  </property>
  <property fmtid="{D5CDD505-2E9C-101B-9397-08002B2CF9AE}" pid="4" name="LAWNAME">
    <vt:lpwstr>כללי ההגבלים העסקיים (הוראות והגדרות כלליות), תשס"א-2001 - רבדים</vt:lpwstr>
  </property>
  <property fmtid="{D5CDD505-2E9C-101B-9397-08002B2CF9AE}" pid="5" name="LAWNUMBER">
    <vt:lpwstr>0013</vt:lpwstr>
  </property>
  <property fmtid="{D5CDD505-2E9C-101B-9397-08002B2CF9AE}" pid="6" name="TYPE">
    <vt:lpwstr>01</vt:lpwstr>
  </property>
  <property fmtid="{D5CDD505-2E9C-101B-9397-08002B2CF9AE}" pid="7" name="LINKK1">
    <vt:lpwstr>http://www.nevo.co.il/Law_word/law06/TAK-6327.pdf;רשומות - תקנות כלליות#ק"ת תשס"ד מס' 6327#מיום 1.7.2004 עמ' 750#תק' תשס"ד-2004.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חוק ההגבלים העסקיים</vt:lpwstr>
  </property>
  <property fmtid="{D5CDD505-2E9C-101B-9397-08002B2CF9AE}" pid="18" name="MEKOR_SAIF1">
    <vt:lpwstr>15אX</vt:lpwstr>
  </property>
  <property fmtid="{D5CDD505-2E9C-101B-9397-08002B2CF9AE}" pid="19" name="NOSE11">
    <vt:lpwstr>משפט פרטי וכלכלה</vt:lpwstr>
  </property>
  <property fmtid="{D5CDD505-2E9C-101B-9397-08002B2CF9AE}" pid="20" name="NOSE21">
    <vt:lpwstr>מסחר </vt:lpwstr>
  </property>
  <property fmtid="{D5CDD505-2E9C-101B-9397-08002B2CF9AE}" pid="21" name="NOSE31">
    <vt:lpwstr>הגבלים עסקיים</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ies>
</file>