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E6C" w14:textId="77777777" w:rsidR="009B0FFC" w:rsidRDefault="009B0FFC" w:rsidP="0014692A">
      <w:pPr>
        <w:pStyle w:val="big-header"/>
        <w:ind w:left="0" w:right="1134"/>
        <w:rPr>
          <w:rFonts w:hint="cs"/>
          <w:rtl/>
        </w:rPr>
      </w:pPr>
      <w:r>
        <w:rPr>
          <w:rtl/>
        </w:rPr>
        <w:t>כללי השפיטה (סדרי העבודה בענין סיום כהונת שופט לפי החלטה של הועדה לבחירת שופטים), תשמ"ז</w:t>
      </w:r>
      <w:r w:rsidR="0014692A">
        <w:rPr>
          <w:rFonts w:hint="cs"/>
          <w:rtl/>
        </w:rPr>
        <w:t>-</w:t>
      </w:r>
      <w:r>
        <w:rPr>
          <w:rtl/>
        </w:rPr>
        <w:t>1986</w:t>
      </w:r>
    </w:p>
    <w:p w14:paraId="20876A0F" w14:textId="77777777" w:rsidR="005D71D0" w:rsidRPr="005D71D0" w:rsidRDefault="005D71D0" w:rsidP="005D71D0">
      <w:pPr>
        <w:spacing w:line="320" w:lineRule="auto"/>
        <w:jc w:val="left"/>
        <w:rPr>
          <w:rFonts w:cs="FrankRuehl"/>
          <w:szCs w:val="26"/>
          <w:rtl/>
        </w:rPr>
      </w:pPr>
    </w:p>
    <w:p w14:paraId="05FC7D3F" w14:textId="77777777" w:rsidR="005D71D0" w:rsidRDefault="005D71D0" w:rsidP="005D71D0">
      <w:pPr>
        <w:spacing w:line="320" w:lineRule="auto"/>
        <w:jc w:val="left"/>
        <w:rPr>
          <w:rFonts w:cs="Miriam"/>
          <w:szCs w:val="22"/>
          <w:rtl/>
        </w:rPr>
      </w:pPr>
      <w:r w:rsidRPr="005D71D0">
        <w:rPr>
          <w:rFonts w:cs="Miriam"/>
          <w:szCs w:val="22"/>
          <w:rtl/>
        </w:rPr>
        <w:t>בתי משפט וסדרי דין</w:t>
      </w:r>
      <w:r w:rsidRPr="005D71D0">
        <w:rPr>
          <w:rFonts w:cs="FrankRuehl"/>
          <w:szCs w:val="26"/>
          <w:rtl/>
        </w:rPr>
        <w:t xml:space="preserve"> – בתי משפט ובתי דין – שופטים – בחירת שופטים</w:t>
      </w:r>
    </w:p>
    <w:p w14:paraId="425D8B6A" w14:textId="77777777" w:rsidR="005D71D0" w:rsidRDefault="005D71D0" w:rsidP="005D71D0">
      <w:pPr>
        <w:spacing w:line="320" w:lineRule="auto"/>
        <w:jc w:val="left"/>
        <w:rPr>
          <w:rFonts w:cs="Miriam"/>
          <w:szCs w:val="22"/>
          <w:rtl/>
        </w:rPr>
      </w:pPr>
      <w:r w:rsidRPr="005D71D0">
        <w:rPr>
          <w:rFonts w:cs="Miriam"/>
          <w:szCs w:val="22"/>
          <w:rtl/>
        </w:rPr>
        <w:t>משפט פרטי וכלכלה</w:t>
      </w:r>
      <w:r w:rsidRPr="005D71D0">
        <w:rPr>
          <w:rFonts w:cs="FrankRuehl"/>
          <w:szCs w:val="26"/>
          <w:rtl/>
        </w:rPr>
        <w:t xml:space="preserve"> – הסדרת עיסוק – שופטים – בחירת שופטים</w:t>
      </w:r>
    </w:p>
    <w:p w14:paraId="19BA3DD2" w14:textId="77777777" w:rsidR="005D71D0" w:rsidRPr="005D71D0" w:rsidRDefault="005D71D0" w:rsidP="005D71D0">
      <w:pPr>
        <w:spacing w:line="320" w:lineRule="auto"/>
        <w:jc w:val="left"/>
        <w:rPr>
          <w:rFonts w:cs="Miriam" w:hint="cs"/>
          <w:szCs w:val="22"/>
          <w:rtl/>
        </w:rPr>
      </w:pPr>
      <w:r w:rsidRPr="005D71D0">
        <w:rPr>
          <w:rFonts w:cs="Miriam"/>
          <w:szCs w:val="22"/>
          <w:rtl/>
        </w:rPr>
        <w:t>רשויות ומשפט מנהלי</w:t>
      </w:r>
      <w:r w:rsidRPr="005D71D0">
        <w:rPr>
          <w:rFonts w:cs="FrankRuehl"/>
          <w:szCs w:val="26"/>
          <w:rtl/>
        </w:rPr>
        <w:t xml:space="preserve"> – הסדרת עיסוק – שופטים – בחירת שופטים</w:t>
      </w:r>
    </w:p>
    <w:p w14:paraId="18E272BD" w14:textId="77777777" w:rsidR="009B0FFC" w:rsidRDefault="009B0FF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B0FFC" w14:paraId="1E24E909" w14:textId="77777777">
        <w:tblPrEx>
          <w:tblCellMar>
            <w:top w:w="0" w:type="dxa"/>
            <w:bottom w:w="0" w:type="dxa"/>
          </w:tblCellMar>
        </w:tblPrEx>
        <w:tc>
          <w:tcPr>
            <w:tcW w:w="850" w:type="dxa"/>
          </w:tcPr>
          <w:p w14:paraId="42588125"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585F4307" w14:textId="77777777" w:rsidR="009B0FFC" w:rsidRDefault="009B0FFC">
            <w:pPr>
              <w:spacing w:line="240" w:lineRule="auto"/>
              <w:rPr>
                <w:sz w:val="24"/>
              </w:rPr>
            </w:pPr>
            <w:hyperlink w:anchor="Seif0" w:tooltip="סמכותה של ועדת הבחירה" w:history="1">
              <w:r>
                <w:rPr>
                  <w:rStyle w:val="Hyperlink"/>
                </w:rPr>
                <w:t>Go</w:t>
              </w:r>
            </w:hyperlink>
          </w:p>
        </w:tc>
        <w:tc>
          <w:tcPr>
            <w:tcW w:w="5669" w:type="dxa"/>
          </w:tcPr>
          <w:p w14:paraId="599B5489" w14:textId="77777777" w:rsidR="009B0FFC" w:rsidRDefault="009B0FFC">
            <w:pPr>
              <w:spacing w:line="240" w:lineRule="auto"/>
              <w:rPr>
                <w:sz w:val="24"/>
                <w:rtl/>
              </w:rPr>
            </w:pPr>
            <w:r>
              <w:rPr>
                <w:sz w:val="24"/>
                <w:rtl/>
              </w:rPr>
              <w:t>סמכותה של ועדת הבחירה</w:t>
            </w:r>
          </w:p>
        </w:tc>
        <w:tc>
          <w:tcPr>
            <w:tcW w:w="1247" w:type="dxa"/>
          </w:tcPr>
          <w:p w14:paraId="3706E250" w14:textId="77777777" w:rsidR="009B0FFC" w:rsidRDefault="009B0FFC">
            <w:pPr>
              <w:spacing w:line="240" w:lineRule="auto"/>
              <w:rPr>
                <w:sz w:val="24"/>
              </w:rPr>
            </w:pPr>
            <w:r>
              <w:rPr>
                <w:sz w:val="24"/>
                <w:rtl/>
              </w:rPr>
              <w:t xml:space="preserve">סעיף 1 </w:t>
            </w:r>
          </w:p>
        </w:tc>
      </w:tr>
      <w:tr w:rsidR="009B0FFC" w14:paraId="18892DB0" w14:textId="77777777">
        <w:tblPrEx>
          <w:tblCellMar>
            <w:top w:w="0" w:type="dxa"/>
            <w:bottom w:w="0" w:type="dxa"/>
          </w:tblCellMar>
        </w:tblPrEx>
        <w:tc>
          <w:tcPr>
            <w:tcW w:w="850" w:type="dxa"/>
          </w:tcPr>
          <w:p w14:paraId="090CCD2C"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4B27CEBA" w14:textId="77777777" w:rsidR="009B0FFC" w:rsidRDefault="009B0FFC">
            <w:pPr>
              <w:spacing w:line="240" w:lineRule="auto"/>
              <w:rPr>
                <w:sz w:val="24"/>
              </w:rPr>
            </w:pPr>
            <w:hyperlink w:anchor="Seif1" w:tooltip="נוסח ההצעה" w:history="1">
              <w:r>
                <w:rPr>
                  <w:rStyle w:val="Hyperlink"/>
                </w:rPr>
                <w:t>Go</w:t>
              </w:r>
            </w:hyperlink>
          </w:p>
        </w:tc>
        <w:tc>
          <w:tcPr>
            <w:tcW w:w="5669" w:type="dxa"/>
          </w:tcPr>
          <w:p w14:paraId="513282D2" w14:textId="77777777" w:rsidR="009B0FFC" w:rsidRDefault="009B0FFC">
            <w:pPr>
              <w:spacing w:line="240" w:lineRule="auto"/>
              <w:rPr>
                <w:sz w:val="24"/>
                <w:rtl/>
              </w:rPr>
            </w:pPr>
            <w:r>
              <w:rPr>
                <w:sz w:val="24"/>
                <w:rtl/>
              </w:rPr>
              <w:t>נוסח ההצעה</w:t>
            </w:r>
          </w:p>
        </w:tc>
        <w:tc>
          <w:tcPr>
            <w:tcW w:w="1247" w:type="dxa"/>
          </w:tcPr>
          <w:p w14:paraId="19D1968C" w14:textId="77777777" w:rsidR="009B0FFC" w:rsidRDefault="009B0FFC">
            <w:pPr>
              <w:spacing w:line="240" w:lineRule="auto"/>
              <w:rPr>
                <w:sz w:val="24"/>
              </w:rPr>
            </w:pPr>
            <w:r>
              <w:rPr>
                <w:sz w:val="24"/>
                <w:rtl/>
              </w:rPr>
              <w:t xml:space="preserve">סעיף 2 </w:t>
            </w:r>
          </w:p>
        </w:tc>
      </w:tr>
      <w:tr w:rsidR="009B0FFC" w14:paraId="608DDCF0" w14:textId="77777777">
        <w:tblPrEx>
          <w:tblCellMar>
            <w:top w:w="0" w:type="dxa"/>
            <w:bottom w:w="0" w:type="dxa"/>
          </w:tblCellMar>
        </w:tblPrEx>
        <w:tc>
          <w:tcPr>
            <w:tcW w:w="850" w:type="dxa"/>
          </w:tcPr>
          <w:p w14:paraId="61AA6E96"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62614C6D" w14:textId="77777777" w:rsidR="009B0FFC" w:rsidRDefault="009B0FFC">
            <w:pPr>
              <w:spacing w:line="240" w:lineRule="auto"/>
              <w:rPr>
                <w:sz w:val="24"/>
              </w:rPr>
            </w:pPr>
            <w:hyperlink w:anchor="Seif2" w:tooltip="תגובת השופט" w:history="1">
              <w:r>
                <w:rPr>
                  <w:rStyle w:val="Hyperlink"/>
                </w:rPr>
                <w:t>Go</w:t>
              </w:r>
            </w:hyperlink>
          </w:p>
        </w:tc>
        <w:tc>
          <w:tcPr>
            <w:tcW w:w="5669" w:type="dxa"/>
          </w:tcPr>
          <w:p w14:paraId="49BDECEE" w14:textId="77777777" w:rsidR="009B0FFC" w:rsidRDefault="009B0FFC">
            <w:pPr>
              <w:spacing w:line="240" w:lineRule="auto"/>
              <w:rPr>
                <w:sz w:val="24"/>
                <w:rtl/>
              </w:rPr>
            </w:pPr>
            <w:r>
              <w:rPr>
                <w:sz w:val="24"/>
                <w:rtl/>
              </w:rPr>
              <w:t>תגובת השופט</w:t>
            </w:r>
          </w:p>
        </w:tc>
        <w:tc>
          <w:tcPr>
            <w:tcW w:w="1247" w:type="dxa"/>
          </w:tcPr>
          <w:p w14:paraId="16373F8E" w14:textId="77777777" w:rsidR="009B0FFC" w:rsidRDefault="009B0FFC">
            <w:pPr>
              <w:spacing w:line="240" w:lineRule="auto"/>
              <w:rPr>
                <w:sz w:val="24"/>
              </w:rPr>
            </w:pPr>
            <w:r>
              <w:rPr>
                <w:sz w:val="24"/>
                <w:rtl/>
              </w:rPr>
              <w:t xml:space="preserve">סעיף 3 </w:t>
            </w:r>
          </w:p>
        </w:tc>
      </w:tr>
      <w:tr w:rsidR="009B0FFC" w14:paraId="30A85E39" w14:textId="77777777">
        <w:tblPrEx>
          <w:tblCellMar>
            <w:top w:w="0" w:type="dxa"/>
            <w:bottom w:w="0" w:type="dxa"/>
          </w:tblCellMar>
        </w:tblPrEx>
        <w:tc>
          <w:tcPr>
            <w:tcW w:w="850" w:type="dxa"/>
          </w:tcPr>
          <w:p w14:paraId="3D61BF6D"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69F98313" w14:textId="77777777" w:rsidR="009B0FFC" w:rsidRDefault="009B0FFC">
            <w:pPr>
              <w:spacing w:line="240" w:lineRule="auto"/>
              <w:rPr>
                <w:sz w:val="24"/>
              </w:rPr>
            </w:pPr>
            <w:hyperlink w:anchor="Seif3" w:tooltip="מינוי ועדת משנה" w:history="1">
              <w:r>
                <w:rPr>
                  <w:rStyle w:val="Hyperlink"/>
                </w:rPr>
                <w:t>Go</w:t>
              </w:r>
            </w:hyperlink>
          </w:p>
        </w:tc>
        <w:tc>
          <w:tcPr>
            <w:tcW w:w="5669" w:type="dxa"/>
          </w:tcPr>
          <w:p w14:paraId="24265EE0" w14:textId="77777777" w:rsidR="009B0FFC" w:rsidRDefault="009B0FFC">
            <w:pPr>
              <w:spacing w:line="240" w:lineRule="auto"/>
              <w:rPr>
                <w:sz w:val="24"/>
                <w:rtl/>
              </w:rPr>
            </w:pPr>
            <w:r>
              <w:rPr>
                <w:sz w:val="24"/>
                <w:rtl/>
              </w:rPr>
              <w:t>מינוי ועדת משנה</w:t>
            </w:r>
          </w:p>
        </w:tc>
        <w:tc>
          <w:tcPr>
            <w:tcW w:w="1247" w:type="dxa"/>
          </w:tcPr>
          <w:p w14:paraId="6F126B39" w14:textId="77777777" w:rsidR="009B0FFC" w:rsidRDefault="009B0FFC">
            <w:pPr>
              <w:spacing w:line="240" w:lineRule="auto"/>
              <w:rPr>
                <w:sz w:val="24"/>
              </w:rPr>
            </w:pPr>
            <w:r>
              <w:rPr>
                <w:sz w:val="24"/>
                <w:rtl/>
              </w:rPr>
              <w:t xml:space="preserve">סעיף 4 </w:t>
            </w:r>
          </w:p>
        </w:tc>
      </w:tr>
      <w:tr w:rsidR="009B0FFC" w14:paraId="24BB2FAE" w14:textId="77777777">
        <w:tblPrEx>
          <w:tblCellMar>
            <w:top w:w="0" w:type="dxa"/>
            <w:bottom w:w="0" w:type="dxa"/>
          </w:tblCellMar>
        </w:tblPrEx>
        <w:tc>
          <w:tcPr>
            <w:tcW w:w="850" w:type="dxa"/>
          </w:tcPr>
          <w:p w14:paraId="46337591"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3F3212BE" w14:textId="77777777" w:rsidR="009B0FFC" w:rsidRDefault="009B0FFC">
            <w:pPr>
              <w:spacing w:line="240" w:lineRule="auto"/>
              <w:rPr>
                <w:sz w:val="24"/>
              </w:rPr>
            </w:pPr>
            <w:hyperlink w:anchor="Seif4" w:tooltip="שמיעת עדים" w:history="1">
              <w:r>
                <w:rPr>
                  <w:rStyle w:val="Hyperlink"/>
                </w:rPr>
                <w:t>Go</w:t>
              </w:r>
            </w:hyperlink>
          </w:p>
        </w:tc>
        <w:tc>
          <w:tcPr>
            <w:tcW w:w="5669" w:type="dxa"/>
          </w:tcPr>
          <w:p w14:paraId="7F05DF68" w14:textId="77777777" w:rsidR="009B0FFC" w:rsidRDefault="009B0FFC">
            <w:pPr>
              <w:spacing w:line="240" w:lineRule="auto"/>
              <w:rPr>
                <w:sz w:val="24"/>
                <w:rtl/>
              </w:rPr>
            </w:pPr>
            <w:r>
              <w:rPr>
                <w:sz w:val="24"/>
                <w:rtl/>
              </w:rPr>
              <w:t>שמיעת עדים</w:t>
            </w:r>
          </w:p>
        </w:tc>
        <w:tc>
          <w:tcPr>
            <w:tcW w:w="1247" w:type="dxa"/>
          </w:tcPr>
          <w:p w14:paraId="1F589790" w14:textId="77777777" w:rsidR="009B0FFC" w:rsidRDefault="009B0FFC">
            <w:pPr>
              <w:spacing w:line="240" w:lineRule="auto"/>
              <w:rPr>
                <w:sz w:val="24"/>
              </w:rPr>
            </w:pPr>
            <w:r>
              <w:rPr>
                <w:sz w:val="24"/>
                <w:rtl/>
              </w:rPr>
              <w:t xml:space="preserve">סעיף 5 </w:t>
            </w:r>
          </w:p>
        </w:tc>
      </w:tr>
      <w:tr w:rsidR="009B0FFC" w14:paraId="602875EB" w14:textId="77777777">
        <w:tblPrEx>
          <w:tblCellMar>
            <w:top w:w="0" w:type="dxa"/>
            <w:bottom w:w="0" w:type="dxa"/>
          </w:tblCellMar>
        </w:tblPrEx>
        <w:tc>
          <w:tcPr>
            <w:tcW w:w="850" w:type="dxa"/>
          </w:tcPr>
          <w:p w14:paraId="3C20DAD0"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537724AB" w14:textId="77777777" w:rsidR="009B0FFC" w:rsidRDefault="009B0FFC">
            <w:pPr>
              <w:spacing w:line="240" w:lineRule="auto"/>
              <w:rPr>
                <w:sz w:val="24"/>
              </w:rPr>
            </w:pPr>
            <w:hyperlink w:anchor="Seif5" w:tooltip="הודעה לשופט" w:history="1">
              <w:r>
                <w:rPr>
                  <w:rStyle w:val="Hyperlink"/>
                </w:rPr>
                <w:t>Go</w:t>
              </w:r>
            </w:hyperlink>
          </w:p>
        </w:tc>
        <w:tc>
          <w:tcPr>
            <w:tcW w:w="5669" w:type="dxa"/>
          </w:tcPr>
          <w:p w14:paraId="1CC69C6C" w14:textId="77777777" w:rsidR="009B0FFC" w:rsidRDefault="009B0FFC">
            <w:pPr>
              <w:spacing w:line="240" w:lineRule="auto"/>
              <w:rPr>
                <w:sz w:val="24"/>
                <w:rtl/>
              </w:rPr>
            </w:pPr>
            <w:r>
              <w:rPr>
                <w:sz w:val="24"/>
                <w:rtl/>
              </w:rPr>
              <w:t>הודעה לשופט</w:t>
            </w:r>
          </w:p>
        </w:tc>
        <w:tc>
          <w:tcPr>
            <w:tcW w:w="1247" w:type="dxa"/>
          </w:tcPr>
          <w:p w14:paraId="0A6BAF15" w14:textId="77777777" w:rsidR="009B0FFC" w:rsidRDefault="009B0FFC">
            <w:pPr>
              <w:spacing w:line="240" w:lineRule="auto"/>
              <w:rPr>
                <w:sz w:val="24"/>
              </w:rPr>
            </w:pPr>
            <w:r>
              <w:rPr>
                <w:sz w:val="24"/>
                <w:rtl/>
              </w:rPr>
              <w:t xml:space="preserve">סעיף 6 </w:t>
            </w:r>
          </w:p>
        </w:tc>
      </w:tr>
      <w:tr w:rsidR="009B0FFC" w14:paraId="73DA1ABE" w14:textId="77777777">
        <w:tblPrEx>
          <w:tblCellMar>
            <w:top w:w="0" w:type="dxa"/>
            <w:bottom w:w="0" w:type="dxa"/>
          </w:tblCellMar>
        </w:tblPrEx>
        <w:tc>
          <w:tcPr>
            <w:tcW w:w="850" w:type="dxa"/>
          </w:tcPr>
          <w:p w14:paraId="0B40A88B"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4A8E8CC0" w14:textId="77777777" w:rsidR="009B0FFC" w:rsidRDefault="009B0FFC">
            <w:pPr>
              <w:spacing w:line="240" w:lineRule="auto"/>
              <w:rPr>
                <w:sz w:val="24"/>
              </w:rPr>
            </w:pPr>
            <w:hyperlink w:anchor="Seif6" w:tooltip="דרך שמיעת העדות" w:history="1">
              <w:r>
                <w:rPr>
                  <w:rStyle w:val="Hyperlink"/>
                </w:rPr>
                <w:t>Go</w:t>
              </w:r>
            </w:hyperlink>
          </w:p>
        </w:tc>
        <w:tc>
          <w:tcPr>
            <w:tcW w:w="5669" w:type="dxa"/>
          </w:tcPr>
          <w:p w14:paraId="59BA7AB0" w14:textId="77777777" w:rsidR="009B0FFC" w:rsidRDefault="009B0FFC">
            <w:pPr>
              <w:spacing w:line="240" w:lineRule="auto"/>
              <w:rPr>
                <w:sz w:val="24"/>
                <w:rtl/>
              </w:rPr>
            </w:pPr>
            <w:r>
              <w:rPr>
                <w:sz w:val="24"/>
                <w:rtl/>
              </w:rPr>
              <w:t>דרך שמיעת העדות</w:t>
            </w:r>
          </w:p>
        </w:tc>
        <w:tc>
          <w:tcPr>
            <w:tcW w:w="1247" w:type="dxa"/>
          </w:tcPr>
          <w:p w14:paraId="6201A314" w14:textId="77777777" w:rsidR="009B0FFC" w:rsidRDefault="009B0FFC">
            <w:pPr>
              <w:spacing w:line="240" w:lineRule="auto"/>
              <w:rPr>
                <w:sz w:val="24"/>
              </w:rPr>
            </w:pPr>
            <w:r>
              <w:rPr>
                <w:sz w:val="24"/>
                <w:rtl/>
              </w:rPr>
              <w:t xml:space="preserve">סעיף 7 </w:t>
            </w:r>
          </w:p>
        </w:tc>
      </w:tr>
      <w:tr w:rsidR="009B0FFC" w14:paraId="3823DD1A" w14:textId="77777777">
        <w:tblPrEx>
          <w:tblCellMar>
            <w:top w:w="0" w:type="dxa"/>
            <w:bottom w:w="0" w:type="dxa"/>
          </w:tblCellMar>
        </w:tblPrEx>
        <w:tc>
          <w:tcPr>
            <w:tcW w:w="850" w:type="dxa"/>
          </w:tcPr>
          <w:p w14:paraId="1140DB1F"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0022DD8D" w14:textId="77777777" w:rsidR="009B0FFC" w:rsidRDefault="009B0FFC">
            <w:pPr>
              <w:spacing w:line="240" w:lineRule="auto"/>
              <w:rPr>
                <w:sz w:val="24"/>
              </w:rPr>
            </w:pPr>
            <w:hyperlink w:anchor="Seif7" w:tooltip="דיון ביניים במליאה" w:history="1">
              <w:r>
                <w:rPr>
                  <w:rStyle w:val="Hyperlink"/>
                </w:rPr>
                <w:t>Go</w:t>
              </w:r>
            </w:hyperlink>
          </w:p>
        </w:tc>
        <w:tc>
          <w:tcPr>
            <w:tcW w:w="5669" w:type="dxa"/>
          </w:tcPr>
          <w:p w14:paraId="549A20EB" w14:textId="77777777" w:rsidR="009B0FFC" w:rsidRDefault="009B0FFC">
            <w:pPr>
              <w:spacing w:line="240" w:lineRule="auto"/>
              <w:rPr>
                <w:sz w:val="24"/>
                <w:rtl/>
              </w:rPr>
            </w:pPr>
            <w:r>
              <w:rPr>
                <w:sz w:val="24"/>
                <w:rtl/>
              </w:rPr>
              <w:t>דיון ביניים במליאה</w:t>
            </w:r>
          </w:p>
        </w:tc>
        <w:tc>
          <w:tcPr>
            <w:tcW w:w="1247" w:type="dxa"/>
          </w:tcPr>
          <w:p w14:paraId="37EDC824" w14:textId="77777777" w:rsidR="009B0FFC" w:rsidRDefault="009B0FFC">
            <w:pPr>
              <w:spacing w:line="240" w:lineRule="auto"/>
              <w:rPr>
                <w:sz w:val="24"/>
              </w:rPr>
            </w:pPr>
            <w:r>
              <w:rPr>
                <w:sz w:val="24"/>
                <w:rtl/>
              </w:rPr>
              <w:t xml:space="preserve">סעיף 8 </w:t>
            </w:r>
          </w:p>
        </w:tc>
      </w:tr>
      <w:tr w:rsidR="009B0FFC" w14:paraId="469313D2" w14:textId="77777777">
        <w:tblPrEx>
          <w:tblCellMar>
            <w:top w:w="0" w:type="dxa"/>
            <w:bottom w:w="0" w:type="dxa"/>
          </w:tblCellMar>
        </w:tblPrEx>
        <w:tc>
          <w:tcPr>
            <w:tcW w:w="850" w:type="dxa"/>
          </w:tcPr>
          <w:p w14:paraId="52E607FC"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14692A">
              <w:rPr>
                <w:noProof/>
                <w:sz w:val="24"/>
                <w:rtl/>
              </w:rPr>
              <w:t>2</w:t>
            </w:r>
            <w:r>
              <w:rPr>
                <w:sz w:val="24"/>
                <w:rtl/>
              </w:rPr>
              <w:fldChar w:fldCharType="end"/>
            </w:r>
          </w:p>
        </w:tc>
        <w:tc>
          <w:tcPr>
            <w:tcW w:w="567" w:type="dxa"/>
          </w:tcPr>
          <w:p w14:paraId="5DCD2AB5" w14:textId="77777777" w:rsidR="009B0FFC" w:rsidRDefault="009B0FFC">
            <w:pPr>
              <w:spacing w:line="240" w:lineRule="auto"/>
              <w:rPr>
                <w:sz w:val="24"/>
              </w:rPr>
            </w:pPr>
            <w:hyperlink w:anchor="Seif8" w:tooltip="מסירת המידע לשופט" w:history="1">
              <w:r>
                <w:rPr>
                  <w:rStyle w:val="Hyperlink"/>
                </w:rPr>
                <w:t>Go</w:t>
              </w:r>
            </w:hyperlink>
          </w:p>
        </w:tc>
        <w:tc>
          <w:tcPr>
            <w:tcW w:w="5669" w:type="dxa"/>
          </w:tcPr>
          <w:p w14:paraId="22EC4BA1" w14:textId="77777777" w:rsidR="009B0FFC" w:rsidRDefault="009B0FFC">
            <w:pPr>
              <w:spacing w:line="240" w:lineRule="auto"/>
              <w:rPr>
                <w:sz w:val="24"/>
                <w:rtl/>
              </w:rPr>
            </w:pPr>
            <w:r>
              <w:rPr>
                <w:sz w:val="24"/>
                <w:rtl/>
              </w:rPr>
              <w:t>מסירת המידע לשופט</w:t>
            </w:r>
          </w:p>
        </w:tc>
        <w:tc>
          <w:tcPr>
            <w:tcW w:w="1247" w:type="dxa"/>
          </w:tcPr>
          <w:p w14:paraId="5E1E2C37" w14:textId="77777777" w:rsidR="009B0FFC" w:rsidRDefault="009B0FFC">
            <w:pPr>
              <w:spacing w:line="240" w:lineRule="auto"/>
              <w:rPr>
                <w:sz w:val="24"/>
              </w:rPr>
            </w:pPr>
            <w:r>
              <w:rPr>
                <w:sz w:val="24"/>
                <w:rtl/>
              </w:rPr>
              <w:t xml:space="preserve">סעיף 9 </w:t>
            </w:r>
          </w:p>
        </w:tc>
      </w:tr>
      <w:tr w:rsidR="009B0FFC" w14:paraId="00CF866C" w14:textId="77777777">
        <w:tblPrEx>
          <w:tblCellMar>
            <w:top w:w="0" w:type="dxa"/>
            <w:bottom w:w="0" w:type="dxa"/>
          </w:tblCellMar>
        </w:tblPrEx>
        <w:tc>
          <w:tcPr>
            <w:tcW w:w="850" w:type="dxa"/>
          </w:tcPr>
          <w:p w14:paraId="136C30F7"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389F26C2" w14:textId="77777777" w:rsidR="009B0FFC" w:rsidRDefault="009B0FFC">
            <w:pPr>
              <w:spacing w:line="240" w:lineRule="auto"/>
              <w:rPr>
                <w:sz w:val="24"/>
              </w:rPr>
            </w:pPr>
            <w:hyperlink w:anchor="Seif9" w:tooltip="חוות דעת בכתב" w:history="1">
              <w:r>
                <w:rPr>
                  <w:rStyle w:val="Hyperlink"/>
                </w:rPr>
                <w:t>Go</w:t>
              </w:r>
            </w:hyperlink>
          </w:p>
        </w:tc>
        <w:tc>
          <w:tcPr>
            <w:tcW w:w="5669" w:type="dxa"/>
          </w:tcPr>
          <w:p w14:paraId="4C9EAEB4" w14:textId="77777777" w:rsidR="009B0FFC" w:rsidRDefault="009B0FFC">
            <w:pPr>
              <w:spacing w:line="240" w:lineRule="auto"/>
              <w:rPr>
                <w:sz w:val="24"/>
                <w:rtl/>
              </w:rPr>
            </w:pPr>
            <w:r>
              <w:rPr>
                <w:sz w:val="24"/>
                <w:rtl/>
              </w:rPr>
              <w:t>חוות דעת בכתב</w:t>
            </w:r>
          </w:p>
        </w:tc>
        <w:tc>
          <w:tcPr>
            <w:tcW w:w="1247" w:type="dxa"/>
          </w:tcPr>
          <w:p w14:paraId="7EA0FB24" w14:textId="77777777" w:rsidR="009B0FFC" w:rsidRDefault="009B0FFC">
            <w:pPr>
              <w:spacing w:line="240" w:lineRule="auto"/>
              <w:rPr>
                <w:sz w:val="24"/>
              </w:rPr>
            </w:pPr>
            <w:r>
              <w:rPr>
                <w:sz w:val="24"/>
                <w:rtl/>
              </w:rPr>
              <w:t xml:space="preserve">סעיף 10 </w:t>
            </w:r>
          </w:p>
        </w:tc>
      </w:tr>
      <w:tr w:rsidR="009B0FFC" w14:paraId="79F0EEEC" w14:textId="77777777">
        <w:tblPrEx>
          <w:tblCellMar>
            <w:top w:w="0" w:type="dxa"/>
            <w:bottom w:w="0" w:type="dxa"/>
          </w:tblCellMar>
        </w:tblPrEx>
        <w:tc>
          <w:tcPr>
            <w:tcW w:w="850" w:type="dxa"/>
          </w:tcPr>
          <w:p w14:paraId="346497E7"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12245B61" w14:textId="77777777" w:rsidR="009B0FFC" w:rsidRDefault="009B0FFC">
            <w:pPr>
              <w:spacing w:line="240" w:lineRule="auto"/>
              <w:rPr>
                <w:sz w:val="24"/>
              </w:rPr>
            </w:pPr>
            <w:hyperlink w:anchor="Seif10" w:tooltip="דין וחשבון של ועדת המשנה" w:history="1">
              <w:r>
                <w:rPr>
                  <w:rStyle w:val="Hyperlink"/>
                </w:rPr>
                <w:t>Go</w:t>
              </w:r>
            </w:hyperlink>
          </w:p>
        </w:tc>
        <w:tc>
          <w:tcPr>
            <w:tcW w:w="5669" w:type="dxa"/>
          </w:tcPr>
          <w:p w14:paraId="17D24AC8" w14:textId="77777777" w:rsidR="009B0FFC" w:rsidRDefault="009B0FFC">
            <w:pPr>
              <w:spacing w:line="240" w:lineRule="auto"/>
              <w:rPr>
                <w:sz w:val="24"/>
                <w:rtl/>
              </w:rPr>
            </w:pPr>
            <w:r>
              <w:rPr>
                <w:sz w:val="24"/>
                <w:rtl/>
              </w:rPr>
              <w:t>דין וחשבון של ועדת המשנה</w:t>
            </w:r>
          </w:p>
        </w:tc>
        <w:tc>
          <w:tcPr>
            <w:tcW w:w="1247" w:type="dxa"/>
          </w:tcPr>
          <w:p w14:paraId="798B8EC4" w14:textId="77777777" w:rsidR="009B0FFC" w:rsidRDefault="009B0FFC">
            <w:pPr>
              <w:spacing w:line="240" w:lineRule="auto"/>
              <w:rPr>
                <w:sz w:val="24"/>
              </w:rPr>
            </w:pPr>
            <w:r>
              <w:rPr>
                <w:sz w:val="24"/>
                <w:rtl/>
              </w:rPr>
              <w:t xml:space="preserve">סעיף 11 </w:t>
            </w:r>
          </w:p>
        </w:tc>
      </w:tr>
      <w:tr w:rsidR="009B0FFC" w14:paraId="01077E24" w14:textId="77777777">
        <w:tblPrEx>
          <w:tblCellMar>
            <w:top w:w="0" w:type="dxa"/>
            <w:bottom w:w="0" w:type="dxa"/>
          </w:tblCellMar>
        </w:tblPrEx>
        <w:tc>
          <w:tcPr>
            <w:tcW w:w="850" w:type="dxa"/>
          </w:tcPr>
          <w:p w14:paraId="2B0AC3C1"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57048BDE" w14:textId="77777777" w:rsidR="009B0FFC" w:rsidRDefault="009B0FFC">
            <w:pPr>
              <w:spacing w:line="240" w:lineRule="auto"/>
              <w:rPr>
                <w:sz w:val="24"/>
              </w:rPr>
            </w:pPr>
            <w:hyperlink w:anchor="Seif11" w:tooltip="הזמנה חוזרת של העד בידי המליאה" w:history="1">
              <w:r>
                <w:rPr>
                  <w:rStyle w:val="Hyperlink"/>
                </w:rPr>
                <w:t>Go</w:t>
              </w:r>
            </w:hyperlink>
          </w:p>
        </w:tc>
        <w:tc>
          <w:tcPr>
            <w:tcW w:w="5669" w:type="dxa"/>
          </w:tcPr>
          <w:p w14:paraId="6476ABCC" w14:textId="77777777" w:rsidR="009B0FFC" w:rsidRDefault="009B0FFC">
            <w:pPr>
              <w:spacing w:line="240" w:lineRule="auto"/>
              <w:rPr>
                <w:sz w:val="24"/>
                <w:rtl/>
              </w:rPr>
            </w:pPr>
            <w:r>
              <w:rPr>
                <w:sz w:val="24"/>
                <w:rtl/>
              </w:rPr>
              <w:t>הזמנה חוזרת של העד בידי המליאה</w:t>
            </w:r>
          </w:p>
        </w:tc>
        <w:tc>
          <w:tcPr>
            <w:tcW w:w="1247" w:type="dxa"/>
          </w:tcPr>
          <w:p w14:paraId="37A99D62" w14:textId="77777777" w:rsidR="009B0FFC" w:rsidRDefault="009B0FFC">
            <w:pPr>
              <w:spacing w:line="240" w:lineRule="auto"/>
              <w:rPr>
                <w:sz w:val="24"/>
              </w:rPr>
            </w:pPr>
            <w:r>
              <w:rPr>
                <w:sz w:val="24"/>
                <w:rtl/>
              </w:rPr>
              <w:t xml:space="preserve">סעיף 12 </w:t>
            </w:r>
          </w:p>
        </w:tc>
      </w:tr>
      <w:tr w:rsidR="009B0FFC" w14:paraId="15B37E00" w14:textId="77777777">
        <w:tblPrEx>
          <w:tblCellMar>
            <w:top w:w="0" w:type="dxa"/>
            <w:bottom w:w="0" w:type="dxa"/>
          </w:tblCellMar>
        </w:tblPrEx>
        <w:tc>
          <w:tcPr>
            <w:tcW w:w="850" w:type="dxa"/>
          </w:tcPr>
          <w:p w14:paraId="177ECDC6"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76A8DC3A" w14:textId="77777777" w:rsidR="009B0FFC" w:rsidRDefault="009B0FFC">
            <w:pPr>
              <w:spacing w:line="240" w:lineRule="auto"/>
              <w:rPr>
                <w:sz w:val="24"/>
              </w:rPr>
            </w:pPr>
            <w:hyperlink w:anchor="Seif12" w:tooltip="הופעת השופט לפני מליאת ועדת הבחירה" w:history="1">
              <w:r>
                <w:rPr>
                  <w:rStyle w:val="Hyperlink"/>
                </w:rPr>
                <w:t>Go</w:t>
              </w:r>
            </w:hyperlink>
          </w:p>
        </w:tc>
        <w:tc>
          <w:tcPr>
            <w:tcW w:w="5669" w:type="dxa"/>
          </w:tcPr>
          <w:p w14:paraId="4715845C" w14:textId="77777777" w:rsidR="009B0FFC" w:rsidRDefault="009B0FFC">
            <w:pPr>
              <w:spacing w:line="240" w:lineRule="auto"/>
              <w:rPr>
                <w:sz w:val="24"/>
                <w:rtl/>
              </w:rPr>
            </w:pPr>
            <w:r>
              <w:rPr>
                <w:sz w:val="24"/>
                <w:rtl/>
              </w:rPr>
              <w:t>הופעת השופט לפני מליאת ועדת הבחירה</w:t>
            </w:r>
          </w:p>
        </w:tc>
        <w:tc>
          <w:tcPr>
            <w:tcW w:w="1247" w:type="dxa"/>
          </w:tcPr>
          <w:p w14:paraId="1F839338" w14:textId="77777777" w:rsidR="009B0FFC" w:rsidRDefault="009B0FFC">
            <w:pPr>
              <w:spacing w:line="240" w:lineRule="auto"/>
              <w:rPr>
                <w:sz w:val="24"/>
              </w:rPr>
            </w:pPr>
            <w:r>
              <w:rPr>
                <w:sz w:val="24"/>
                <w:rtl/>
              </w:rPr>
              <w:t xml:space="preserve">סעיף 13 </w:t>
            </w:r>
          </w:p>
        </w:tc>
      </w:tr>
      <w:tr w:rsidR="009B0FFC" w14:paraId="2E01B573" w14:textId="77777777">
        <w:tblPrEx>
          <w:tblCellMar>
            <w:top w:w="0" w:type="dxa"/>
            <w:bottom w:w="0" w:type="dxa"/>
          </w:tblCellMar>
        </w:tblPrEx>
        <w:tc>
          <w:tcPr>
            <w:tcW w:w="850" w:type="dxa"/>
          </w:tcPr>
          <w:p w14:paraId="21F57163"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600B9CF5" w14:textId="77777777" w:rsidR="009B0FFC" w:rsidRDefault="009B0FFC">
            <w:pPr>
              <w:spacing w:line="240" w:lineRule="auto"/>
              <w:rPr>
                <w:sz w:val="24"/>
              </w:rPr>
            </w:pPr>
            <w:hyperlink w:anchor="Seif13" w:tooltip="הצבעה בועדת הבחירה" w:history="1">
              <w:r>
                <w:rPr>
                  <w:rStyle w:val="Hyperlink"/>
                </w:rPr>
                <w:t>Go</w:t>
              </w:r>
            </w:hyperlink>
          </w:p>
        </w:tc>
        <w:tc>
          <w:tcPr>
            <w:tcW w:w="5669" w:type="dxa"/>
          </w:tcPr>
          <w:p w14:paraId="38915379" w14:textId="77777777" w:rsidR="009B0FFC" w:rsidRDefault="009B0FFC">
            <w:pPr>
              <w:spacing w:line="240" w:lineRule="auto"/>
              <w:rPr>
                <w:sz w:val="24"/>
                <w:rtl/>
              </w:rPr>
            </w:pPr>
            <w:r>
              <w:rPr>
                <w:sz w:val="24"/>
                <w:rtl/>
              </w:rPr>
              <w:t>הצבעה בועדת הבחירה</w:t>
            </w:r>
          </w:p>
        </w:tc>
        <w:tc>
          <w:tcPr>
            <w:tcW w:w="1247" w:type="dxa"/>
          </w:tcPr>
          <w:p w14:paraId="3A3C1516" w14:textId="77777777" w:rsidR="009B0FFC" w:rsidRDefault="009B0FFC">
            <w:pPr>
              <w:spacing w:line="240" w:lineRule="auto"/>
              <w:rPr>
                <w:sz w:val="24"/>
              </w:rPr>
            </w:pPr>
            <w:r>
              <w:rPr>
                <w:sz w:val="24"/>
                <w:rtl/>
              </w:rPr>
              <w:t xml:space="preserve">סעיף 14 </w:t>
            </w:r>
          </w:p>
        </w:tc>
      </w:tr>
      <w:tr w:rsidR="009B0FFC" w14:paraId="601ED1FA" w14:textId="77777777">
        <w:tblPrEx>
          <w:tblCellMar>
            <w:top w:w="0" w:type="dxa"/>
            <w:bottom w:w="0" w:type="dxa"/>
          </w:tblCellMar>
        </w:tblPrEx>
        <w:tc>
          <w:tcPr>
            <w:tcW w:w="850" w:type="dxa"/>
          </w:tcPr>
          <w:p w14:paraId="129AC90F"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571FF47A" w14:textId="77777777" w:rsidR="009B0FFC" w:rsidRDefault="009B0FFC">
            <w:pPr>
              <w:spacing w:line="240" w:lineRule="auto"/>
              <w:rPr>
                <w:sz w:val="24"/>
              </w:rPr>
            </w:pPr>
            <w:hyperlink w:anchor="Seif14" w:tooltip="מועד סיום הכהונה ושיעור הגימלה" w:history="1">
              <w:r>
                <w:rPr>
                  <w:rStyle w:val="Hyperlink"/>
                </w:rPr>
                <w:t>Go</w:t>
              </w:r>
            </w:hyperlink>
          </w:p>
        </w:tc>
        <w:tc>
          <w:tcPr>
            <w:tcW w:w="5669" w:type="dxa"/>
          </w:tcPr>
          <w:p w14:paraId="7FF2D6B7" w14:textId="77777777" w:rsidR="009B0FFC" w:rsidRDefault="009B0FFC">
            <w:pPr>
              <w:spacing w:line="240" w:lineRule="auto"/>
              <w:rPr>
                <w:sz w:val="24"/>
                <w:rtl/>
              </w:rPr>
            </w:pPr>
            <w:r>
              <w:rPr>
                <w:sz w:val="24"/>
                <w:rtl/>
              </w:rPr>
              <w:t>מועד סיום הכהונה ושיעור הגימלה</w:t>
            </w:r>
          </w:p>
        </w:tc>
        <w:tc>
          <w:tcPr>
            <w:tcW w:w="1247" w:type="dxa"/>
          </w:tcPr>
          <w:p w14:paraId="222427FD" w14:textId="77777777" w:rsidR="009B0FFC" w:rsidRDefault="009B0FFC">
            <w:pPr>
              <w:spacing w:line="240" w:lineRule="auto"/>
              <w:rPr>
                <w:sz w:val="24"/>
              </w:rPr>
            </w:pPr>
            <w:r>
              <w:rPr>
                <w:sz w:val="24"/>
                <w:rtl/>
              </w:rPr>
              <w:t xml:space="preserve">סעיף 15 </w:t>
            </w:r>
          </w:p>
        </w:tc>
      </w:tr>
      <w:tr w:rsidR="009B0FFC" w14:paraId="7E6FA0AE" w14:textId="77777777">
        <w:tblPrEx>
          <w:tblCellMar>
            <w:top w:w="0" w:type="dxa"/>
            <w:bottom w:w="0" w:type="dxa"/>
          </w:tblCellMar>
        </w:tblPrEx>
        <w:tc>
          <w:tcPr>
            <w:tcW w:w="850" w:type="dxa"/>
          </w:tcPr>
          <w:p w14:paraId="196A3F16"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1C02EB9D" w14:textId="77777777" w:rsidR="009B0FFC" w:rsidRDefault="009B0FFC">
            <w:pPr>
              <w:spacing w:line="240" w:lineRule="auto"/>
              <w:rPr>
                <w:sz w:val="24"/>
              </w:rPr>
            </w:pPr>
            <w:hyperlink w:anchor="Seif15" w:tooltip="הודעת ההחלטה" w:history="1">
              <w:r>
                <w:rPr>
                  <w:rStyle w:val="Hyperlink"/>
                </w:rPr>
                <w:t>Go</w:t>
              </w:r>
            </w:hyperlink>
          </w:p>
        </w:tc>
        <w:tc>
          <w:tcPr>
            <w:tcW w:w="5669" w:type="dxa"/>
          </w:tcPr>
          <w:p w14:paraId="3715977D" w14:textId="77777777" w:rsidR="009B0FFC" w:rsidRDefault="009B0FFC">
            <w:pPr>
              <w:spacing w:line="240" w:lineRule="auto"/>
              <w:rPr>
                <w:sz w:val="24"/>
                <w:rtl/>
              </w:rPr>
            </w:pPr>
            <w:r>
              <w:rPr>
                <w:sz w:val="24"/>
                <w:rtl/>
              </w:rPr>
              <w:t>הודעת ההחלטה</w:t>
            </w:r>
          </w:p>
        </w:tc>
        <w:tc>
          <w:tcPr>
            <w:tcW w:w="1247" w:type="dxa"/>
          </w:tcPr>
          <w:p w14:paraId="52616BC1" w14:textId="77777777" w:rsidR="009B0FFC" w:rsidRDefault="009B0FFC">
            <w:pPr>
              <w:spacing w:line="240" w:lineRule="auto"/>
              <w:rPr>
                <w:sz w:val="24"/>
              </w:rPr>
            </w:pPr>
            <w:r>
              <w:rPr>
                <w:sz w:val="24"/>
                <w:rtl/>
              </w:rPr>
              <w:t xml:space="preserve">סעיף 16 </w:t>
            </w:r>
          </w:p>
        </w:tc>
      </w:tr>
      <w:tr w:rsidR="009B0FFC" w14:paraId="5E3A456E" w14:textId="77777777">
        <w:tblPrEx>
          <w:tblCellMar>
            <w:top w:w="0" w:type="dxa"/>
            <w:bottom w:w="0" w:type="dxa"/>
          </w:tblCellMar>
        </w:tblPrEx>
        <w:tc>
          <w:tcPr>
            <w:tcW w:w="850" w:type="dxa"/>
          </w:tcPr>
          <w:p w14:paraId="1B741DB0"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50A3A0C2" w14:textId="77777777" w:rsidR="009B0FFC" w:rsidRDefault="009B0FFC">
            <w:pPr>
              <w:spacing w:line="240" w:lineRule="auto"/>
              <w:rPr>
                <w:sz w:val="24"/>
              </w:rPr>
            </w:pPr>
            <w:hyperlink w:anchor="Seif16" w:tooltip="סודיות הדיונים" w:history="1">
              <w:r>
                <w:rPr>
                  <w:rStyle w:val="Hyperlink"/>
                </w:rPr>
                <w:t>Go</w:t>
              </w:r>
            </w:hyperlink>
          </w:p>
        </w:tc>
        <w:tc>
          <w:tcPr>
            <w:tcW w:w="5669" w:type="dxa"/>
          </w:tcPr>
          <w:p w14:paraId="305B18AE" w14:textId="77777777" w:rsidR="009B0FFC" w:rsidRDefault="009B0FFC">
            <w:pPr>
              <w:spacing w:line="240" w:lineRule="auto"/>
              <w:rPr>
                <w:sz w:val="24"/>
                <w:rtl/>
              </w:rPr>
            </w:pPr>
            <w:r>
              <w:rPr>
                <w:sz w:val="24"/>
                <w:rtl/>
              </w:rPr>
              <w:t>סודיות הדיונים</w:t>
            </w:r>
          </w:p>
        </w:tc>
        <w:tc>
          <w:tcPr>
            <w:tcW w:w="1247" w:type="dxa"/>
          </w:tcPr>
          <w:p w14:paraId="31CE9BC3" w14:textId="77777777" w:rsidR="009B0FFC" w:rsidRDefault="009B0FFC">
            <w:pPr>
              <w:spacing w:line="240" w:lineRule="auto"/>
              <w:rPr>
                <w:sz w:val="24"/>
              </w:rPr>
            </w:pPr>
            <w:r>
              <w:rPr>
                <w:sz w:val="24"/>
                <w:rtl/>
              </w:rPr>
              <w:t xml:space="preserve">סעיף 17 </w:t>
            </w:r>
          </w:p>
        </w:tc>
      </w:tr>
      <w:tr w:rsidR="009B0FFC" w14:paraId="6CCFA35C" w14:textId="77777777">
        <w:tblPrEx>
          <w:tblCellMar>
            <w:top w:w="0" w:type="dxa"/>
            <w:bottom w:w="0" w:type="dxa"/>
          </w:tblCellMar>
        </w:tblPrEx>
        <w:tc>
          <w:tcPr>
            <w:tcW w:w="850" w:type="dxa"/>
          </w:tcPr>
          <w:p w14:paraId="7C8672A3"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4CE8C3B6" w14:textId="77777777" w:rsidR="009B0FFC" w:rsidRDefault="009B0FFC">
            <w:pPr>
              <w:spacing w:line="240" w:lineRule="auto"/>
              <w:rPr>
                <w:sz w:val="24"/>
              </w:rPr>
            </w:pPr>
            <w:hyperlink w:anchor="Seif17" w:tooltip="סדרי עבודה" w:history="1">
              <w:r>
                <w:rPr>
                  <w:rStyle w:val="Hyperlink"/>
                </w:rPr>
                <w:t>Go</w:t>
              </w:r>
            </w:hyperlink>
          </w:p>
        </w:tc>
        <w:tc>
          <w:tcPr>
            <w:tcW w:w="5669" w:type="dxa"/>
          </w:tcPr>
          <w:p w14:paraId="18A8F78F" w14:textId="77777777" w:rsidR="009B0FFC" w:rsidRDefault="009B0FFC">
            <w:pPr>
              <w:spacing w:line="240" w:lineRule="auto"/>
              <w:rPr>
                <w:sz w:val="24"/>
                <w:rtl/>
              </w:rPr>
            </w:pPr>
            <w:r>
              <w:rPr>
                <w:sz w:val="24"/>
                <w:rtl/>
              </w:rPr>
              <w:t>סדרי עבודה</w:t>
            </w:r>
          </w:p>
        </w:tc>
        <w:tc>
          <w:tcPr>
            <w:tcW w:w="1247" w:type="dxa"/>
          </w:tcPr>
          <w:p w14:paraId="252DE5A5" w14:textId="77777777" w:rsidR="009B0FFC" w:rsidRDefault="009B0FFC">
            <w:pPr>
              <w:spacing w:line="240" w:lineRule="auto"/>
              <w:rPr>
                <w:sz w:val="24"/>
              </w:rPr>
            </w:pPr>
            <w:r>
              <w:rPr>
                <w:sz w:val="24"/>
                <w:rtl/>
              </w:rPr>
              <w:t xml:space="preserve">סעיף 18 </w:t>
            </w:r>
          </w:p>
        </w:tc>
      </w:tr>
      <w:tr w:rsidR="009B0FFC" w14:paraId="0245DBC8" w14:textId="77777777">
        <w:tblPrEx>
          <w:tblCellMar>
            <w:top w:w="0" w:type="dxa"/>
            <w:bottom w:w="0" w:type="dxa"/>
          </w:tblCellMar>
        </w:tblPrEx>
        <w:tc>
          <w:tcPr>
            <w:tcW w:w="850" w:type="dxa"/>
          </w:tcPr>
          <w:p w14:paraId="74BAF801"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43C93AAB" w14:textId="77777777" w:rsidR="009B0FFC" w:rsidRDefault="009B0FFC">
            <w:pPr>
              <w:spacing w:line="240" w:lineRule="auto"/>
              <w:rPr>
                <w:sz w:val="24"/>
              </w:rPr>
            </w:pPr>
            <w:hyperlink w:anchor="Seif18" w:tooltip="ביצוע" w:history="1">
              <w:r>
                <w:rPr>
                  <w:rStyle w:val="Hyperlink"/>
                </w:rPr>
                <w:t>Go</w:t>
              </w:r>
            </w:hyperlink>
          </w:p>
        </w:tc>
        <w:tc>
          <w:tcPr>
            <w:tcW w:w="5669" w:type="dxa"/>
          </w:tcPr>
          <w:p w14:paraId="19DC9926" w14:textId="77777777" w:rsidR="009B0FFC" w:rsidRDefault="009B0FFC">
            <w:pPr>
              <w:spacing w:line="240" w:lineRule="auto"/>
              <w:rPr>
                <w:sz w:val="24"/>
                <w:rtl/>
              </w:rPr>
            </w:pPr>
            <w:r>
              <w:rPr>
                <w:sz w:val="24"/>
                <w:rtl/>
              </w:rPr>
              <w:t>ביצוע</w:t>
            </w:r>
          </w:p>
        </w:tc>
        <w:tc>
          <w:tcPr>
            <w:tcW w:w="1247" w:type="dxa"/>
          </w:tcPr>
          <w:p w14:paraId="3EEC1747" w14:textId="77777777" w:rsidR="009B0FFC" w:rsidRDefault="009B0FFC">
            <w:pPr>
              <w:spacing w:line="240" w:lineRule="auto"/>
              <w:rPr>
                <w:sz w:val="24"/>
              </w:rPr>
            </w:pPr>
            <w:r>
              <w:rPr>
                <w:sz w:val="24"/>
                <w:rtl/>
              </w:rPr>
              <w:t xml:space="preserve">סעיף 19 </w:t>
            </w:r>
          </w:p>
        </w:tc>
      </w:tr>
      <w:tr w:rsidR="009B0FFC" w14:paraId="4270717C" w14:textId="77777777">
        <w:tblPrEx>
          <w:tblCellMar>
            <w:top w:w="0" w:type="dxa"/>
            <w:bottom w:w="0" w:type="dxa"/>
          </w:tblCellMar>
        </w:tblPrEx>
        <w:tc>
          <w:tcPr>
            <w:tcW w:w="850" w:type="dxa"/>
          </w:tcPr>
          <w:p w14:paraId="4D0D4B17" w14:textId="77777777" w:rsidR="009B0FFC" w:rsidRDefault="009B0FFC">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14692A">
              <w:rPr>
                <w:noProof/>
                <w:sz w:val="24"/>
                <w:rtl/>
              </w:rPr>
              <w:t>3</w:t>
            </w:r>
            <w:r>
              <w:rPr>
                <w:sz w:val="24"/>
                <w:rtl/>
              </w:rPr>
              <w:fldChar w:fldCharType="end"/>
            </w:r>
          </w:p>
        </w:tc>
        <w:tc>
          <w:tcPr>
            <w:tcW w:w="567" w:type="dxa"/>
          </w:tcPr>
          <w:p w14:paraId="12069D7C" w14:textId="77777777" w:rsidR="009B0FFC" w:rsidRDefault="009B0FFC">
            <w:pPr>
              <w:spacing w:line="240" w:lineRule="auto"/>
              <w:rPr>
                <w:sz w:val="24"/>
              </w:rPr>
            </w:pPr>
            <w:hyperlink w:anchor="Seif19" w:tooltip="תחילה" w:history="1">
              <w:r>
                <w:rPr>
                  <w:rStyle w:val="Hyperlink"/>
                </w:rPr>
                <w:t>Go</w:t>
              </w:r>
            </w:hyperlink>
          </w:p>
        </w:tc>
        <w:tc>
          <w:tcPr>
            <w:tcW w:w="5669" w:type="dxa"/>
          </w:tcPr>
          <w:p w14:paraId="22D44649" w14:textId="77777777" w:rsidR="009B0FFC" w:rsidRDefault="009B0FFC">
            <w:pPr>
              <w:spacing w:line="240" w:lineRule="auto"/>
              <w:rPr>
                <w:sz w:val="24"/>
                <w:rtl/>
              </w:rPr>
            </w:pPr>
            <w:r>
              <w:rPr>
                <w:sz w:val="24"/>
                <w:rtl/>
              </w:rPr>
              <w:t>תחילה</w:t>
            </w:r>
          </w:p>
        </w:tc>
        <w:tc>
          <w:tcPr>
            <w:tcW w:w="1247" w:type="dxa"/>
          </w:tcPr>
          <w:p w14:paraId="449926C0" w14:textId="77777777" w:rsidR="009B0FFC" w:rsidRDefault="009B0FFC">
            <w:pPr>
              <w:spacing w:line="240" w:lineRule="auto"/>
              <w:rPr>
                <w:sz w:val="24"/>
              </w:rPr>
            </w:pPr>
            <w:r>
              <w:rPr>
                <w:sz w:val="24"/>
                <w:rtl/>
              </w:rPr>
              <w:t xml:space="preserve">סעיף 20 </w:t>
            </w:r>
          </w:p>
        </w:tc>
      </w:tr>
    </w:tbl>
    <w:p w14:paraId="6EBE84CD" w14:textId="77777777" w:rsidR="009B0FFC" w:rsidRDefault="009B0FFC">
      <w:pPr>
        <w:pStyle w:val="big-header"/>
        <w:ind w:left="0" w:right="1134"/>
        <w:rPr>
          <w:rtl/>
        </w:rPr>
      </w:pPr>
    </w:p>
    <w:p w14:paraId="1DF995C0" w14:textId="77777777" w:rsidR="009B0FFC" w:rsidRDefault="009B0FFC" w:rsidP="0014692A">
      <w:pPr>
        <w:pStyle w:val="big-header"/>
        <w:ind w:left="0" w:right="1134"/>
        <w:rPr>
          <w:rStyle w:val="default"/>
          <w:rFonts w:cs="FrankRuehl" w:hint="cs"/>
          <w:rtl/>
        </w:rPr>
      </w:pPr>
      <w:r>
        <w:rPr>
          <w:rtl/>
        </w:rPr>
        <w:br w:type="page"/>
      </w:r>
      <w:r>
        <w:rPr>
          <w:rtl/>
        </w:rPr>
        <w:lastRenderedPageBreak/>
        <w:t>כ</w:t>
      </w:r>
      <w:r>
        <w:rPr>
          <w:rFonts w:hint="cs"/>
          <w:rtl/>
        </w:rPr>
        <w:t>ללי השפיטה (סדרי העבודה בענין סיום כהונת שופט לפי החלטה של הועדה לבחירת שופטים), תשמ"ז</w:t>
      </w:r>
      <w:r w:rsidR="0014692A">
        <w:rPr>
          <w:rFonts w:hint="cs"/>
          <w:rtl/>
        </w:rPr>
        <w:t>-</w:t>
      </w:r>
      <w:r>
        <w:rPr>
          <w:rFonts w:hint="cs"/>
          <w:rtl/>
        </w:rPr>
        <w:t>1986</w:t>
      </w:r>
      <w:r w:rsidR="0014692A">
        <w:rPr>
          <w:rStyle w:val="a6"/>
          <w:rtl/>
        </w:rPr>
        <w:footnoteReference w:customMarkFollows="1" w:id="1"/>
        <w:t>*</w:t>
      </w:r>
    </w:p>
    <w:p w14:paraId="0AF2A22C" w14:textId="77777777" w:rsidR="009B0FFC" w:rsidRDefault="009B0FFC" w:rsidP="0014692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התאם לסעיף 24(2) לחוק יסוד: השפיטה (להלן </w:t>
      </w:r>
      <w:r w:rsidR="0014692A">
        <w:rPr>
          <w:rStyle w:val="default"/>
          <w:rFonts w:cs="FrankRuehl" w:hint="cs"/>
          <w:rtl/>
        </w:rPr>
        <w:t>-</w:t>
      </w:r>
      <w:r>
        <w:rPr>
          <w:rStyle w:val="default"/>
          <w:rFonts w:cs="FrankRuehl" w:hint="cs"/>
          <w:rtl/>
        </w:rPr>
        <w:t xml:space="preserve"> חוק היסוד), ובתוקף סמכותה לפי סעיפים 7(ד) ו-14 לחוק בתי המשפט [נוסח משולב], תשמ"ד</w:t>
      </w:r>
      <w:r w:rsidR="0014692A">
        <w:rPr>
          <w:rStyle w:val="default"/>
          <w:rFonts w:cs="FrankRuehl" w:hint="cs"/>
          <w:rtl/>
        </w:rPr>
        <w:t>-</w:t>
      </w:r>
      <w:r>
        <w:rPr>
          <w:rStyle w:val="default"/>
          <w:rFonts w:cs="FrankRuehl" w:hint="cs"/>
          <w:rtl/>
        </w:rPr>
        <w:t xml:space="preserve">1984 (להלן </w:t>
      </w:r>
      <w:r w:rsidR="0014692A">
        <w:rPr>
          <w:rStyle w:val="default"/>
          <w:rFonts w:cs="FrankRuehl" w:hint="cs"/>
          <w:rtl/>
        </w:rPr>
        <w:t>-</w:t>
      </w:r>
      <w:r>
        <w:rPr>
          <w:rStyle w:val="default"/>
          <w:rFonts w:cs="FrankRuehl" w:hint="cs"/>
          <w:rtl/>
        </w:rPr>
        <w:t xml:space="preserve"> החוק), קובעת הועד</w:t>
      </w:r>
      <w:r>
        <w:rPr>
          <w:rStyle w:val="default"/>
          <w:rFonts w:cs="FrankRuehl"/>
          <w:rtl/>
        </w:rPr>
        <w:t>ה</w:t>
      </w:r>
      <w:r>
        <w:rPr>
          <w:rStyle w:val="default"/>
          <w:rFonts w:cs="FrankRuehl" w:hint="cs"/>
          <w:rtl/>
        </w:rPr>
        <w:t xml:space="preserve"> לבחירת שופטים (להלן </w:t>
      </w:r>
      <w:r w:rsidR="0014692A">
        <w:rPr>
          <w:rStyle w:val="default"/>
          <w:rFonts w:cs="FrankRuehl" w:hint="cs"/>
          <w:rtl/>
        </w:rPr>
        <w:t>-</w:t>
      </w:r>
      <w:r>
        <w:rPr>
          <w:rStyle w:val="default"/>
          <w:rFonts w:cs="FrankRuehl" w:hint="cs"/>
          <w:rtl/>
        </w:rPr>
        <w:t xml:space="preserve"> ועדת הבחירה) כללים בדבר סדרי דיוניה ועבודתה בקשר להפעלת סמכותה לסיים כהונת שופט לפי סעיף 7(4) לחוק יסוד: השפיטה: </w:t>
      </w:r>
    </w:p>
    <w:p w14:paraId="19442709" w14:textId="77777777" w:rsidR="009B0FFC" w:rsidRDefault="009B0FFC">
      <w:pPr>
        <w:pStyle w:val="P00"/>
        <w:spacing w:before="72"/>
        <w:ind w:left="0" w:right="1134"/>
        <w:rPr>
          <w:rStyle w:val="default"/>
          <w:rFonts w:cs="FrankRuehl"/>
          <w:rtl/>
        </w:rPr>
      </w:pPr>
      <w:bookmarkStart w:id="0" w:name="Seif0"/>
      <w:bookmarkEnd w:id="0"/>
      <w:r>
        <w:rPr>
          <w:lang w:val="he-IL"/>
        </w:rPr>
        <w:pict w14:anchorId="5C7039A5">
          <v:rect id="_x0000_s1026" style="position:absolute;left:0;text-align:left;margin-left:464.5pt;margin-top:8.05pt;width:75.05pt;height:24.2pt;z-index:251648000" o:allowincell="f" filled="f" stroked="f" strokecolor="lime" strokeweight=".25pt">
            <v:textbox inset="0,0,0,0">
              <w:txbxContent>
                <w:p w14:paraId="5ADEF2B0" w14:textId="77777777" w:rsidR="009B0FFC" w:rsidRDefault="009B0FFC" w:rsidP="0014692A">
                  <w:pPr>
                    <w:spacing w:line="160" w:lineRule="exact"/>
                    <w:jc w:val="left"/>
                    <w:rPr>
                      <w:rFonts w:cs="Miriam"/>
                      <w:noProof/>
                      <w:szCs w:val="18"/>
                      <w:rtl/>
                    </w:rPr>
                  </w:pPr>
                  <w:r>
                    <w:rPr>
                      <w:rFonts w:cs="Miriam"/>
                      <w:szCs w:val="18"/>
                      <w:rtl/>
                    </w:rPr>
                    <w:t>ס</w:t>
                  </w:r>
                  <w:r>
                    <w:rPr>
                      <w:rFonts w:cs="Miriam" w:hint="cs"/>
                      <w:szCs w:val="18"/>
                      <w:rtl/>
                    </w:rPr>
                    <w:t>מכותה של</w:t>
                  </w:r>
                  <w:r w:rsidR="0014692A">
                    <w:rPr>
                      <w:rFonts w:cs="Miriam" w:hint="cs"/>
                      <w:szCs w:val="18"/>
                      <w:rtl/>
                    </w:rPr>
                    <w:t xml:space="preserve"> </w:t>
                  </w:r>
                  <w:r>
                    <w:rPr>
                      <w:rFonts w:cs="Miriam"/>
                      <w:szCs w:val="18"/>
                      <w:rtl/>
                    </w:rPr>
                    <w:t>ו</w:t>
                  </w:r>
                  <w:r>
                    <w:rPr>
                      <w:rFonts w:cs="Miriam" w:hint="cs"/>
                      <w:szCs w:val="18"/>
                      <w:rtl/>
                    </w:rPr>
                    <w:t>עדת</w:t>
                  </w:r>
                  <w:r>
                    <w:rPr>
                      <w:rFonts w:cs="Miriam"/>
                      <w:szCs w:val="18"/>
                      <w:rtl/>
                    </w:rPr>
                    <w:t xml:space="preserve"> </w:t>
                  </w:r>
                  <w:r>
                    <w:rPr>
                      <w:rFonts w:cs="Miriam" w:hint="cs"/>
                      <w:szCs w:val="18"/>
                      <w:rtl/>
                    </w:rPr>
                    <w:t>הבחירה</w:t>
                  </w:r>
                </w:p>
              </w:txbxContent>
            </v:textbox>
            <w10:anchorlock/>
          </v:rect>
        </w:pict>
      </w:r>
      <w:r>
        <w:rPr>
          <w:rStyle w:val="big-number"/>
          <w:rtl/>
        </w:rPr>
        <w:t>1.</w:t>
      </w:r>
      <w:r>
        <w:rPr>
          <w:rStyle w:val="big-number"/>
          <w:rtl/>
        </w:rPr>
        <w:tab/>
      </w:r>
      <w:r>
        <w:rPr>
          <w:rStyle w:val="default"/>
          <w:rFonts w:cs="FrankRuehl"/>
          <w:rtl/>
        </w:rPr>
        <w:t>ל</w:t>
      </w:r>
      <w:r>
        <w:rPr>
          <w:rStyle w:val="default"/>
          <w:rFonts w:cs="FrankRuehl" w:hint="cs"/>
          <w:rtl/>
        </w:rPr>
        <w:t>פי סעיף 7(4) לחוק היסוד יכולה כהונת שופט להסתיים לפי החלטה של ועדת הבחירה, אשר אותה הציע יושב ראש הועדה או נשיא ב</w:t>
      </w:r>
      <w:r>
        <w:rPr>
          <w:rStyle w:val="default"/>
          <w:rFonts w:cs="FrankRuehl"/>
          <w:rtl/>
        </w:rPr>
        <w:t>י</w:t>
      </w:r>
      <w:r>
        <w:rPr>
          <w:rStyle w:val="default"/>
          <w:rFonts w:cs="FrankRuehl" w:hint="cs"/>
          <w:rtl/>
        </w:rPr>
        <w:t xml:space="preserve">ת המשפט העליון. </w:t>
      </w:r>
    </w:p>
    <w:p w14:paraId="669A4ED2" w14:textId="77777777" w:rsidR="009B0FFC" w:rsidRDefault="009B0FFC">
      <w:pPr>
        <w:pStyle w:val="P00"/>
        <w:spacing w:before="72"/>
        <w:ind w:left="0" w:right="1134"/>
        <w:rPr>
          <w:rStyle w:val="default"/>
          <w:rFonts w:cs="FrankRuehl"/>
          <w:rtl/>
        </w:rPr>
      </w:pPr>
      <w:bookmarkStart w:id="1" w:name="Seif1"/>
      <w:bookmarkEnd w:id="1"/>
      <w:r>
        <w:rPr>
          <w:lang w:val="he-IL"/>
        </w:rPr>
        <w:pict w14:anchorId="58606913">
          <v:rect id="_x0000_s1027" style="position:absolute;left:0;text-align:left;margin-left:464.5pt;margin-top:8.05pt;width:75.05pt;height:13.65pt;z-index:251649024" o:allowincell="f" filled="f" stroked="f" strokecolor="lime" strokeweight=".25pt">
            <v:textbox inset="0,0,0,0">
              <w:txbxContent>
                <w:p w14:paraId="4F5EE3DF" w14:textId="77777777" w:rsidR="009B0FFC" w:rsidRDefault="009B0FFC">
                  <w:pPr>
                    <w:spacing w:line="160" w:lineRule="exact"/>
                    <w:jc w:val="left"/>
                    <w:rPr>
                      <w:rFonts w:cs="Miriam"/>
                      <w:noProof/>
                      <w:szCs w:val="18"/>
                      <w:rtl/>
                    </w:rPr>
                  </w:pPr>
                  <w:r>
                    <w:rPr>
                      <w:rFonts w:cs="Miriam"/>
                      <w:szCs w:val="18"/>
                      <w:rtl/>
                    </w:rPr>
                    <w:t>נ</w:t>
                  </w:r>
                  <w:r>
                    <w:rPr>
                      <w:rFonts w:cs="Miriam" w:hint="cs"/>
                      <w:szCs w:val="18"/>
                      <w:rtl/>
                    </w:rPr>
                    <w:t>וסח ההצעה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ההצעה לדון בסיום כהונתו של שופט לפי סעיף 7(4) לחוק היסוד תיערך בכתב, ותפרט את מהות ההצעה ואת טעמיה העיקריים.</w:t>
      </w:r>
    </w:p>
    <w:p w14:paraId="48CEC43A"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ההצעה תומצא לשופט אשר אליו היא מתייחסת ולכל חברי ועדת הבחירה. </w:t>
      </w:r>
    </w:p>
    <w:p w14:paraId="3F4ABB2A" w14:textId="77777777" w:rsidR="009B0FFC" w:rsidRDefault="009B0FFC">
      <w:pPr>
        <w:pStyle w:val="P00"/>
        <w:spacing w:before="72"/>
        <w:ind w:left="0" w:right="1134"/>
        <w:rPr>
          <w:rStyle w:val="default"/>
          <w:rFonts w:cs="FrankRuehl"/>
          <w:rtl/>
        </w:rPr>
      </w:pPr>
      <w:bookmarkStart w:id="2" w:name="Seif2"/>
      <w:bookmarkEnd w:id="2"/>
      <w:r>
        <w:rPr>
          <w:lang w:val="he-IL"/>
        </w:rPr>
        <w:pict w14:anchorId="05ABDA98">
          <v:rect id="_x0000_s1028" style="position:absolute;left:0;text-align:left;margin-left:464.5pt;margin-top:8.05pt;width:75.05pt;height:14.55pt;z-index:251650048" o:allowincell="f" filled="f" stroked="f" strokecolor="lime" strokeweight=".25pt">
            <v:textbox inset="0,0,0,0">
              <w:txbxContent>
                <w:p w14:paraId="1678DCDE" w14:textId="77777777" w:rsidR="009B0FFC" w:rsidRDefault="009B0FFC">
                  <w:pPr>
                    <w:spacing w:line="160" w:lineRule="exact"/>
                    <w:jc w:val="left"/>
                    <w:rPr>
                      <w:rFonts w:cs="Miriam"/>
                      <w:noProof/>
                      <w:szCs w:val="18"/>
                      <w:rtl/>
                    </w:rPr>
                  </w:pPr>
                  <w:r>
                    <w:rPr>
                      <w:rFonts w:cs="Miriam"/>
                      <w:szCs w:val="18"/>
                      <w:rtl/>
                    </w:rPr>
                    <w:t>ת</w:t>
                  </w:r>
                  <w:r>
                    <w:rPr>
                      <w:rFonts w:cs="Miriam" w:hint="cs"/>
                      <w:szCs w:val="18"/>
                      <w:rtl/>
                    </w:rPr>
                    <w:t>גובת השופט</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שופט רשאי להמציא לועדה תשובה בכתב וזו תוגש בידיו</w:t>
      </w:r>
      <w:r>
        <w:rPr>
          <w:rStyle w:val="default"/>
          <w:rFonts w:cs="FrankRuehl"/>
          <w:rtl/>
        </w:rPr>
        <w:t xml:space="preserve"> </w:t>
      </w:r>
      <w:r>
        <w:rPr>
          <w:rStyle w:val="default"/>
          <w:rFonts w:cs="FrankRuehl" w:hint="cs"/>
          <w:rtl/>
        </w:rPr>
        <w:t xml:space="preserve">תוך 14 ימים מעת שהומצאה לו ההצעה. </w:t>
      </w:r>
    </w:p>
    <w:p w14:paraId="30FB08C9" w14:textId="77777777" w:rsidR="009B0FFC" w:rsidRDefault="009B0FFC" w:rsidP="0014692A">
      <w:pPr>
        <w:pStyle w:val="P00"/>
        <w:spacing w:before="72"/>
        <w:ind w:left="0" w:right="1134"/>
        <w:rPr>
          <w:rStyle w:val="default"/>
          <w:rFonts w:cs="FrankRuehl"/>
          <w:rtl/>
        </w:rPr>
      </w:pPr>
      <w:bookmarkStart w:id="3" w:name="Seif3"/>
      <w:bookmarkEnd w:id="3"/>
      <w:r>
        <w:rPr>
          <w:lang w:val="he-IL"/>
        </w:rPr>
        <w:pict w14:anchorId="2CEDA0C8">
          <v:rect id="_x0000_s1029" style="position:absolute;left:0;text-align:left;margin-left:464.5pt;margin-top:8.05pt;width:75.05pt;height:16pt;z-index:251651072" o:allowincell="f" filled="f" stroked="f" strokecolor="lime" strokeweight=".25pt">
            <v:textbox inset="0,0,0,0">
              <w:txbxContent>
                <w:p w14:paraId="53ED8E61" w14:textId="77777777" w:rsidR="009B0FFC" w:rsidRDefault="009B0FFC" w:rsidP="0014692A">
                  <w:pPr>
                    <w:spacing w:line="160" w:lineRule="exact"/>
                    <w:jc w:val="left"/>
                    <w:rPr>
                      <w:rFonts w:cs="Miriam"/>
                      <w:noProof/>
                      <w:szCs w:val="18"/>
                      <w:rtl/>
                    </w:rPr>
                  </w:pPr>
                  <w:r>
                    <w:rPr>
                      <w:rFonts w:cs="Miriam"/>
                      <w:szCs w:val="18"/>
                      <w:rtl/>
                    </w:rPr>
                    <w:t>מ</w:t>
                  </w:r>
                  <w:r>
                    <w:rPr>
                      <w:rFonts w:cs="Miriam" w:hint="cs"/>
                      <w:szCs w:val="18"/>
                      <w:rtl/>
                    </w:rPr>
                    <w:t>ינוי ועדת</w:t>
                  </w:r>
                  <w:r w:rsidR="0014692A">
                    <w:rPr>
                      <w:rFonts w:cs="Miriam" w:hint="cs"/>
                      <w:szCs w:val="18"/>
                      <w:rtl/>
                    </w:rPr>
                    <w:t xml:space="preserve"> </w:t>
                  </w:r>
                  <w:r>
                    <w:rPr>
                      <w:rFonts w:cs="Miriam"/>
                      <w:szCs w:val="18"/>
                      <w:rtl/>
                    </w:rPr>
                    <w:t>מ</w:t>
                  </w:r>
                  <w:r>
                    <w:rPr>
                      <w:rFonts w:cs="Miriam" w:hint="cs"/>
                      <w:szCs w:val="18"/>
                      <w:rtl/>
                    </w:rPr>
                    <w:t>שנה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עם קבלת התשובה של השופט, או אחרי חלוף המועד להגשת תשובה כאמור בסעיף 3, תתכנס ועדת הבחירה לשם החלטה על המשך הטיפול בהצעה ואם החליטה להוסיף ולדון בהצעה, היא רשאית למנות ועדת משנה מיוחדת לשם איסוף נתונים נוספים (להל</w:t>
      </w:r>
      <w:r>
        <w:rPr>
          <w:rStyle w:val="default"/>
          <w:rFonts w:cs="FrankRuehl"/>
          <w:rtl/>
        </w:rPr>
        <w:t>ן</w:t>
      </w:r>
      <w:r>
        <w:rPr>
          <w:rStyle w:val="default"/>
          <w:rFonts w:cs="FrankRuehl" w:hint="cs"/>
          <w:rtl/>
        </w:rPr>
        <w:t xml:space="preserve"> </w:t>
      </w:r>
      <w:r w:rsidR="0014692A">
        <w:rPr>
          <w:rStyle w:val="default"/>
          <w:rFonts w:cs="FrankRuehl" w:hint="cs"/>
          <w:rtl/>
        </w:rPr>
        <w:t>-</w:t>
      </w:r>
      <w:r>
        <w:rPr>
          <w:rStyle w:val="default"/>
          <w:rFonts w:cs="FrankRuehl" w:hint="cs"/>
          <w:rtl/>
        </w:rPr>
        <w:t xml:space="preserve"> ועדת המשנה).</w:t>
      </w:r>
    </w:p>
    <w:p w14:paraId="298CC849"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הרכבה של ועדת המשנה ייקבע בידי נשיא בית המשפט העליון ובידי יושב ראש ועדת הבחירה.</w:t>
      </w:r>
    </w:p>
    <w:p w14:paraId="18EC5404"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ועדת הבחירה יכהן כיושב ראש ועדת המשנה, אולם אם יושב ראש ועדת הבחירה הוא שהגיש את ההצעה כאמור בסעיף 2 יכהן נשיא בית המשפט העליון כיושב ראש ו</w:t>
      </w:r>
      <w:r>
        <w:rPr>
          <w:rStyle w:val="default"/>
          <w:rFonts w:cs="FrankRuehl"/>
          <w:rtl/>
        </w:rPr>
        <w:t>ע</w:t>
      </w:r>
      <w:r>
        <w:rPr>
          <w:rStyle w:val="default"/>
          <w:rFonts w:cs="FrankRuehl" w:hint="cs"/>
          <w:rtl/>
        </w:rPr>
        <w:t xml:space="preserve">דת המשנה. </w:t>
      </w:r>
    </w:p>
    <w:p w14:paraId="3D5FD979" w14:textId="77777777" w:rsidR="009B0FFC" w:rsidRDefault="009B0FFC">
      <w:pPr>
        <w:pStyle w:val="P00"/>
        <w:spacing w:before="72"/>
        <w:ind w:left="0" w:right="1134"/>
        <w:rPr>
          <w:rStyle w:val="default"/>
          <w:rFonts w:cs="FrankRuehl"/>
          <w:rtl/>
        </w:rPr>
      </w:pPr>
      <w:bookmarkStart w:id="4" w:name="Seif4"/>
      <w:bookmarkEnd w:id="4"/>
      <w:r>
        <w:rPr>
          <w:lang w:val="he-IL"/>
        </w:rPr>
        <w:pict w14:anchorId="333DEEE6">
          <v:rect id="_x0000_s1030" style="position:absolute;left:0;text-align:left;margin-left:464.5pt;margin-top:8.05pt;width:75.05pt;height:10.95pt;z-index:251652096" o:allowincell="f" filled="f" stroked="f" strokecolor="lime" strokeweight=".25pt">
            <v:textbox inset="0,0,0,0">
              <w:txbxContent>
                <w:p w14:paraId="3DF846F9" w14:textId="77777777" w:rsidR="009B0FFC" w:rsidRDefault="009B0FFC">
                  <w:pPr>
                    <w:spacing w:line="160" w:lineRule="exact"/>
                    <w:jc w:val="left"/>
                    <w:rPr>
                      <w:rFonts w:cs="Miriam"/>
                      <w:noProof/>
                      <w:szCs w:val="18"/>
                      <w:rtl/>
                    </w:rPr>
                  </w:pPr>
                  <w:r>
                    <w:rPr>
                      <w:rFonts w:cs="Miriam"/>
                      <w:szCs w:val="18"/>
                      <w:rtl/>
                    </w:rPr>
                    <w:t>ש</w:t>
                  </w:r>
                  <w:r>
                    <w:rPr>
                      <w:rFonts w:cs="Miriam" w:hint="cs"/>
                      <w:szCs w:val="18"/>
                      <w:rtl/>
                    </w:rPr>
                    <w:t>מיעת עדים</w:t>
                  </w:r>
                </w:p>
              </w:txbxContent>
            </v:textbox>
            <w10:anchorlock/>
          </v:rect>
        </w:pict>
      </w:r>
      <w:r>
        <w:rPr>
          <w:rStyle w:val="big-number"/>
          <w:rtl/>
        </w:rPr>
        <w:t>5.</w:t>
      </w:r>
      <w:r>
        <w:rPr>
          <w:rStyle w:val="big-number"/>
          <w:rtl/>
        </w:rPr>
        <w:tab/>
      </w:r>
      <w:r>
        <w:rPr>
          <w:rStyle w:val="default"/>
          <w:rFonts w:cs="FrankRuehl"/>
          <w:rtl/>
        </w:rPr>
        <w:t>ו</w:t>
      </w:r>
      <w:r>
        <w:rPr>
          <w:rStyle w:val="default"/>
          <w:rFonts w:cs="FrankRuehl" w:hint="cs"/>
          <w:rtl/>
        </w:rPr>
        <w:t xml:space="preserve">עדת המשנה תשמע את דבריהם של האנשים היכולים לחוות דעתם בנושא שנמסר לטיפולה. </w:t>
      </w:r>
    </w:p>
    <w:p w14:paraId="2126BD64" w14:textId="77777777" w:rsidR="009B0FFC" w:rsidRDefault="009B0FFC">
      <w:pPr>
        <w:pStyle w:val="P00"/>
        <w:spacing w:before="72"/>
        <w:ind w:left="0" w:right="1134"/>
        <w:rPr>
          <w:rStyle w:val="default"/>
          <w:rFonts w:cs="FrankRuehl"/>
          <w:rtl/>
        </w:rPr>
      </w:pPr>
      <w:bookmarkStart w:id="5" w:name="Seif5"/>
      <w:bookmarkEnd w:id="5"/>
      <w:r>
        <w:rPr>
          <w:lang w:val="he-IL"/>
        </w:rPr>
        <w:pict w14:anchorId="6A02CA04">
          <v:rect id="_x0000_s1031" style="position:absolute;left:0;text-align:left;margin-left:464.5pt;margin-top:8.05pt;width:75.05pt;height:11.65pt;z-index:251653120" o:allowincell="f" filled="f" stroked="f" strokecolor="lime" strokeweight=".25pt">
            <v:textbox inset="0,0,0,0">
              <w:txbxContent>
                <w:p w14:paraId="1B4A375F" w14:textId="77777777" w:rsidR="009B0FFC" w:rsidRDefault="009B0FFC">
                  <w:pPr>
                    <w:spacing w:line="160" w:lineRule="exact"/>
                    <w:jc w:val="left"/>
                    <w:rPr>
                      <w:rFonts w:cs="Miriam"/>
                      <w:noProof/>
                      <w:szCs w:val="18"/>
                      <w:rtl/>
                    </w:rPr>
                  </w:pPr>
                  <w:r>
                    <w:rPr>
                      <w:rFonts w:cs="Miriam"/>
                      <w:szCs w:val="18"/>
                      <w:rtl/>
                    </w:rPr>
                    <w:t>ה</w:t>
                  </w:r>
                  <w:r>
                    <w:rPr>
                      <w:rFonts w:cs="Miriam" w:hint="cs"/>
                      <w:szCs w:val="18"/>
                      <w:rtl/>
                    </w:rPr>
                    <w:t>ודעה לשופט</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 xml:space="preserve">ם כינונה תודיע על כך ועדת המשנה לשופט הנוגע בדבר. </w:t>
      </w:r>
    </w:p>
    <w:p w14:paraId="663C7546" w14:textId="77777777" w:rsidR="009B0FFC" w:rsidRDefault="009B0FFC">
      <w:pPr>
        <w:pStyle w:val="P00"/>
        <w:spacing w:before="72"/>
        <w:ind w:left="0" w:right="1134"/>
        <w:rPr>
          <w:rStyle w:val="default"/>
          <w:rFonts w:cs="FrankRuehl"/>
          <w:rtl/>
        </w:rPr>
      </w:pPr>
      <w:bookmarkStart w:id="6" w:name="Seif6"/>
      <w:bookmarkEnd w:id="6"/>
      <w:r>
        <w:rPr>
          <w:lang w:val="he-IL"/>
        </w:rPr>
        <w:pict w14:anchorId="080CDAD7">
          <v:rect id="_x0000_s1032" style="position:absolute;left:0;text-align:left;margin-left:464.5pt;margin-top:8.05pt;width:75.05pt;height:16pt;z-index:251654144" o:allowincell="f" filled="f" stroked="f" strokecolor="lime" strokeweight=".25pt">
            <v:textbox inset="0,0,0,0">
              <w:txbxContent>
                <w:p w14:paraId="36722545" w14:textId="77777777" w:rsidR="009B0FFC" w:rsidRDefault="009B0FFC" w:rsidP="0014692A">
                  <w:pPr>
                    <w:spacing w:line="160" w:lineRule="exact"/>
                    <w:jc w:val="left"/>
                    <w:rPr>
                      <w:rFonts w:cs="Miriam"/>
                      <w:noProof/>
                      <w:szCs w:val="18"/>
                      <w:rtl/>
                    </w:rPr>
                  </w:pPr>
                  <w:r>
                    <w:rPr>
                      <w:rFonts w:cs="Miriam"/>
                      <w:szCs w:val="18"/>
                      <w:rtl/>
                    </w:rPr>
                    <w:t>ד</w:t>
                  </w:r>
                  <w:r>
                    <w:rPr>
                      <w:rFonts w:cs="Miriam" w:hint="cs"/>
                      <w:szCs w:val="18"/>
                      <w:rtl/>
                    </w:rPr>
                    <w:t>רך שמיעת</w:t>
                  </w:r>
                  <w:r w:rsidR="0014692A">
                    <w:rPr>
                      <w:rFonts w:cs="Miriam" w:hint="cs"/>
                      <w:szCs w:val="18"/>
                      <w:rtl/>
                    </w:rPr>
                    <w:t xml:space="preserve"> </w:t>
                  </w:r>
                  <w:r>
                    <w:rPr>
                      <w:rFonts w:cs="Miriam"/>
                      <w:szCs w:val="18"/>
                      <w:rtl/>
                    </w:rPr>
                    <w:t>ה</w:t>
                  </w:r>
                  <w:r>
                    <w:rPr>
                      <w:rFonts w:cs="Miriam" w:hint="cs"/>
                      <w:szCs w:val="18"/>
                      <w:rtl/>
                    </w:rPr>
                    <w:t>עדות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w:t>
      </w:r>
      <w:r>
        <w:rPr>
          <w:rStyle w:val="default"/>
          <w:rFonts w:cs="FrankRuehl"/>
          <w:rtl/>
        </w:rPr>
        <w:t>ו</w:t>
      </w:r>
      <w:r>
        <w:rPr>
          <w:rStyle w:val="default"/>
          <w:rFonts w:cs="FrankRuehl" w:hint="cs"/>
          <w:rtl/>
        </w:rPr>
        <w:t>ף לאמור בסעיף 9, תישמע עדותו של כל עד המעיד לפני ועדת המשנה, בשלב הראשון, בנוכחות חברי ועדת המשנה בלבד.</w:t>
      </w:r>
    </w:p>
    <w:p w14:paraId="386BF75D"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דברי העד יירשמו בפרוטוקול הדיון שינוהל בידי היושב ראש של ועדת המשנה. </w:t>
      </w:r>
    </w:p>
    <w:p w14:paraId="20FD8B12" w14:textId="77777777" w:rsidR="009B0FFC" w:rsidRDefault="009B0FFC">
      <w:pPr>
        <w:pStyle w:val="P00"/>
        <w:spacing w:before="72"/>
        <w:ind w:left="0" w:right="1134"/>
        <w:rPr>
          <w:rStyle w:val="default"/>
          <w:rFonts w:cs="FrankRuehl"/>
          <w:rtl/>
        </w:rPr>
      </w:pPr>
      <w:bookmarkStart w:id="7" w:name="Seif7"/>
      <w:bookmarkEnd w:id="7"/>
      <w:r>
        <w:rPr>
          <w:lang w:val="he-IL"/>
        </w:rPr>
        <w:pict w14:anchorId="70342658">
          <v:rect id="_x0000_s1033" style="position:absolute;left:0;text-align:left;margin-left:464.5pt;margin-top:8.05pt;width:75.05pt;height:16pt;z-index:251655168" o:allowincell="f" filled="f" stroked="f" strokecolor="lime" strokeweight=".25pt">
            <v:textbox inset="0,0,0,0">
              <w:txbxContent>
                <w:p w14:paraId="027B60AA" w14:textId="77777777" w:rsidR="009B0FFC" w:rsidRDefault="009B0FFC" w:rsidP="0014692A">
                  <w:pPr>
                    <w:spacing w:line="160" w:lineRule="exact"/>
                    <w:jc w:val="left"/>
                    <w:rPr>
                      <w:rFonts w:cs="Miriam"/>
                      <w:noProof/>
                      <w:szCs w:val="18"/>
                      <w:rtl/>
                    </w:rPr>
                  </w:pPr>
                  <w:r>
                    <w:rPr>
                      <w:rFonts w:cs="Miriam"/>
                      <w:szCs w:val="18"/>
                      <w:rtl/>
                    </w:rPr>
                    <w:t>ד</w:t>
                  </w:r>
                  <w:r>
                    <w:rPr>
                      <w:rFonts w:cs="Miriam" w:hint="cs"/>
                      <w:szCs w:val="18"/>
                      <w:rtl/>
                    </w:rPr>
                    <w:t>יון ביניים</w:t>
                  </w:r>
                  <w:r w:rsidR="0014692A">
                    <w:rPr>
                      <w:rFonts w:cs="Miriam" w:hint="cs"/>
                      <w:szCs w:val="18"/>
                      <w:rtl/>
                    </w:rPr>
                    <w:t xml:space="preserve"> </w:t>
                  </w:r>
                  <w:r>
                    <w:rPr>
                      <w:rFonts w:cs="Miriam"/>
                      <w:szCs w:val="18"/>
                      <w:rtl/>
                    </w:rPr>
                    <w:t>ב</w:t>
                  </w:r>
                  <w:r>
                    <w:rPr>
                      <w:rFonts w:cs="Miriam" w:hint="cs"/>
                      <w:szCs w:val="18"/>
                      <w:rtl/>
                    </w:rPr>
                    <w:t>מליאה</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חרי קבלת העדויות ולפני כל פעולה נוספת רשאית ועדת המשנה להציע למליאת ועד</w:t>
      </w:r>
      <w:r>
        <w:rPr>
          <w:rStyle w:val="default"/>
          <w:rFonts w:cs="FrankRuehl"/>
          <w:rtl/>
        </w:rPr>
        <w:t>ת</w:t>
      </w:r>
      <w:r>
        <w:rPr>
          <w:rStyle w:val="default"/>
          <w:rFonts w:cs="FrankRuehl" w:hint="cs"/>
          <w:rtl/>
        </w:rPr>
        <w:t xml:space="preserve"> הבחירה כי תדון מחדש בשאלה אם להמשיך בפעולתה.</w:t>
      </w:r>
    </w:p>
    <w:p w14:paraId="39CCF4AD" w14:textId="77777777" w:rsidR="009B0FFC" w:rsidRDefault="009B0FFC">
      <w:pPr>
        <w:pStyle w:val="P00"/>
        <w:spacing w:before="72"/>
        <w:ind w:left="0" w:right="1134"/>
        <w:rPr>
          <w:rStyle w:val="default"/>
          <w:rFonts w:cs="FrankRuehl"/>
          <w:rtl/>
        </w:rPr>
      </w:pPr>
      <w:bookmarkStart w:id="8" w:name="Seif8"/>
      <w:bookmarkEnd w:id="8"/>
      <w:r>
        <w:rPr>
          <w:lang w:val="he-IL"/>
        </w:rPr>
        <w:pict w14:anchorId="1BAFFFAC">
          <v:rect id="_x0000_s1034" style="position:absolute;left:0;text-align:left;margin-left:464.5pt;margin-top:8.05pt;width:75.05pt;height:16pt;z-index:251656192" o:allowincell="f" filled="f" stroked="f" strokecolor="lime" strokeweight=".25pt">
            <v:textbox inset="0,0,0,0">
              <w:txbxContent>
                <w:p w14:paraId="4D886FA4" w14:textId="77777777" w:rsidR="009B0FFC" w:rsidRDefault="009B0FFC" w:rsidP="0014692A">
                  <w:pPr>
                    <w:spacing w:line="160" w:lineRule="exact"/>
                    <w:jc w:val="left"/>
                    <w:rPr>
                      <w:rFonts w:cs="Miriam"/>
                      <w:noProof/>
                      <w:szCs w:val="18"/>
                      <w:rtl/>
                    </w:rPr>
                  </w:pPr>
                  <w:r>
                    <w:rPr>
                      <w:rFonts w:cs="Miriam"/>
                      <w:szCs w:val="18"/>
                      <w:rtl/>
                    </w:rPr>
                    <w:t>מ</w:t>
                  </w:r>
                  <w:r>
                    <w:rPr>
                      <w:rFonts w:cs="Miriam" w:hint="cs"/>
                      <w:szCs w:val="18"/>
                      <w:rtl/>
                    </w:rPr>
                    <w:t>סירת המידע</w:t>
                  </w:r>
                  <w:r w:rsidR="0014692A">
                    <w:rPr>
                      <w:rFonts w:cs="Miriam" w:hint="cs"/>
                      <w:szCs w:val="18"/>
                      <w:rtl/>
                    </w:rPr>
                    <w:t xml:space="preserve"> </w:t>
                  </w:r>
                  <w:r>
                    <w:rPr>
                      <w:rFonts w:cs="Miriam"/>
                      <w:szCs w:val="18"/>
                      <w:rtl/>
                    </w:rPr>
                    <w:t>ל</w:t>
                  </w:r>
                  <w:r>
                    <w:rPr>
                      <w:rFonts w:cs="Miriam" w:hint="cs"/>
                      <w:szCs w:val="18"/>
                      <w:rtl/>
                    </w:rPr>
                    <w:t>שופט</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אחרי שמיעת העדים ואם לא הוחלט במליאה, בעקבות דיון כאמור בסעיף 8, על הפסקת הטיפול בהצעה, תמסור ועדת המשנה לשופט את תוכן הדברים כפי שנרשמו בפרוטוקול, בציון זהותו של מי שמסר אותם.</w:t>
      </w:r>
    </w:p>
    <w:p w14:paraId="06D3611A"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השופט רשאי לבקש מוע</w:t>
      </w:r>
      <w:r>
        <w:rPr>
          <w:rStyle w:val="default"/>
          <w:rFonts w:cs="FrankRuehl"/>
          <w:rtl/>
        </w:rPr>
        <w:t>ד</w:t>
      </w:r>
      <w:r>
        <w:rPr>
          <w:rStyle w:val="default"/>
          <w:rFonts w:cs="FrankRuehl" w:hint="cs"/>
          <w:rtl/>
        </w:rPr>
        <w:t xml:space="preserve">ת המשנה כי עד פלוני שמסר כבר דבריו לועדה, כאמור, יוזמן מחדש כדי שהשופט יוכל להציג לו שאלות נוספות; כן יוכל לבקש כי ועדת המשנה תזמין אנשים נוספים כפי שהוא יפרסם. </w:t>
      </w:r>
    </w:p>
    <w:p w14:paraId="7640C429"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ועדת המשנה תחליט אם יש בהזמנתם של העדים הנוספים, כפי שנתבקשה, כדי לתרום לכאורה, לבירורה </w:t>
      </w:r>
      <w:r>
        <w:rPr>
          <w:rStyle w:val="default"/>
          <w:rFonts w:cs="FrankRuehl"/>
          <w:rtl/>
        </w:rPr>
        <w:t>ש</w:t>
      </w:r>
      <w:r>
        <w:rPr>
          <w:rStyle w:val="default"/>
          <w:rFonts w:cs="FrankRuehl" w:hint="cs"/>
          <w:rtl/>
        </w:rPr>
        <w:t xml:space="preserve">ל השאלה שנמסרה לטיפולה, ואם החלטתה היא חיובית, תעשה ועדת המשנה כמבוקש; אולם, עד שהעיד כבר ואשר הזמנתו מחדש נתבקשה בידי השופט, יוזמן בכל מקרה. </w:t>
      </w:r>
    </w:p>
    <w:p w14:paraId="2DB24F0F" w14:textId="77777777" w:rsidR="009B0FFC" w:rsidRDefault="009B0FFC">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בעת השמעת דבריהם של אנשים המוזמנים לפי הוראותיו של סעיף זה יהיה נוכח גם השופט. </w:t>
      </w:r>
    </w:p>
    <w:p w14:paraId="2C8FB729"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בכל שלב רשאי השופט להי</w:t>
      </w:r>
      <w:r>
        <w:rPr>
          <w:rStyle w:val="default"/>
          <w:rFonts w:cs="FrankRuehl"/>
          <w:rtl/>
        </w:rPr>
        <w:t>ו</w:t>
      </w:r>
      <w:r>
        <w:rPr>
          <w:rStyle w:val="default"/>
          <w:rFonts w:cs="FrankRuehl" w:hint="cs"/>
          <w:rtl/>
        </w:rPr>
        <w:t xml:space="preserve">ת מיוצג על-ידי עורך דין. </w:t>
      </w:r>
    </w:p>
    <w:p w14:paraId="20726907" w14:textId="77777777" w:rsidR="009B0FFC" w:rsidRDefault="009B0FFC">
      <w:pPr>
        <w:pStyle w:val="P00"/>
        <w:spacing w:before="72"/>
        <w:ind w:left="0" w:right="1134"/>
        <w:rPr>
          <w:rStyle w:val="default"/>
          <w:rFonts w:cs="FrankRuehl"/>
          <w:rtl/>
        </w:rPr>
      </w:pPr>
      <w:bookmarkStart w:id="9" w:name="Seif9"/>
      <w:bookmarkEnd w:id="9"/>
      <w:r>
        <w:rPr>
          <w:lang w:val="he-IL"/>
        </w:rPr>
        <w:pict w14:anchorId="49F02D25">
          <v:rect id="_x0000_s1035" style="position:absolute;left:0;text-align:left;margin-left:464.5pt;margin-top:8.05pt;width:75.05pt;height:16pt;z-index:251657216" o:allowincell="f" filled="f" stroked="f" strokecolor="lime" strokeweight=".25pt">
            <v:textbox inset="0,0,0,0">
              <w:txbxContent>
                <w:p w14:paraId="70BEFCFF" w14:textId="77777777" w:rsidR="009B0FFC" w:rsidRDefault="009B0FFC" w:rsidP="0014692A">
                  <w:pPr>
                    <w:spacing w:line="160" w:lineRule="exact"/>
                    <w:jc w:val="left"/>
                    <w:rPr>
                      <w:rFonts w:cs="Miriam"/>
                      <w:noProof/>
                      <w:szCs w:val="18"/>
                      <w:rtl/>
                    </w:rPr>
                  </w:pPr>
                  <w:r>
                    <w:rPr>
                      <w:rFonts w:cs="Miriam"/>
                      <w:szCs w:val="18"/>
                      <w:rtl/>
                    </w:rPr>
                    <w:t>ח</w:t>
                  </w:r>
                  <w:r>
                    <w:rPr>
                      <w:rFonts w:cs="Miriam" w:hint="cs"/>
                      <w:szCs w:val="18"/>
                      <w:rtl/>
                    </w:rPr>
                    <w:t>וות דעת</w:t>
                  </w:r>
                  <w:r w:rsidR="0014692A">
                    <w:rPr>
                      <w:rFonts w:cs="Miriam" w:hint="cs"/>
                      <w:szCs w:val="18"/>
                      <w:rtl/>
                    </w:rPr>
                    <w:t xml:space="preserve"> </w:t>
                  </w:r>
                  <w:r>
                    <w:rPr>
                      <w:rFonts w:cs="Miriam"/>
                      <w:szCs w:val="18"/>
                      <w:rtl/>
                    </w:rPr>
                    <w:t>ב</w:t>
                  </w:r>
                  <w:r>
                    <w:rPr>
                      <w:rFonts w:cs="Miriam" w:hint="cs"/>
                      <w:szCs w:val="18"/>
                      <w:rtl/>
                    </w:rPr>
                    <w:t>כתב</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ועדת המשנה רשאית לקבל לידיה חוות דעת בכתב ותוכנה יובא לידיעת השופט, על פי הכלל שנקבע בסעיף 9. </w:t>
      </w:r>
    </w:p>
    <w:p w14:paraId="6033EFCF"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השופט רשאי לבקש גם הזמנתו, כאמור בסעיף 9(ב), של מי שמסר חוות דעת בכתב. </w:t>
      </w:r>
    </w:p>
    <w:p w14:paraId="4383AFDE" w14:textId="77777777" w:rsidR="009B0FFC" w:rsidRDefault="009B0FFC">
      <w:pPr>
        <w:pStyle w:val="P00"/>
        <w:spacing w:before="72"/>
        <w:ind w:left="0" w:right="1134"/>
        <w:rPr>
          <w:rStyle w:val="default"/>
          <w:rFonts w:cs="FrankRuehl"/>
          <w:rtl/>
        </w:rPr>
      </w:pPr>
      <w:bookmarkStart w:id="10" w:name="Seif10"/>
      <w:bookmarkEnd w:id="10"/>
      <w:r>
        <w:rPr>
          <w:lang w:val="he-IL"/>
        </w:rPr>
        <w:pict w14:anchorId="1E00BF1B">
          <v:rect id="_x0000_s1036" style="position:absolute;left:0;text-align:left;margin-left:464.5pt;margin-top:8.05pt;width:75.05pt;height:20.1pt;z-index:251658240" o:allowincell="f" filled="f" stroked="f" strokecolor="lime" strokeweight=".25pt">
            <v:textbox inset="0,0,0,0">
              <w:txbxContent>
                <w:p w14:paraId="20F6A1FD" w14:textId="77777777" w:rsidR="009B0FFC" w:rsidRDefault="009B0FFC" w:rsidP="0014692A">
                  <w:pPr>
                    <w:spacing w:line="160" w:lineRule="exact"/>
                    <w:jc w:val="left"/>
                    <w:rPr>
                      <w:rFonts w:cs="Miriam"/>
                      <w:noProof/>
                      <w:szCs w:val="18"/>
                      <w:rtl/>
                    </w:rPr>
                  </w:pPr>
                  <w:r>
                    <w:rPr>
                      <w:rFonts w:cs="Miriam"/>
                      <w:szCs w:val="18"/>
                      <w:rtl/>
                    </w:rPr>
                    <w:t>ד</w:t>
                  </w:r>
                  <w:r>
                    <w:rPr>
                      <w:rFonts w:cs="Miriam" w:hint="cs"/>
                      <w:szCs w:val="18"/>
                      <w:rtl/>
                    </w:rPr>
                    <w:t>ין וחשבון של</w:t>
                  </w:r>
                  <w:r w:rsidR="0014692A">
                    <w:rPr>
                      <w:rFonts w:cs="Miriam" w:hint="cs"/>
                      <w:szCs w:val="18"/>
                      <w:rtl/>
                    </w:rPr>
                    <w:t xml:space="preserve"> </w:t>
                  </w:r>
                  <w:r>
                    <w:rPr>
                      <w:rFonts w:cs="Miriam"/>
                      <w:szCs w:val="18"/>
                      <w:rtl/>
                    </w:rPr>
                    <w:t>ו</w:t>
                  </w:r>
                  <w:r>
                    <w:rPr>
                      <w:rFonts w:cs="Miriam" w:hint="cs"/>
                      <w:szCs w:val="18"/>
                      <w:rtl/>
                    </w:rPr>
                    <w:t>עדת המשנה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עם סיום פעולתה תגיש ועדת המשנה דין וחשב</w:t>
      </w:r>
      <w:r>
        <w:rPr>
          <w:rStyle w:val="default"/>
          <w:rFonts w:cs="FrankRuehl"/>
          <w:rtl/>
        </w:rPr>
        <w:t>ו</w:t>
      </w:r>
      <w:r>
        <w:rPr>
          <w:rStyle w:val="default"/>
          <w:rFonts w:cs="FrankRuehl" w:hint="cs"/>
          <w:rtl/>
        </w:rPr>
        <w:t xml:space="preserve">ן בכתב למליאת ועדת הבחירה. </w:t>
      </w:r>
    </w:p>
    <w:p w14:paraId="2DFE9F0E"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פרוטוקול הדיונים יצורף לדין וחשבון של ועדת המשנה.</w:t>
      </w:r>
    </w:p>
    <w:p w14:paraId="1C28B9E6" w14:textId="77777777" w:rsidR="009B0FFC" w:rsidRDefault="009B0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הדין וחשבון יכול שיכיל דעות חולקות. </w:t>
      </w:r>
    </w:p>
    <w:p w14:paraId="61706FEA" w14:textId="77777777" w:rsidR="009B0FFC" w:rsidRDefault="009B0FFC">
      <w:pPr>
        <w:pStyle w:val="P00"/>
        <w:spacing w:before="72"/>
        <w:ind w:left="0" w:right="1134"/>
        <w:rPr>
          <w:rStyle w:val="default"/>
          <w:rFonts w:cs="FrankRuehl"/>
          <w:rtl/>
        </w:rPr>
      </w:pPr>
      <w:bookmarkStart w:id="11" w:name="Seif11"/>
      <w:bookmarkEnd w:id="11"/>
      <w:r>
        <w:rPr>
          <w:lang w:val="he-IL"/>
        </w:rPr>
        <w:pict w14:anchorId="1DB04068">
          <v:rect id="_x0000_s1037" style="position:absolute;left:0;text-align:left;margin-left:464.5pt;margin-top:8.05pt;width:75.05pt;height:24pt;z-index:251659264" o:allowincell="f" filled="f" stroked="f" strokecolor="lime" strokeweight=".25pt">
            <v:textbox inset="0,0,0,0">
              <w:txbxContent>
                <w:p w14:paraId="198F88A0" w14:textId="77777777" w:rsidR="009B0FFC" w:rsidRDefault="009B0FFC" w:rsidP="0014692A">
                  <w:pPr>
                    <w:spacing w:line="160" w:lineRule="exact"/>
                    <w:jc w:val="left"/>
                    <w:rPr>
                      <w:rFonts w:cs="Miriam"/>
                      <w:noProof/>
                      <w:szCs w:val="18"/>
                      <w:rtl/>
                    </w:rPr>
                  </w:pPr>
                  <w:r>
                    <w:rPr>
                      <w:rFonts w:cs="Miriam"/>
                      <w:szCs w:val="18"/>
                      <w:rtl/>
                    </w:rPr>
                    <w:t>ה</w:t>
                  </w:r>
                  <w:r>
                    <w:rPr>
                      <w:rFonts w:cs="Miriam" w:hint="cs"/>
                      <w:szCs w:val="18"/>
                      <w:rtl/>
                    </w:rPr>
                    <w:t>זמנה חוזרת</w:t>
                  </w:r>
                  <w:r w:rsidR="0014692A">
                    <w:rPr>
                      <w:rFonts w:cs="Miriam" w:hint="cs"/>
                      <w:szCs w:val="18"/>
                      <w:rtl/>
                    </w:rPr>
                    <w:t xml:space="preserve"> </w:t>
                  </w:r>
                  <w:r>
                    <w:rPr>
                      <w:rFonts w:cs="Miriam"/>
                      <w:szCs w:val="18"/>
                      <w:rtl/>
                    </w:rPr>
                    <w:t>ש</w:t>
                  </w:r>
                  <w:r>
                    <w:rPr>
                      <w:rFonts w:cs="Miriam" w:hint="cs"/>
                      <w:szCs w:val="18"/>
                      <w:rtl/>
                    </w:rPr>
                    <w:t>ל העד</w:t>
                  </w:r>
                  <w:r w:rsidR="0014692A">
                    <w:rPr>
                      <w:rFonts w:cs="Miriam" w:hint="cs"/>
                      <w:szCs w:val="18"/>
                      <w:rtl/>
                    </w:rPr>
                    <w:t xml:space="preserve"> </w:t>
                  </w:r>
                  <w:r>
                    <w:rPr>
                      <w:rFonts w:cs="Miriam"/>
                      <w:szCs w:val="18"/>
                      <w:rtl/>
                    </w:rPr>
                    <w:t>ב</w:t>
                  </w:r>
                  <w:r>
                    <w:rPr>
                      <w:rFonts w:cs="Miriam" w:hint="cs"/>
                      <w:szCs w:val="18"/>
                      <w:rtl/>
                    </w:rPr>
                    <w:t>ידי המליאה</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ליאת ועדת הבחירה רשאית להחליט על הזמנתו אליה של כל מי שהעיד לפני ועדת המשנה, או של כל עד נוסף, ובל</w:t>
      </w:r>
      <w:r>
        <w:rPr>
          <w:rStyle w:val="default"/>
          <w:rFonts w:cs="FrankRuehl"/>
          <w:rtl/>
        </w:rPr>
        <w:t>ב</w:t>
      </w:r>
      <w:r>
        <w:rPr>
          <w:rStyle w:val="default"/>
          <w:rFonts w:cs="FrankRuehl" w:hint="cs"/>
          <w:rtl/>
        </w:rPr>
        <w:t xml:space="preserve">ד שתוכן הדברים יימסר לשופט ושתישמר לו גם אז הזכות הקבועה בסעיף 9(ב) סיפה. </w:t>
      </w:r>
    </w:p>
    <w:p w14:paraId="3182492A" w14:textId="77777777" w:rsidR="009B0FFC" w:rsidRDefault="009B0FFC">
      <w:pPr>
        <w:pStyle w:val="P00"/>
        <w:spacing w:before="72"/>
        <w:ind w:left="0" w:right="1134"/>
        <w:rPr>
          <w:rStyle w:val="default"/>
          <w:rFonts w:cs="FrankRuehl"/>
          <w:rtl/>
        </w:rPr>
      </w:pPr>
      <w:bookmarkStart w:id="12" w:name="Seif12"/>
      <w:bookmarkEnd w:id="12"/>
      <w:r>
        <w:rPr>
          <w:lang w:val="he-IL"/>
        </w:rPr>
        <w:pict w14:anchorId="0DA3A835">
          <v:rect id="_x0000_s1038" style="position:absolute;left:0;text-align:left;margin-left:464.5pt;margin-top:8.05pt;width:75.05pt;height:24pt;z-index:251660288" o:allowincell="f" filled="f" stroked="f" strokecolor="lime" strokeweight=".25pt">
            <v:textbox inset="0,0,0,0">
              <w:txbxContent>
                <w:p w14:paraId="6BD3D461" w14:textId="77777777" w:rsidR="009B0FFC" w:rsidRDefault="009B0FFC" w:rsidP="0014692A">
                  <w:pPr>
                    <w:spacing w:line="160" w:lineRule="exact"/>
                    <w:jc w:val="left"/>
                    <w:rPr>
                      <w:rFonts w:cs="Miriam"/>
                      <w:noProof/>
                      <w:szCs w:val="18"/>
                      <w:rtl/>
                    </w:rPr>
                  </w:pPr>
                  <w:r>
                    <w:rPr>
                      <w:rFonts w:cs="Miriam"/>
                      <w:szCs w:val="18"/>
                      <w:rtl/>
                    </w:rPr>
                    <w:t>ה</w:t>
                  </w:r>
                  <w:r>
                    <w:rPr>
                      <w:rFonts w:cs="Miriam" w:hint="cs"/>
                      <w:szCs w:val="18"/>
                      <w:rtl/>
                    </w:rPr>
                    <w:t>ופעת השופט</w:t>
                  </w:r>
                  <w:r w:rsidR="0014692A">
                    <w:rPr>
                      <w:rFonts w:cs="Miriam" w:hint="cs"/>
                      <w:szCs w:val="18"/>
                      <w:rtl/>
                    </w:rPr>
                    <w:t xml:space="preserve"> </w:t>
                  </w:r>
                  <w:r>
                    <w:rPr>
                      <w:rFonts w:cs="Miriam"/>
                      <w:szCs w:val="18"/>
                      <w:rtl/>
                    </w:rPr>
                    <w:t>ל</w:t>
                  </w:r>
                  <w:r>
                    <w:rPr>
                      <w:rFonts w:cs="Miriam" w:hint="cs"/>
                      <w:szCs w:val="18"/>
                      <w:rtl/>
                    </w:rPr>
                    <w:t>פני מליאת</w:t>
                  </w:r>
                  <w:r w:rsidR="0014692A">
                    <w:rPr>
                      <w:rFonts w:cs="Miriam" w:hint="cs"/>
                      <w:noProof/>
                      <w:szCs w:val="18"/>
                      <w:rtl/>
                    </w:rPr>
                    <w:t xml:space="preserve"> </w:t>
                  </w:r>
                  <w:r>
                    <w:rPr>
                      <w:rFonts w:cs="Miriam"/>
                      <w:szCs w:val="18"/>
                      <w:rtl/>
                    </w:rPr>
                    <w:t>ו</w:t>
                  </w:r>
                  <w:r>
                    <w:rPr>
                      <w:rFonts w:cs="Miriam" w:hint="cs"/>
                      <w:szCs w:val="18"/>
                      <w:rtl/>
                    </w:rPr>
                    <w:t>עדת הבחירה</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 xml:space="preserve">פני סיכום דעתה תינתן לשופט הנוגע בדבר ההזדמנות, אם ירצה בכך, להשמיע דבריו לפני מליאת ועדת הבחירה. </w:t>
      </w:r>
    </w:p>
    <w:p w14:paraId="6E3D8BF9" w14:textId="77777777" w:rsidR="009B0FFC" w:rsidRDefault="009B0FFC">
      <w:pPr>
        <w:pStyle w:val="P00"/>
        <w:spacing w:before="72"/>
        <w:ind w:left="0" w:right="1134"/>
        <w:rPr>
          <w:rStyle w:val="default"/>
          <w:rFonts w:cs="FrankRuehl"/>
          <w:rtl/>
        </w:rPr>
      </w:pPr>
      <w:bookmarkStart w:id="13" w:name="Seif13"/>
      <w:bookmarkEnd w:id="13"/>
      <w:r>
        <w:rPr>
          <w:lang w:val="he-IL"/>
        </w:rPr>
        <w:pict w14:anchorId="5A78A53C">
          <v:rect id="_x0000_s1039" style="position:absolute;left:0;text-align:left;margin-left:464.5pt;margin-top:8.05pt;width:75.05pt;height:22.5pt;z-index:251661312" o:allowincell="f" filled="f" stroked="f" strokecolor="lime" strokeweight=".25pt">
            <v:textbox inset="0,0,0,0">
              <w:txbxContent>
                <w:p w14:paraId="42612459" w14:textId="77777777" w:rsidR="009B0FFC" w:rsidRDefault="009B0FFC" w:rsidP="0014692A">
                  <w:pPr>
                    <w:spacing w:line="160" w:lineRule="exact"/>
                    <w:jc w:val="left"/>
                    <w:rPr>
                      <w:rFonts w:cs="Miriam"/>
                      <w:noProof/>
                      <w:szCs w:val="18"/>
                      <w:rtl/>
                    </w:rPr>
                  </w:pPr>
                  <w:r>
                    <w:rPr>
                      <w:rFonts w:cs="Miriam"/>
                      <w:szCs w:val="18"/>
                      <w:rtl/>
                    </w:rPr>
                    <w:t>ה</w:t>
                  </w:r>
                  <w:r>
                    <w:rPr>
                      <w:rFonts w:cs="Miriam" w:hint="cs"/>
                      <w:szCs w:val="18"/>
                      <w:rtl/>
                    </w:rPr>
                    <w:t>צבעה בועדת</w:t>
                  </w:r>
                  <w:r w:rsidR="0014692A">
                    <w:rPr>
                      <w:rFonts w:cs="Miriam" w:hint="cs"/>
                      <w:szCs w:val="18"/>
                      <w:rtl/>
                    </w:rPr>
                    <w:t xml:space="preserve"> </w:t>
                  </w:r>
                  <w:r>
                    <w:rPr>
                      <w:rFonts w:cs="Miriam"/>
                      <w:szCs w:val="18"/>
                      <w:rtl/>
                    </w:rPr>
                    <w:t>ה</w:t>
                  </w:r>
                  <w:r>
                    <w:rPr>
                      <w:rFonts w:cs="Miriam" w:hint="cs"/>
                      <w:szCs w:val="18"/>
                      <w:rtl/>
                    </w:rPr>
                    <w:t>בח</w:t>
                  </w:r>
                  <w:r>
                    <w:rPr>
                      <w:rFonts w:cs="Miriam"/>
                      <w:szCs w:val="18"/>
                      <w:rtl/>
                    </w:rPr>
                    <w:t>י</w:t>
                  </w:r>
                  <w:r>
                    <w:rPr>
                      <w:rFonts w:cs="Miriam" w:hint="cs"/>
                      <w:szCs w:val="18"/>
                      <w:rtl/>
                    </w:rPr>
                    <w:t>רה</w:t>
                  </w:r>
                </w:p>
              </w:txbxContent>
            </v:textbox>
            <w10:anchorlock/>
          </v:rect>
        </w:pict>
      </w:r>
      <w:r>
        <w:rPr>
          <w:rStyle w:val="big-number"/>
          <w:rtl/>
        </w:rPr>
        <w:t>14.</w:t>
      </w:r>
      <w:r>
        <w:rPr>
          <w:rStyle w:val="big-number"/>
          <w:rtl/>
        </w:rPr>
        <w:tab/>
      </w:r>
      <w:r>
        <w:rPr>
          <w:rStyle w:val="default"/>
          <w:rFonts w:cs="FrankRuehl"/>
          <w:rtl/>
        </w:rPr>
        <w:t>מ</w:t>
      </w:r>
      <w:r>
        <w:rPr>
          <w:rStyle w:val="default"/>
          <w:rFonts w:cs="FrankRuehl" w:hint="cs"/>
          <w:rtl/>
        </w:rPr>
        <w:t>ליאת ועדת הבחירה תחליט בכל ענין ברוב קולות חבריה אולם היא רשאית להחלי</w:t>
      </w:r>
      <w:r>
        <w:rPr>
          <w:rStyle w:val="default"/>
          <w:rFonts w:cs="FrankRuehl"/>
          <w:rtl/>
        </w:rPr>
        <w:t>ט</w:t>
      </w:r>
      <w:r>
        <w:rPr>
          <w:rStyle w:val="default"/>
          <w:rFonts w:cs="FrankRuehl" w:hint="cs"/>
          <w:rtl/>
        </w:rPr>
        <w:t xml:space="preserve"> על סיום כהונת שופט רק ברוב של שבעה חברים לפחות. </w:t>
      </w:r>
    </w:p>
    <w:p w14:paraId="4A2FC6BE" w14:textId="77777777" w:rsidR="009B0FFC" w:rsidRDefault="009B0FFC">
      <w:pPr>
        <w:pStyle w:val="P00"/>
        <w:spacing w:before="72"/>
        <w:ind w:left="0" w:right="1134"/>
        <w:rPr>
          <w:rStyle w:val="default"/>
          <w:rFonts w:cs="FrankRuehl"/>
          <w:rtl/>
        </w:rPr>
      </w:pPr>
      <w:bookmarkStart w:id="14" w:name="Seif14"/>
      <w:bookmarkEnd w:id="14"/>
      <w:r>
        <w:rPr>
          <w:lang w:val="he-IL"/>
        </w:rPr>
        <w:pict w14:anchorId="6167E089">
          <v:rect id="_x0000_s1040" style="position:absolute;left:0;text-align:left;margin-left:464.5pt;margin-top:8.05pt;width:75.05pt;height:24pt;z-index:251662336" o:allowincell="f" filled="f" stroked="f" strokecolor="lime" strokeweight=".25pt">
            <v:textbox inset="0,0,0,0">
              <w:txbxContent>
                <w:p w14:paraId="08DDBA2B" w14:textId="77777777" w:rsidR="009B0FFC" w:rsidRDefault="009B0FFC" w:rsidP="0014692A">
                  <w:pPr>
                    <w:spacing w:line="160" w:lineRule="exact"/>
                    <w:jc w:val="left"/>
                    <w:rPr>
                      <w:rFonts w:cs="Miriam"/>
                      <w:noProof/>
                      <w:szCs w:val="18"/>
                      <w:rtl/>
                    </w:rPr>
                  </w:pPr>
                  <w:r>
                    <w:rPr>
                      <w:rFonts w:cs="Miriam"/>
                      <w:szCs w:val="18"/>
                      <w:rtl/>
                    </w:rPr>
                    <w:t>מ</w:t>
                  </w:r>
                  <w:r>
                    <w:rPr>
                      <w:rFonts w:cs="Miriam" w:hint="cs"/>
                      <w:szCs w:val="18"/>
                      <w:rtl/>
                    </w:rPr>
                    <w:t>ועד סיום</w:t>
                  </w:r>
                  <w:r w:rsidR="0014692A">
                    <w:rPr>
                      <w:rFonts w:cs="Miriam" w:hint="cs"/>
                      <w:szCs w:val="18"/>
                      <w:rtl/>
                    </w:rPr>
                    <w:t xml:space="preserve"> </w:t>
                  </w:r>
                  <w:r>
                    <w:rPr>
                      <w:rFonts w:cs="Miriam"/>
                      <w:szCs w:val="18"/>
                      <w:rtl/>
                    </w:rPr>
                    <w:t>ה</w:t>
                  </w:r>
                  <w:r>
                    <w:rPr>
                      <w:rFonts w:cs="Miriam" w:hint="cs"/>
                      <w:szCs w:val="18"/>
                      <w:rtl/>
                    </w:rPr>
                    <w:t>כהונה ושיעור</w:t>
                  </w:r>
                  <w:r w:rsidR="0014692A">
                    <w:rPr>
                      <w:rFonts w:cs="Miriam" w:hint="cs"/>
                      <w:noProof/>
                      <w:szCs w:val="18"/>
                      <w:rtl/>
                    </w:rPr>
                    <w:t xml:space="preserve"> </w:t>
                  </w:r>
                  <w:r>
                    <w:rPr>
                      <w:rFonts w:cs="Miriam"/>
                      <w:szCs w:val="18"/>
                      <w:rtl/>
                    </w:rPr>
                    <w:t>ה</w:t>
                  </w:r>
                  <w:r>
                    <w:rPr>
                      <w:rFonts w:cs="Miriam" w:hint="cs"/>
                      <w:szCs w:val="18"/>
                      <w:rtl/>
                    </w:rPr>
                    <w:t>גימלה</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 xml:space="preserve">חליטה ועדת הבחירה על סיום כהונה של שופט תקבע בהחלטתה, כדרישת סעיף 14 לחוק, את המועד לסיום הכהונה וכן, לפי שיקול דעתה, את שיעור הגימלה שיקבל השופט. </w:t>
      </w:r>
    </w:p>
    <w:p w14:paraId="25E84775" w14:textId="77777777" w:rsidR="009B0FFC" w:rsidRDefault="009B0FFC">
      <w:pPr>
        <w:pStyle w:val="P00"/>
        <w:spacing w:before="72"/>
        <w:ind w:left="0" w:right="1134"/>
        <w:rPr>
          <w:rStyle w:val="default"/>
          <w:rFonts w:cs="FrankRuehl"/>
          <w:rtl/>
        </w:rPr>
      </w:pPr>
      <w:bookmarkStart w:id="15" w:name="Seif15"/>
      <w:bookmarkEnd w:id="15"/>
      <w:r>
        <w:rPr>
          <w:lang w:val="he-IL"/>
        </w:rPr>
        <w:pict w14:anchorId="691DDDA1">
          <v:rect id="_x0000_s1041" style="position:absolute;left:0;text-align:left;margin-left:464.5pt;margin-top:8.05pt;width:75.05pt;height:12.7pt;z-index:251663360" o:allowincell="f" filled="f" stroked="f" strokecolor="lime" strokeweight=".25pt">
            <v:textbox inset="0,0,0,0">
              <w:txbxContent>
                <w:p w14:paraId="376D65EF" w14:textId="77777777" w:rsidR="009B0FFC" w:rsidRDefault="009B0FFC">
                  <w:pPr>
                    <w:spacing w:line="160" w:lineRule="exact"/>
                    <w:jc w:val="left"/>
                    <w:rPr>
                      <w:rFonts w:cs="Miriam"/>
                      <w:noProof/>
                      <w:szCs w:val="18"/>
                      <w:rtl/>
                    </w:rPr>
                  </w:pPr>
                  <w:r>
                    <w:rPr>
                      <w:rFonts w:cs="Miriam"/>
                      <w:szCs w:val="18"/>
                      <w:rtl/>
                    </w:rPr>
                    <w:t>ה</w:t>
                  </w:r>
                  <w:r>
                    <w:rPr>
                      <w:rFonts w:cs="Miriam" w:hint="cs"/>
                      <w:szCs w:val="18"/>
                      <w:rtl/>
                    </w:rPr>
                    <w:t>ודעת ההחלטה</w:t>
                  </w:r>
                </w:p>
              </w:txbxContent>
            </v:textbox>
            <w10:anchorlock/>
          </v:rect>
        </w:pict>
      </w:r>
      <w:r>
        <w:rPr>
          <w:rStyle w:val="big-number"/>
          <w:rtl/>
        </w:rPr>
        <w:t>16.</w:t>
      </w:r>
      <w:r>
        <w:rPr>
          <w:rStyle w:val="big-number"/>
          <w:rtl/>
        </w:rPr>
        <w:tab/>
      </w:r>
      <w:r>
        <w:rPr>
          <w:rStyle w:val="default"/>
          <w:rFonts w:cs="FrankRuehl"/>
          <w:rtl/>
        </w:rPr>
        <w:t>י</w:t>
      </w:r>
      <w:r>
        <w:rPr>
          <w:rStyle w:val="default"/>
          <w:rFonts w:cs="FrankRuehl" w:hint="cs"/>
          <w:rtl/>
        </w:rPr>
        <w:t xml:space="preserve">ושב ראש ועדת הבחירה יודיע לשופט את החלטתה של </w:t>
      </w:r>
      <w:r>
        <w:rPr>
          <w:rStyle w:val="default"/>
          <w:rFonts w:cs="FrankRuehl"/>
          <w:rtl/>
        </w:rPr>
        <w:t>ה</w:t>
      </w:r>
      <w:r>
        <w:rPr>
          <w:rStyle w:val="default"/>
          <w:rFonts w:cs="FrankRuehl" w:hint="cs"/>
          <w:rtl/>
        </w:rPr>
        <w:t xml:space="preserve">ועדה. </w:t>
      </w:r>
    </w:p>
    <w:p w14:paraId="5B0A2493" w14:textId="77777777" w:rsidR="009B0FFC" w:rsidRDefault="009B0FFC">
      <w:pPr>
        <w:pStyle w:val="P00"/>
        <w:spacing w:before="72"/>
        <w:ind w:left="0" w:right="1134"/>
        <w:rPr>
          <w:rStyle w:val="default"/>
          <w:rFonts w:cs="FrankRuehl"/>
          <w:rtl/>
        </w:rPr>
      </w:pPr>
      <w:bookmarkStart w:id="16" w:name="Seif16"/>
      <w:bookmarkEnd w:id="16"/>
      <w:r>
        <w:rPr>
          <w:lang w:val="he-IL"/>
        </w:rPr>
        <w:pict w14:anchorId="39CC5EFA">
          <v:rect id="_x0000_s1042" style="position:absolute;left:0;text-align:left;margin-left:464.5pt;margin-top:8.05pt;width:75.05pt;height:15.15pt;z-index:251664384" o:allowincell="f" filled="f" stroked="f" strokecolor="lime" strokeweight=".25pt">
            <v:textbox inset="0,0,0,0">
              <w:txbxContent>
                <w:p w14:paraId="59687036" w14:textId="77777777" w:rsidR="009B0FFC" w:rsidRDefault="009B0FFC">
                  <w:pPr>
                    <w:spacing w:line="160" w:lineRule="exact"/>
                    <w:jc w:val="left"/>
                    <w:rPr>
                      <w:rFonts w:cs="Miriam"/>
                      <w:noProof/>
                      <w:szCs w:val="18"/>
                      <w:rtl/>
                    </w:rPr>
                  </w:pPr>
                  <w:r>
                    <w:rPr>
                      <w:rFonts w:cs="Miriam"/>
                      <w:szCs w:val="18"/>
                      <w:rtl/>
                    </w:rPr>
                    <w:t>ס</w:t>
                  </w:r>
                  <w:r>
                    <w:rPr>
                      <w:rFonts w:cs="Miriam" w:hint="cs"/>
                      <w:szCs w:val="18"/>
                      <w:rtl/>
                    </w:rPr>
                    <w:t>ודיות הדיונים</w:t>
                  </w:r>
                </w:p>
              </w:txbxContent>
            </v:textbox>
            <w10:anchorlock/>
          </v:rect>
        </w:pict>
      </w:r>
      <w:r>
        <w:rPr>
          <w:rStyle w:val="big-number"/>
          <w:rtl/>
        </w:rPr>
        <w:t>17.</w:t>
      </w:r>
      <w:r>
        <w:rPr>
          <w:rStyle w:val="big-number"/>
          <w:rtl/>
        </w:rPr>
        <w:tab/>
      </w:r>
      <w:r>
        <w:rPr>
          <w:rStyle w:val="default"/>
          <w:rFonts w:cs="FrankRuehl"/>
          <w:rtl/>
        </w:rPr>
        <w:t>ד</w:t>
      </w:r>
      <w:r>
        <w:rPr>
          <w:rStyle w:val="default"/>
          <w:rFonts w:cs="FrankRuehl" w:hint="cs"/>
          <w:rtl/>
        </w:rPr>
        <w:t xml:space="preserve">יוניה של ועדת המשנה ושל המליאה של ועדת הבחירה לרבות העדויות שהושמעו לפניהן או חוות הדעת שנמסרו להן הם סודיים ומשתתף בדיון לא יגלה לאיש פרטים עליהם, זולת אם נאמר אחרת בכללים אלה. </w:t>
      </w:r>
    </w:p>
    <w:p w14:paraId="2F2A09C6" w14:textId="77777777" w:rsidR="009B0FFC" w:rsidRDefault="009B0FFC">
      <w:pPr>
        <w:pStyle w:val="P00"/>
        <w:spacing w:before="72"/>
        <w:ind w:left="0" w:right="1134"/>
        <w:rPr>
          <w:rStyle w:val="default"/>
          <w:rFonts w:cs="FrankRuehl"/>
          <w:rtl/>
        </w:rPr>
      </w:pPr>
      <w:bookmarkStart w:id="17" w:name="Seif17"/>
      <w:bookmarkEnd w:id="17"/>
      <w:r>
        <w:rPr>
          <w:lang w:val="he-IL"/>
        </w:rPr>
        <w:pict w14:anchorId="70646F77">
          <v:rect id="_x0000_s1043" style="position:absolute;left:0;text-align:left;margin-left:464.5pt;margin-top:8.05pt;width:75.05pt;height:14.05pt;z-index:251665408" o:allowincell="f" filled="f" stroked="f" strokecolor="lime" strokeweight=".25pt">
            <v:textbox inset="0,0,0,0">
              <w:txbxContent>
                <w:p w14:paraId="6E1575CF" w14:textId="77777777" w:rsidR="009B0FFC" w:rsidRDefault="009B0FFC">
                  <w:pPr>
                    <w:spacing w:line="160" w:lineRule="exact"/>
                    <w:jc w:val="left"/>
                    <w:rPr>
                      <w:rFonts w:cs="Miriam"/>
                      <w:noProof/>
                      <w:szCs w:val="18"/>
                      <w:rtl/>
                    </w:rPr>
                  </w:pPr>
                  <w:r>
                    <w:rPr>
                      <w:rFonts w:cs="Miriam"/>
                      <w:szCs w:val="18"/>
                      <w:rtl/>
                    </w:rPr>
                    <w:t>ס</w:t>
                  </w:r>
                  <w:r>
                    <w:rPr>
                      <w:rFonts w:cs="Miriam" w:hint="cs"/>
                      <w:szCs w:val="18"/>
                      <w:rtl/>
                    </w:rPr>
                    <w:t>דרי עבודה</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כל ענין שלא נקבע בכללים אלה תקבע ועדת הבחירה או ועדת המשנ</w:t>
      </w:r>
      <w:r>
        <w:rPr>
          <w:rStyle w:val="default"/>
          <w:rFonts w:cs="FrankRuehl"/>
          <w:rtl/>
        </w:rPr>
        <w:t>ה</w:t>
      </w:r>
      <w:r>
        <w:rPr>
          <w:rStyle w:val="default"/>
          <w:rFonts w:cs="FrankRuehl" w:hint="cs"/>
          <w:rtl/>
        </w:rPr>
        <w:t xml:space="preserve">, לפי הענין, את סדרי עבודתה. </w:t>
      </w:r>
    </w:p>
    <w:p w14:paraId="7AC5B9C2" w14:textId="77777777" w:rsidR="009B0FFC" w:rsidRDefault="009B0FFC">
      <w:pPr>
        <w:pStyle w:val="P00"/>
        <w:spacing w:before="72"/>
        <w:ind w:left="0" w:right="1134"/>
        <w:rPr>
          <w:rStyle w:val="default"/>
          <w:rFonts w:cs="FrankRuehl"/>
          <w:rtl/>
        </w:rPr>
      </w:pPr>
      <w:bookmarkStart w:id="18" w:name="Seif18"/>
      <w:bookmarkEnd w:id="18"/>
      <w:r>
        <w:rPr>
          <w:lang w:val="he-IL"/>
        </w:rPr>
        <w:pict w14:anchorId="58150F7B">
          <v:rect id="_x0000_s1044" style="position:absolute;left:0;text-align:left;margin-left:464.5pt;margin-top:8.05pt;width:75.05pt;height:14.7pt;z-index:251666432" o:allowincell="f" filled="f" stroked="f" strokecolor="lime" strokeweight=".25pt">
            <v:textbox inset="0,0,0,0">
              <w:txbxContent>
                <w:p w14:paraId="0FE49F47" w14:textId="77777777" w:rsidR="009B0FFC" w:rsidRDefault="009B0FFC">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 xml:space="preserve">הודעה על החלטת ועדת הבחירה לסיים את כהונתו של שופט תימסר למנהל בתי המשפט לשם ביצועה. </w:t>
      </w:r>
    </w:p>
    <w:p w14:paraId="0E743699" w14:textId="77777777" w:rsidR="009B0FFC" w:rsidRDefault="009B0FFC">
      <w:pPr>
        <w:pStyle w:val="P00"/>
        <w:spacing w:before="72"/>
        <w:ind w:left="0" w:right="1134"/>
        <w:rPr>
          <w:rStyle w:val="default"/>
          <w:rFonts w:cs="FrankRuehl"/>
          <w:rtl/>
        </w:rPr>
      </w:pPr>
      <w:bookmarkStart w:id="19" w:name="Seif19"/>
      <w:bookmarkEnd w:id="19"/>
      <w:r>
        <w:rPr>
          <w:lang w:val="he-IL"/>
        </w:rPr>
        <w:pict w14:anchorId="3AFFC736">
          <v:rect id="_x0000_s1045" style="position:absolute;left:0;text-align:left;margin-left:464.5pt;margin-top:8.05pt;width:75.05pt;height:15.4pt;z-index:251667456" o:allowincell="f" filled="f" stroked="f" strokecolor="lime" strokeweight=".25pt">
            <v:textbox inset="0,0,0,0">
              <w:txbxContent>
                <w:p w14:paraId="4F203213" w14:textId="77777777" w:rsidR="009B0FFC" w:rsidRDefault="009B0FF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 xml:space="preserve">חילתם של כללים אלה ביום ה' בתשרי תשמ"ז (9 באוקטובר 1986). </w:t>
      </w:r>
    </w:p>
    <w:p w14:paraId="1B5F4D72" w14:textId="77777777" w:rsidR="009B0FFC" w:rsidRDefault="009B0FFC">
      <w:pPr>
        <w:pStyle w:val="P00"/>
        <w:spacing w:before="72"/>
        <w:ind w:left="0" w:right="1134"/>
        <w:rPr>
          <w:rStyle w:val="default"/>
          <w:rFonts w:cs="FrankRuehl"/>
          <w:rtl/>
        </w:rPr>
      </w:pPr>
    </w:p>
    <w:p w14:paraId="322ADB4B" w14:textId="77777777" w:rsidR="009B0FFC" w:rsidRDefault="009B0FFC">
      <w:pPr>
        <w:pStyle w:val="P00"/>
        <w:spacing w:before="72"/>
        <w:ind w:left="0" w:right="1134"/>
        <w:rPr>
          <w:rStyle w:val="default"/>
          <w:rFonts w:cs="FrankRuehl"/>
          <w:rtl/>
        </w:rPr>
      </w:pPr>
    </w:p>
    <w:p w14:paraId="312B8DA9" w14:textId="77777777" w:rsidR="009B0FFC" w:rsidRPr="0014692A" w:rsidRDefault="009B0FFC" w:rsidP="0014692A">
      <w:pPr>
        <w:pStyle w:val="sig-1"/>
        <w:widowControl/>
        <w:tabs>
          <w:tab w:val="clear" w:pos="851"/>
          <w:tab w:val="clear" w:pos="2835"/>
          <w:tab w:val="clear" w:pos="4820"/>
          <w:tab w:val="center" w:pos="1985"/>
          <w:tab w:val="center" w:pos="4536"/>
        </w:tabs>
        <w:spacing w:before="72"/>
        <w:ind w:left="0" w:right="1134"/>
        <w:rPr>
          <w:sz w:val="26"/>
          <w:szCs w:val="26"/>
          <w:rtl/>
        </w:rPr>
      </w:pPr>
      <w:r w:rsidRPr="0014692A">
        <w:rPr>
          <w:sz w:val="26"/>
          <w:szCs w:val="26"/>
          <w:rtl/>
        </w:rPr>
        <w:t>י</w:t>
      </w:r>
      <w:r w:rsidRPr="0014692A">
        <w:rPr>
          <w:rFonts w:hint="cs"/>
          <w:sz w:val="26"/>
          <w:szCs w:val="26"/>
          <w:rtl/>
        </w:rPr>
        <w:t xml:space="preserve">"ג בתשרי תשמ"ו (16 באוקטובר 1986) </w:t>
      </w:r>
      <w:r w:rsidRPr="0014692A">
        <w:rPr>
          <w:sz w:val="26"/>
          <w:szCs w:val="26"/>
          <w:rtl/>
        </w:rPr>
        <w:tab/>
      </w:r>
      <w:r w:rsidRPr="0014692A">
        <w:rPr>
          <w:rFonts w:hint="cs"/>
          <w:sz w:val="26"/>
          <w:szCs w:val="26"/>
          <w:rtl/>
        </w:rPr>
        <w:t>אברהם שריר</w:t>
      </w:r>
    </w:p>
    <w:p w14:paraId="6EE655D2" w14:textId="77777777" w:rsidR="009B0FFC" w:rsidRDefault="009B0FFC">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המשפטים</w:t>
      </w:r>
    </w:p>
    <w:p w14:paraId="157759CB" w14:textId="77777777" w:rsidR="009B0FFC" w:rsidRDefault="009B0FFC">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יו</w:t>
      </w:r>
      <w:r>
        <w:rPr>
          <w:rtl/>
        </w:rPr>
        <w:t>ש</w:t>
      </w:r>
      <w:r>
        <w:rPr>
          <w:rFonts w:hint="cs"/>
          <w:rtl/>
        </w:rPr>
        <w:t>ב ראש ועדת הבחירה</w:t>
      </w:r>
    </w:p>
    <w:p w14:paraId="1EBC8801" w14:textId="77777777" w:rsidR="0014692A" w:rsidRPr="0014692A" w:rsidRDefault="0014692A" w:rsidP="0014692A">
      <w:pPr>
        <w:pStyle w:val="P00"/>
        <w:spacing w:before="72"/>
        <w:ind w:left="0" w:right="1134"/>
        <w:rPr>
          <w:rStyle w:val="default"/>
          <w:rFonts w:cs="FrankRuehl" w:hint="cs"/>
          <w:rtl/>
        </w:rPr>
      </w:pPr>
    </w:p>
    <w:p w14:paraId="41BA5E3D" w14:textId="77777777" w:rsidR="0014692A" w:rsidRPr="0014692A" w:rsidRDefault="0014692A" w:rsidP="0014692A">
      <w:pPr>
        <w:pStyle w:val="P00"/>
        <w:spacing w:before="72"/>
        <w:ind w:left="0" w:right="1134"/>
        <w:rPr>
          <w:rStyle w:val="default"/>
          <w:rFonts w:cs="FrankRuehl"/>
          <w:rtl/>
        </w:rPr>
      </w:pPr>
    </w:p>
    <w:p w14:paraId="25BE15C4" w14:textId="77777777" w:rsidR="009B0FFC" w:rsidRPr="0014692A" w:rsidRDefault="009B0FFC" w:rsidP="0014692A">
      <w:pPr>
        <w:pStyle w:val="P00"/>
        <w:spacing w:before="72"/>
        <w:ind w:left="0" w:right="1134"/>
        <w:rPr>
          <w:rStyle w:val="default"/>
          <w:rFonts w:cs="FrankRuehl"/>
          <w:rtl/>
        </w:rPr>
      </w:pPr>
      <w:bookmarkStart w:id="20" w:name="LawPartEnd"/>
    </w:p>
    <w:bookmarkEnd w:id="20"/>
    <w:p w14:paraId="0855BE3F" w14:textId="77777777" w:rsidR="009B0FFC" w:rsidRPr="0014692A" w:rsidRDefault="009B0FFC" w:rsidP="0014692A">
      <w:pPr>
        <w:pStyle w:val="P00"/>
        <w:spacing w:before="72"/>
        <w:ind w:left="0" w:right="1134"/>
        <w:rPr>
          <w:rStyle w:val="default"/>
          <w:rFonts w:cs="FrankRuehl"/>
          <w:rtl/>
        </w:rPr>
      </w:pPr>
    </w:p>
    <w:sectPr w:rsidR="009B0FFC" w:rsidRPr="0014692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0F99C" w14:textId="77777777" w:rsidR="00571863" w:rsidRDefault="00571863">
      <w:r>
        <w:separator/>
      </w:r>
    </w:p>
  </w:endnote>
  <w:endnote w:type="continuationSeparator" w:id="0">
    <w:p w14:paraId="4C99D076" w14:textId="77777777" w:rsidR="00571863" w:rsidRDefault="00571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DE45" w14:textId="77777777" w:rsidR="009B0FFC" w:rsidRDefault="009B0F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F3C706" w14:textId="77777777" w:rsidR="009B0FFC" w:rsidRDefault="009B0F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26EF60" w14:textId="77777777" w:rsidR="009B0FFC" w:rsidRDefault="009B0F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692A">
      <w:rPr>
        <w:rFonts w:cs="TopType Jerushalmi"/>
        <w:noProof/>
        <w:color w:val="000000"/>
        <w:sz w:val="14"/>
        <w:szCs w:val="14"/>
      </w:rPr>
      <w:t>D:\Yael\hakika\Revadim\055_056.doc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4326" w14:textId="77777777" w:rsidR="009B0FFC" w:rsidRDefault="009B0F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692A">
      <w:rPr>
        <w:rFonts w:hAnsi="FrankRuehl" w:cs="FrankRuehl"/>
        <w:noProof/>
        <w:sz w:val="24"/>
        <w:szCs w:val="24"/>
        <w:rtl/>
      </w:rPr>
      <w:t>1</w:t>
    </w:r>
    <w:r>
      <w:rPr>
        <w:rFonts w:hAnsi="FrankRuehl" w:cs="FrankRuehl"/>
        <w:sz w:val="24"/>
        <w:szCs w:val="24"/>
        <w:rtl/>
      </w:rPr>
      <w:fldChar w:fldCharType="end"/>
    </w:r>
  </w:p>
  <w:p w14:paraId="50ABBFE0" w14:textId="77777777" w:rsidR="009B0FFC" w:rsidRDefault="009B0F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ECE19E" w14:textId="77777777" w:rsidR="009B0FFC" w:rsidRDefault="009B0F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692A">
      <w:rPr>
        <w:rFonts w:cs="TopType Jerushalmi"/>
        <w:noProof/>
        <w:color w:val="000000"/>
        <w:sz w:val="14"/>
        <w:szCs w:val="14"/>
      </w:rPr>
      <w:t>D:\Yael\hakika\Revadim\055_056.doc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412E" w14:textId="77777777" w:rsidR="00571863" w:rsidRDefault="00571863" w:rsidP="0014692A">
      <w:pPr>
        <w:spacing w:before="60" w:line="240" w:lineRule="auto"/>
        <w:ind w:right="1134"/>
      </w:pPr>
      <w:r>
        <w:separator/>
      </w:r>
    </w:p>
  </w:footnote>
  <w:footnote w:type="continuationSeparator" w:id="0">
    <w:p w14:paraId="219F74DA" w14:textId="77777777" w:rsidR="00571863" w:rsidRDefault="00571863">
      <w:r>
        <w:continuationSeparator/>
      </w:r>
    </w:p>
  </w:footnote>
  <w:footnote w:id="1">
    <w:p w14:paraId="40725F31" w14:textId="77777777" w:rsidR="0014692A" w:rsidRPr="0014692A" w:rsidRDefault="0014692A" w:rsidP="0014692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14692A">
        <w:rPr>
          <w:sz w:val="20"/>
          <w:rtl/>
        </w:rPr>
        <w:t xml:space="preserve">* </w:t>
      </w:r>
      <w:r>
        <w:rPr>
          <w:sz w:val="20"/>
          <w:rtl/>
        </w:rPr>
        <w:t>פ</w:t>
      </w:r>
      <w:r>
        <w:rPr>
          <w:rFonts w:hint="cs"/>
          <w:sz w:val="20"/>
          <w:rtl/>
        </w:rPr>
        <w:t xml:space="preserve">ורסמו </w:t>
      </w:r>
      <w:hyperlink r:id="rId1" w:history="1">
        <w:r w:rsidRPr="00077970">
          <w:rPr>
            <w:rStyle w:val="Hyperlink"/>
            <w:rFonts w:hint="cs"/>
            <w:sz w:val="20"/>
            <w:rtl/>
          </w:rPr>
          <w:t>ק"ת תשמ"ז מס' 4989</w:t>
        </w:r>
      </w:hyperlink>
      <w:r>
        <w:rPr>
          <w:rFonts w:hint="cs"/>
          <w:sz w:val="20"/>
          <w:rtl/>
        </w:rPr>
        <w:t xml:space="preserve"> מיום 18.12.1986 עמ' 198.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5582" w14:textId="77777777" w:rsidR="009B0FFC" w:rsidRDefault="009B0F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השפיטה (סדרי העבודה בענין סיום כהונת שופט לפי החלטה של הועדה לבחירת שופטים), תשמ"ז–1986</w:t>
    </w:r>
  </w:p>
  <w:p w14:paraId="23A34727" w14:textId="77777777" w:rsidR="009B0FFC" w:rsidRDefault="009B0F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ED5E5C" w14:textId="77777777" w:rsidR="009B0FFC" w:rsidRDefault="009B0FF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0029" w14:textId="77777777" w:rsidR="009B0FFC" w:rsidRDefault="009B0FFC" w:rsidP="001469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השפיטה (סדרי העבודה בענין סיום כהונת שופט לפי החלטה של הועדה לבחירת שופטים), תשמ"ז</w:t>
    </w:r>
    <w:r w:rsidR="0014692A">
      <w:rPr>
        <w:rFonts w:hAnsi="FrankRuehl" w:cs="FrankRuehl" w:hint="cs"/>
        <w:color w:val="000000"/>
        <w:sz w:val="28"/>
        <w:szCs w:val="28"/>
        <w:rtl/>
      </w:rPr>
      <w:t>-</w:t>
    </w:r>
    <w:r>
      <w:rPr>
        <w:rFonts w:hAnsi="FrankRuehl" w:cs="FrankRuehl"/>
        <w:color w:val="000000"/>
        <w:sz w:val="28"/>
        <w:szCs w:val="28"/>
        <w:rtl/>
      </w:rPr>
      <w:t>1986</w:t>
    </w:r>
  </w:p>
  <w:p w14:paraId="2D3419B6" w14:textId="77777777" w:rsidR="009B0FFC" w:rsidRDefault="009B0F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CB1569" w14:textId="77777777" w:rsidR="009B0FFC" w:rsidRDefault="009B0FF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71D0"/>
    <w:rsid w:val="00077970"/>
    <w:rsid w:val="0014692A"/>
    <w:rsid w:val="00571863"/>
    <w:rsid w:val="005D71D0"/>
    <w:rsid w:val="009B0FFC"/>
    <w:rsid w:val="00A0032B"/>
    <w:rsid w:val="00C75A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83B75C4"/>
  <w15:chartTrackingRefBased/>
  <w15:docId w15:val="{B1835B00-D3F1-49F8-87B7-4C774E2D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14692A"/>
    <w:rPr>
      <w:sz w:val="20"/>
      <w:szCs w:val="20"/>
    </w:rPr>
  </w:style>
  <w:style w:type="character" w:styleId="a6">
    <w:name w:val="footnote reference"/>
    <w:basedOn w:val="a0"/>
    <w:semiHidden/>
    <w:rsid w:val="001469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5335</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פרק 55</vt:lpstr>
    </vt:vector>
  </TitlesOfParts>
  <Company/>
  <LinksUpToDate>false</LinksUpToDate>
  <CharactersWithSpaces>6258</CharactersWithSpaces>
  <SharedDoc>false</SharedDoc>
  <HLinks>
    <vt:vector size="126" baseType="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7667720</vt:i4>
      </vt:variant>
      <vt:variant>
        <vt:i4>0</vt:i4>
      </vt:variant>
      <vt:variant>
        <vt:i4>0</vt:i4>
      </vt:variant>
      <vt:variant>
        <vt:i4>5</vt:i4>
      </vt:variant>
      <vt:variant>
        <vt:lpwstr>http://www.nevo.co.il/Law_word/law06/TAK-4989.pdf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כללי השפיטה (סדרי העבודה בענין סיום כהונת שופט לפי החלטה של הועדה לבחירת שופטים), תשמ"ז-1986</vt:lpwstr>
  </property>
  <property fmtid="{D5CDD505-2E9C-101B-9397-08002B2CF9AE}" pid="5" name="LAWNUMBER">
    <vt:lpwstr>0056</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שופטים</vt:lpwstr>
  </property>
  <property fmtid="{D5CDD505-2E9C-101B-9397-08002B2CF9AE}" pid="10" name="NOSE41">
    <vt:lpwstr>בחירת שופטים</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שופטים</vt:lpwstr>
  </property>
  <property fmtid="{D5CDD505-2E9C-101B-9397-08002B2CF9AE}" pid="14" name="NOSE42">
    <vt:lpwstr>בחירת שופטים</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שופטים</vt:lpwstr>
  </property>
  <property fmtid="{D5CDD505-2E9C-101B-9397-08002B2CF9AE}" pid="18" name="NOSE43">
    <vt:lpwstr>בחירת שופטים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