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6571" w:rsidRDefault="009E6571" w:rsidP="00884EC5">
      <w:pPr>
        <w:pStyle w:val="big-header"/>
        <w:ind w:left="0" w:right="1134"/>
        <w:rPr>
          <w:rFonts w:cs="FrankRuehl"/>
          <w:sz w:val="32"/>
        </w:rPr>
      </w:pPr>
      <w:r w:rsidRPr="006458C0">
        <w:rPr>
          <w:rFonts w:cs="FrankRuehl"/>
          <w:sz w:val="32"/>
          <w:rtl/>
        </w:rPr>
        <w:t>כללי מס הכנסה (בקשה לאישור מראש לתכנית מיזוג), תשנ"ה</w:t>
      </w:r>
      <w:r w:rsidR="00884EC5">
        <w:rPr>
          <w:rFonts w:cs="FrankRuehl" w:hint="cs"/>
          <w:sz w:val="32"/>
          <w:rtl/>
        </w:rPr>
        <w:t>-</w:t>
      </w:r>
      <w:r w:rsidRPr="006458C0">
        <w:rPr>
          <w:rFonts w:cs="FrankRuehl"/>
          <w:sz w:val="32"/>
          <w:rtl/>
        </w:rPr>
        <w:t>1995</w:t>
      </w:r>
    </w:p>
    <w:p w:rsidR="00160EB9" w:rsidRPr="00160EB9" w:rsidRDefault="00160EB9" w:rsidP="00160EB9">
      <w:pPr>
        <w:spacing w:line="320" w:lineRule="auto"/>
        <w:rPr>
          <w:rFonts w:cs="FrankRuehl"/>
          <w:szCs w:val="26"/>
          <w:rtl/>
        </w:rPr>
      </w:pPr>
    </w:p>
    <w:p w:rsidR="00160EB9" w:rsidRDefault="00160EB9" w:rsidP="00160EB9">
      <w:pPr>
        <w:spacing w:line="320" w:lineRule="auto"/>
        <w:rPr>
          <w:rtl/>
        </w:rPr>
      </w:pPr>
    </w:p>
    <w:p w:rsidR="00160EB9" w:rsidRDefault="00160EB9" w:rsidP="00160EB9">
      <w:pPr>
        <w:spacing w:line="320" w:lineRule="auto"/>
        <w:rPr>
          <w:rFonts w:cs="FrankRuehl"/>
          <w:szCs w:val="26"/>
          <w:rtl/>
        </w:rPr>
      </w:pPr>
      <w:r w:rsidRPr="00160EB9">
        <w:rPr>
          <w:rFonts w:cs="Miriam"/>
          <w:szCs w:val="22"/>
          <w:rtl/>
        </w:rPr>
        <w:t>מסים</w:t>
      </w:r>
      <w:r w:rsidRPr="00160EB9">
        <w:rPr>
          <w:rFonts w:cs="FrankRuehl"/>
          <w:szCs w:val="26"/>
          <w:rtl/>
        </w:rPr>
        <w:t xml:space="preserve"> – מס הכנסה – חברות – מיזוג</w:t>
      </w:r>
    </w:p>
    <w:p w:rsidR="00160EB9" w:rsidRPr="00160EB9" w:rsidRDefault="00160EB9" w:rsidP="00160EB9">
      <w:pPr>
        <w:spacing w:line="320" w:lineRule="auto"/>
        <w:rPr>
          <w:rFonts w:cs="Miriam"/>
          <w:szCs w:val="22"/>
          <w:rtl/>
        </w:rPr>
      </w:pPr>
      <w:r w:rsidRPr="00160EB9">
        <w:rPr>
          <w:rFonts w:cs="Miriam"/>
          <w:szCs w:val="22"/>
          <w:rtl/>
        </w:rPr>
        <w:t>משפט פרטי וכלכלה</w:t>
      </w:r>
      <w:r w:rsidRPr="00160EB9">
        <w:rPr>
          <w:rFonts w:cs="FrankRuehl"/>
          <w:szCs w:val="26"/>
          <w:rtl/>
        </w:rPr>
        <w:t xml:space="preserve"> – תאגידים וניירות ערך – חברות – מיזוג</w:t>
      </w:r>
    </w:p>
    <w:p w:rsidR="009E6571" w:rsidRPr="006458C0" w:rsidRDefault="009E6571">
      <w:pPr>
        <w:pStyle w:val="big-header"/>
        <w:ind w:left="0" w:right="1134"/>
        <w:rPr>
          <w:rFonts w:cs="FrankRuehl"/>
          <w:sz w:val="32"/>
          <w:rtl/>
        </w:rPr>
      </w:pPr>
      <w:r w:rsidRPr="006458C0">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E6571" w:rsidRPr="006458C0">
        <w:tblPrEx>
          <w:tblCellMar>
            <w:top w:w="0" w:type="dxa"/>
            <w:bottom w:w="0" w:type="dxa"/>
          </w:tblCellMar>
        </w:tblPrEx>
        <w:tc>
          <w:tcPr>
            <w:tcW w:w="850" w:type="dxa"/>
          </w:tcPr>
          <w:p w:rsidR="009E6571" w:rsidRPr="006458C0" w:rsidRDefault="009E6571">
            <w:pPr>
              <w:rPr>
                <w:rFonts w:cs="FrankRuehl"/>
              </w:rPr>
            </w:pPr>
            <w:r w:rsidRPr="006458C0">
              <w:rPr>
                <w:rFonts w:cs="FrankRuehl"/>
                <w:rtl/>
              </w:rPr>
              <w:fldChar w:fldCharType="begin"/>
            </w:r>
            <w:r w:rsidRPr="006458C0">
              <w:rPr>
                <w:rFonts w:cs="FrankRuehl"/>
                <w:rtl/>
              </w:rPr>
              <w:instrText xml:space="preserve"> </w:instrText>
            </w:r>
            <w:r w:rsidRPr="006458C0">
              <w:rPr>
                <w:rFonts w:cs="FrankRuehl"/>
              </w:rPr>
              <w:instrText>PAGEREF Seif0</w:instrText>
            </w:r>
            <w:r w:rsidRPr="006458C0">
              <w:rPr>
                <w:rFonts w:cs="FrankRuehl"/>
                <w:rtl/>
              </w:rPr>
              <w:instrText xml:space="preserve"> </w:instrText>
            </w:r>
            <w:r w:rsidRPr="006458C0">
              <w:rPr>
                <w:rFonts w:cs="FrankRuehl"/>
                <w:rtl/>
              </w:rPr>
              <w:fldChar w:fldCharType="separate"/>
            </w:r>
            <w:r w:rsidR="00884EC5">
              <w:rPr>
                <w:rFonts w:cs="FrankRuehl"/>
                <w:noProof/>
                <w:rtl/>
              </w:rPr>
              <w:t>2</w:t>
            </w:r>
            <w:r w:rsidRPr="006458C0">
              <w:rPr>
                <w:rFonts w:cs="FrankRuehl"/>
                <w:rtl/>
              </w:rPr>
              <w:fldChar w:fldCharType="end"/>
            </w:r>
          </w:p>
        </w:tc>
        <w:tc>
          <w:tcPr>
            <w:tcW w:w="567" w:type="dxa"/>
          </w:tcPr>
          <w:p w:rsidR="009E6571" w:rsidRPr="006458C0" w:rsidRDefault="009E6571">
            <w:pPr>
              <w:rPr>
                <w:rFonts w:cs="FrankRuehl"/>
              </w:rPr>
            </w:pPr>
            <w:hyperlink w:anchor="Seif0" w:tooltip="הגדרות" w:history="1">
              <w:r w:rsidRPr="006458C0">
                <w:rPr>
                  <w:rStyle w:val="Hyperlink"/>
                  <w:rFonts w:cs="FrankRuehl"/>
                </w:rPr>
                <w:t>Go</w:t>
              </w:r>
            </w:hyperlink>
          </w:p>
        </w:tc>
        <w:tc>
          <w:tcPr>
            <w:tcW w:w="5669" w:type="dxa"/>
          </w:tcPr>
          <w:p w:rsidR="009E6571" w:rsidRPr="006458C0" w:rsidRDefault="009E6571">
            <w:pPr>
              <w:rPr>
                <w:rFonts w:cs="FrankRuehl"/>
                <w:rtl/>
              </w:rPr>
            </w:pPr>
            <w:r w:rsidRPr="006458C0">
              <w:rPr>
                <w:rFonts w:cs="FrankRuehl"/>
                <w:rtl/>
              </w:rPr>
              <w:t>הגדרות</w:t>
            </w:r>
          </w:p>
        </w:tc>
        <w:tc>
          <w:tcPr>
            <w:tcW w:w="1247" w:type="dxa"/>
          </w:tcPr>
          <w:p w:rsidR="009E6571" w:rsidRPr="006458C0" w:rsidRDefault="009E6571">
            <w:pPr>
              <w:rPr>
                <w:rFonts w:cs="FrankRuehl"/>
              </w:rPr>
            </w:pPr>
            <w:r w:rsidRPr="006458C0">
              <w:rPr>
                <w:rFonts w:cs="FrankRuehl"/>
                <w:rtl/>
              </w:rPr>
              <w:t xml:space="preserve">סעיף 1 </w:t>
            </w:r>
          </w:p>
        </w:tc>
      </w:tr>
      <w:tr w:rsidR="009E6571" w:rsidRPr="006458C0">
        <w:tblPrEx>
          <w:tblCellMar>
            <w:top w:w="0" w:type="dxa"/>
            <w:bottom w:w="0" w:type="dxa"/>
          </w:tblCellMar>
        </w:tblPrEx>
        <w:tc>
          <w:tcPr>
            <w:tcW w:w="850" w:type="dxa"/>
          </w:tcPr>
          <w:p w:rsidR="009E6571" w:rsidRPr="006458C0" w:rsidRDefault="009E6571">
            <w:pPr>
              <w:rPr>
                <w:rFonts w:cs="FrankRuehl"/>
              </w:rPr>
            </w:pPr>
            <w:r w:rsidRPr="006458C0">
              <w:rPr>
                <w:rFonts w:cs="FrankRuehl"/>
                <w:rtl/>
              </w:rPr>
              <w:fldChar w:fldCharType="begin"/>
            </w:r>
            <w:r w:rsidRPr="006458C0">
              <w:rPr>
                <w:rFonts w:cs="FrankRuehl"/>
                <w:rtl/>
              </w:rPr>
              <w:instrText xml:space="preserve"> </w:instrText>
            </w:r>
            <w:r w:rsidRPr="006458C0">
              <w:rPr>
                <w:rFonts w:cs="FrankRuehl"/>
              </w:rPr>
              <w:instrText>PAGEREF Seif1</w:instrText>
            </w:r>
            <w:r w:rsidRPr="006458C0">
              <w:rPr>
                <w:rFonts w:cs="FrankRuehl"/>
                <w:rtl/>
              </w:rPr>
              <w:instrText xml:space="preserve"> </w:instrText>
            </w:r>
            <w:r w:rsidRPr="006458C0">
              <w:rPr>
                <w:rFonts w:cs="FrankRuehl"/>
                <w:rtl/>
              </w:rPr>
              <w:fldChar w:fldCharType="separate"/>
            </w:r>
            <w:r w:rsidR="00884EC5">
              <w:rPr>
                <w:rFonts w:cs="FrankRuehl"/>
                <w:noProof/>
                <w:rtl/>
              </w:rPr>
              <w:t>2</w:t>
            </w:r>
            <w:r w:rsidRPr="006458C0">
              <w:rPr>
                <w:rFonts w:cs="FrankRuehl"/>
                <w:rtl/>
              </w:rPr>
              <w:fldChar w:fldCharType="end"/>
            </w:r>
          </w:p>
        </w:tc>
        <w:tc>
          <w:tcPr>
            <w:tcW w:w="567" w:type="dxa"/>
          </w:tcPr>
          <w:p w:rsidR="009E6571" w:rsidRPr="006458C0" w:rsidRDefault="009E6571">
            <w:pPr>
              <w:rPr>
                <w:rFonts w:cs="FrankRuehl"/>
              </w:rPr>
            </w:pPr>
            <w:hyperlink w:anchor="Seif1" w:tooltip="הבקשה והמסמכים" w:history="1">
              <w:r w:rsidRPr="006458C0">
                <w:rPr>
                  <w:rStyle w:val="Hyperlink"/>
                  <w:rFonts w:cs="FrankRuehl"/>
                </w:rPr>
                <w:t>Go</w:t>
              </w:r>
            </w:hyperlink>
          </w:p>
        </w:tc>
        <w:tc>
          <w:tcPr>
            <w:tcW w:w="5669" w:type="dxa"/>
          </w:tcPr>
          <w:p w:rsidR="009E6571" w:rsidRPr="006458C0" w:rsidRDefault="009E6571">
            <w:pPr>
              <w:rPr>
                <w:rFonts w:cs="FrankRuehl"/>
                <w:rtl/>
              </w:rPr>
            </w:pPr>
            <w:r w:rsidRPr="006458C0">
              <w:rPr>
                <w:rFonts w:cs="FrankRuehl"/>
                <w:rtl/>
              </w:rPr>
              <w:t>הבקשה והמסמכים</w:t>
            </w:r>
          </w:p>
        </w:tc>
        <w:tc>
          <w:tcPr>
            <w:tcW w:w="1247" w:type="dxa"/>
          </w:tcPr>
          <w:p w:rsidR="009E6571" w:rsidRPr="006458C0" w:rsidRDefault="009E6571">
            <w:pPr>
              <w:rPr>
                <w:rFonts w:cs="FrankRuehl"/>
              </w:rPr>
            </w:pPr>
            <w:r w:rsidRPr="006458C0">
              <w:rPr>
                <w:rFonts w:cs="FrankRuehl"/>
                <w:rtl/>
              </w:rPr>
              <w:t xml:space="preserve">סעיף 2 </w:t>
            </w:r>
          </w:p>
        </w:tc>
      </w:tr>
      <w:tr w:rsidR="009E6571" w:rsidRPr="006458C0">
        <w:tblPrEx>
          <w:tblCellMar>
            <w:top w:w="0" w:type="dxa"/>
            <w:bottom w:w="0" w:type="dxa"/>
          </w:tblCellMar>
        </w:tblPrEx>
        <w:tc>
          <w:tcPr>
            <w:tcW w:w="850" w:type="dxa"/>
          </w:tcPr>
          <w:p w:rsidR="009E6571" w:rsidRPr="006458C0" w:rsidRDefault="009E6571">
            <w:pPr>
              <w:rPr>
                <w:rFonts w:cs="FrankRuehl"/>
              </w:rPr>
            </w:pPr>
            <w:r w:rsidRPr="006458C0">
              <w:rPr>
                <w:rFonts w:cs="FrankRuehl"/>
                <w:rtl/>
              </w:rPr>
              <w:fldChar w:fldCharType="begin"/>
            </w:r>
            <w:r w:rsidRPr="006458C0">
              <w:rPr>
                <w:rFonts w:cs="FrankRuehl"/>
                <w:rtl/>
              </w:rPr>
              <w:instrText xml:space="preserve"> </w:instrText>
            </w:r>
            <w:r w:rsidRPr="006458C0">
              <w:rPr>
                <w:rFonts w:cs="FrankRuehl"/>
              </w:rPr>
              <w:instrText>PAGEREF Seif2</w:instrText>
            </w:r>
            <w:r w:rsidRPr="006458C0">
              <w:rPr>
                <w:rFonts w:cs="FrankRuehl"/>
                <w:rtl/>
              </w:rPr>
              <w:instrText xml:space="preserve"> </w:instrText>
            </w:r>
            <w:r w:rsidRPr="006458C0">
              <w:rPr>
                <w:rFonts w:cs="FrankRuehl"/>
                <w:rtl/>
              </w:rPr>
              <w:fldChar w:fldCharType="separate"/>
            </w:r>
            <w:r w:rsidR="00884EC5">
              <w:rPr>
                <w:rFonts w:cs="FrankRuehl"/>
                <w:noProof/>
                <w:rtl/>
              </w:rPr>
              <w:t>3</w:t>
            </w:r>
            <w:r w:rsidRPr="006458C0">
              <w:rPr>
                <w:rFonts w:cs="FrankRuehl"/>
                <w:rtl/>
              </w:rPr>
              <w:fldChar w:fldCharType="end"/>
            </w:r>
          </w:p>
        </w:tc>
        <w:tc>
          <w:tcPr>
            <w:tcW w:w="567" w:type="dxa"/>
          </w:tcPr>
          <w:p w:rsidR="009E6571" w:rsidRPr="006458C0" w:rsidRDefault="009E6571">
            <w:pPr>
              <w:rPr>
                <w:rFonts w:cs="FrankRuehl"/>
              </w:rPr>
            </w:pPr>
            <w:hyperlink w:anchor="Seif2" w:tooltip="הגשת דוחות" w:history="1">
              <w:r w:rsidRPr="006458C0">
                <w:rPr>
                  <w:rStyle w:val="Hyperlink"/>
                  <w:rFonts w:cs="FrankRuehl"/>
                </w:rPr>
                <w:t>Go</w:t>
              </w:r>
            </w:hyperlink>
          </w:p>
        </w:tc>
        <w:tc>
          <w:tcPr>
            <w:tcW w:w="5669" w:type="dxa"/>
          </w:tcPr>
          <w:p w:rsidR="009E6571" w:rsidRPr="006458C0" w:rsidRDefault="009E6571">
            <w:pPr>
              <w:rPr>
                <w:rFonts w:cs="FrankRuehl"/>
                <w:rtl/>
              </w:rPr>
            </w:pPr>
            <w:r w:rsidRPr="006458C0">
              <w:rPr>
                <w:rFonts w:cs="FrankRuehl"/>
                <w:rtl/>
              </w:rPr>
              <w:t>הגשת דוחות</w:t>
            </w:r>
          </w:p>
        </w:tc>
        <w:tc>
          <w:tcPr>
            <w:tcW w:w="1247" w:type="dxa"/>
          </w:tcPr>
          <w:p w:rsidR="009E6571" w:rsidRPr="006458C0" w:rsidRDefault="009E6571">
            <w:pPr>
              <w:rPr>
                <w:rFonts w:cs="FrankRuehl"/>
              </w:rPr>
            </w:pPr>
            <w:r w:rsidRPr="006458C0">
              <w:rPr>
                <w:rFonts w:cs="FrankRuehl"/>
                <w:rtl/>
              </w:rPr>
              <w:t xml:space="preserve">סעיף 3 </w:t>
            </w:r>
          </w:p>
        </w:tc>
      </w:tr>
      <w:tr w:rsidR="009E6571" w:rsidRPr="006458C0">
        <w:tblPrEx>
          <w:tblCellMar>
            <w:top w:w="0" w:type="dxa"/>
            <w:bottom w:w="0" w:type="dxa"/>
          </w:tblCellMar>
        </w:tblPrEx>
        <w:tc>
          <w:tcPr>
            <w:tcW w:w="850" w:type="dxa"/>
          </w:tcPr>
          <w:p w:rsidR="009E6571" w:rsidRPr="006458C0" w:rsidRDefault="009E6571">
            <w:pPr>
              <w:rPr>
                <w:rFonts w:cs="FrankRuehl"/>
              </w:rPr>
            </w:pPr>
            <w:r w:rsidRPr="006458C0">
              <w:rPr>
                <w:rFonts w:cs="FrankRuehl"/>
                <w:rtl/>
              </w:rPr>
              <w:fldChar w:fldCharType="begin"/>
            </w:r>
            <w:r w:rsidRPr="006458C0">
              <w:rPr>
                <w:rFonts w:cs="FrankRuehl"/>
                <w:rtl/>
              </w:rPr>
              <w:instrText xml:space="preserve"> </w:instrText>
            </w:r>
            <w:r w:rsidRPr="006458C0">
              <w:rPr>
                <w:rFonts w:cs="FrankRuehl"/>
              </w:rPr>
              <w:instrText>PAGEREF Seif3</w:instrText>
            </w:r>
            <w:r w:rsidRPr="006458C0">
              <w:rPr>
                <w:rFonts w:cs="FrankRuehl"/>
                <w:rtl/>
              </w:rPr>
              <w:instrText xml:space="preserve"> </w:instrText>
            </w:r>
            <w:r w:rsidRPr="006458C0">
              <w:rPr>
                <w:rFonts w:cs="FrankRuehl"/>
                <w:rtl/>
              </w:rPr>
              <w:fldChar w:fldCharType="separate"/>
            </w:r>
            <w:r w:rsidR="00884EC5">
              <w:rPr>
                <w:rFonts w:cs="FrankRuehl"/>
                <w:noProof/>
                <w:rtl/>
              </w:rPr>
              <w:t>3</w:t>
            </w:r>
            <w:r w:rsidRPr="006458C0">
              <w:rPr>
                <w:rFonts w:cs="FrankRuehl"/>
                <w:rtl/>
              </w:rPr>
              <w:fldChar w:fldCharType="end"/>
            </w:r>
          </w:p>
        </w:tc>
        <w:tc>
          <w:tcPr>
            <w:tcW w:w="567" w:type="dxa"/>
          </w:tcPr>
          <w:p w:rsidR="009E6571" w:rsidRPr="006458C0" w:rsidRDefault="009E6571">
            <w:pPr>
              <w:rPr>
                <w:rFonts w:cs="FrankRuehl"/>
              </w:rPr>
            </w:pPr>
            <w:hyperlink w:anchor="Seif3" w:tooltip="צירוף מסמכים נוספים" w:history="1">
              <w:r w:rsidRPr="006458C0">
                <w:rPr>
                  <w:rStyle w:val="Hyperlink"/>
                  <w:rFonts w:cs="FrankRuehl"/>
                </w:rPr>
                <w:t>Go</w:t>
              </w:r>
            </w:hyperlink>
          </w:p>
        </w:tc>
        <w:tc>
          <w:tcPr>
            <w:tcW w:w="5669" w:type="dxa"/>
          </w:tcPr>
          <w:p w:rsidR="009E6571" w:rsidRPr="006458C0" w:rsidRDefault="009E6571">
            <w:pPr>
              <w:rPr>
                <w:rFonts w:cs="FrankRuehl"/>
                <w:rtl/>
              </w:rPr>
            </w:pPr>
            <w:r w:rsidRPr="006458C0">
              <w:rPr>
                <w:rFonts w:cs="FrankRuehl"/>
                <w:rtl/>
              </w:rPr>
              <w:t>צירוף מסמכים נוספים</w:t>
            </w:r>
          </w:p>
        </w:tc>
        <w:tc>
          <w:tcPr>
            <w:tcW w:w="1247" w:type="dxa"/>
          </w:tcPr>
          <w:p w:rsidR="009E6571" w:rsidRPr="006458C0" w:rsidRDefault="009E6571">
            <w:pPr>
              <w:rPr>
                <w:rFonts w:cs="FrankRuehl"/>
              </w:rPr>
            </w:pPr>
            <w:r w:rsidRPr="006458C0">
              <w:rPr>
                <w:rFonts w:cs="FrankRuehl"/>
                <w:rtl/>
              </w:rPr>
              <w:t xml:space="preserve">סעיף 4 </w:t>
            </w:r>
          </w:p>
        </w:tc>
      </w:tr>
    </w:tbl>
    <w:p w:rsidR="009E6571" w:rsidRPr="006458C0" w:rsidRDefault="009E6571">
      <w:pPr>
        <w:pStyle w:val="big-header"/>
        <w:ind w:left="0" w:right="1134"/>
        <w:rPr>
          <w:rFonts w:cs="FrankRuehl"/>
          <w:sz w:val="32"/>
          <w:rtl/>
        </w:rPr>
      </w:pPr>
    </w:p>
    <w:p w:rsidR="009E6571" w:rsidRPr="006458C0" w:rsidRDefault="009E6571" w:rsidP="00160EB9">
      <w:pPr>
        <w:pStyle w:val="big-header"/>
        <w:ind w:left="0" w:right="1134"/>
        <w:rPr>
          <w:rStyle w:val="default"/>
          <w:rFonts w:cs="FrankRuehl" w:hint="cs"/>
          <w:rtl/>
        </w:rPr>
      </w:pPr>
      <w:r w:rsidRPr="006458C0">
        <w:rPr>
          <w:rtl/>
        </w:rPr>
        <w:br w:type="page"/>
      </w:r>
      <w:r w:rsidRPr="006458C0">
        <w:rPr>
          <w:rFonts w:cs="FrankRuehl"/>
          <w:sz w:val="32"/>
          <w:rtl/>
        </w:rPr>
        <w:lastRenderedPageBreak/>
        <w:t>כל</w:t>
      </w:r>
      <w:r w:rsidRPr="006458C0">
        <w:rPr>
          <w:rFonts w:cs="FrankRuehl" w:hint="cs"/>
          <w:sz w:val="32"/>
          <w:rtl/>
        </w:rPr>
        <w:t>לי מס הכנסה (בקשה לאישור מראש לתכנית מיזוג), תשנ"ה</w:t>
      </w:r>
      <w:r w:rsidR="00884EC5">
        <w:rPr>
          <w:rFonts w:cs="FrankRuehl" w:hint="cs"/>
          <w:sz w:val="32"/>
          <w:rtl/>
        </w:rPr>
        <w:t>-</w:t>
      </w:r>
      <w:r w:rsidRPr="006458C0">
        <w:rPr>
          <w:rFonts w:cs="FrankRuehl"/>
          <w:sz w:val="32"/>
          <w:rtl/>
        </w:rPr>
        <w:t>1995</w:t>
      </w:r>
      <w:r w:rsidR="00884EC5">
        <w:rPr>
          <w:rStyle w:val="a6"/>
          <w:rFonts w:cs="FrankRuehl"/>
          <w:sz w:val="32"/>
          <w:rtl/>
        </w:rPr>
        <w:footnoteReference w:customMarkFollows="1" w:id="1"/>
        <w:t>*</w:t>
      </w:r>
    </w:p>
    <w:p w:rsidR="009E6571" w:rsidRPr="006458C0" w:rsidRDefault="009E6571" w:rsidP="00921429">
      <w:pPr>
        <w:pStyle w:val="P00"/>
        <w:spacing w:before="72"/>
        <w:ind w:left="0" w:right="1134"/>
        <w:rPr>
          <w:rStyle w:val="default"/>
          <w:rFonts w:cs="FrankRuehl"/>
          <w:rtl/>
        </w:rPr>
      </w:pPr>
      <w:r w:rsidRPr="006458C0">
        <w:rPr>
          <w:rFonts w:cs="FrankRuehl"/>
          <w:sz w:val="26"/>
          <w:rtl/>
        </w:rPr>
        <w:tab/>
      </w:r>
      <w:r w:rsidRPr="006458C0">
        <w:rPr>
          <w:rStyle w:val="default"/>
          <w:rFonts w:cs="FrankRuehl"/>
          <w:rtl/>
        </w:rPr>
        <w:t xml:space="preserve">בתוקף סמכותי לפי סעיף 103ט(ג) לפקודת מס הכנסה (להלן </w:t>
      </w:r>
      <w:r w:rsidR="00921429">
        <w:rPr>
          <w:rStyle w:val="default"/>
          <w:rFonts w:cs="FrankRuehl" w:hint="cs"/>
          <w:rtl/>
        </w:rPr>
        <w:t>-</w:t>
      </w:r>
      <w:r w:rsidRPr="006458C0">
        <w:rPr>
          <w:rStyle w:val="default"/>
          <w:rFonts w:cs="FrankRuehl"/>
          <w:rtl/>
        </w:rPr>
        <w:t xml:space="preserve"> הפקודה), אני קובע כללים אלה:</w:t>
      </w:r>
    </w:p>
    <w:p w:rsidR="009E6571" w:rsidRDefault="009E6571">
      <w:pPr>
        <w:pStyle w:val="P00"/>
        <w:spacing w:before="72"/>
        <w:ind w:left="0" w:right="1134"/>
        <w:rPr>
          <w:rStyle w:val="default"/>
          <w:rFonts w:cs="FrankRuehl" w:hint="cs"/>
          <w:rtl/>
        </w:rPr>
      </w:pPr>
      <w:bookmarkStart w:id="0" w:name="Seif0"/>
      <w:bookmarkEnd w:id="0"/>
      <w:r w:rsidRPr="00921429">
        <w:rPr>
          <w:rFonts w:cs="Miriam"/>
          <w:lang w:val="he-IL"/>
        </w:rPr>
        <w:pict>
          <v:rect id="_x0000_s1026" style="position:absolute;left:0;text-align:left;margin-left:464.5pt;margin-top:8.05pt;width:75.05pt;height:14.05pt;z-index:251656192" o:allowincell="f" filled="f" stroked="f" strokecolor="lime" strokeweight=".25pt">
            <v:textbox inset="0,0,0,0">
              <w:txbxContent>
                <w:p w:rsidR="009E6571" w:rsidRDefault="009E6571">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921429">
        <w:rPr>
          <w:rStyle w:val="big-number"/>
          <w:rFonts w:cs="Miriam"/>
          <w:rtl/>
        </w:rPr>
        <w:t>1</w:t>
      </w:r>
      <w:r w:rsidRPr="00921429">
        <w:rPr>
          <w:rStyle w:val="default"/>
          <w:rFonts w:cs="FrankRuehl"/>
          <w:rtl/>
        </w:rPr>
        <w:t>.</w:t>
      </w:r>
      <w:r w:rsidRPr="00921429">
        <w:rPr>
          <w:rStyle w:val="default"/>
          <w:rFonts w:cs="FrankRuehl"/>
          <w:rtl/>
        </w:rPr>
        <w:tab/>
      </w:r>
      <w:r w:rsidR="00921429">
        <w:rPr>
          <w:rStyle w:val="default"/>
          <w:rFonts w:cs="FrankRuehl"/>
          <w:rtl/>
        </w:rPr>
        <w:t>בכללים אלה –</w:t>
      </w:r>
    </w:p>
    <w:p w:rsidR="009E6571" w:rsidRPr="006458C0" w:rsidRDefault="009E6571" w:rsidP="00921429">
      <w:pPr>
        <w:pStyle w:val="P00"/>
        <w:spacing w:before="72"/>
        <w:ind w:left="0" w:right="1134"/>
        <w:rPr>
          <w:rStyle w:val="default"/>
          <w:rFonts w:cs="FrankRuehl"/>
          <w:rtl/>
        </w:rPr>
      </w:pPr>
      <w:r w:rsidRPr="006458C0">
        <w:rPr>
          <w:rFonts w:cs="FrankRuehl"/>
          <w:sz w:val="26"/>
          <w:rtl/>
        </w:rPr>
        <w:tab/>
      </w:r>
      <w:r w:rsidRPr="006458C0">
        <w:rPr>
          <w:rStyle w:val="default"/>
          <w:rFonts w:cs="FrankRuehl"/>
          <w:rtl/>
        </w:rPr>
        <w:t xml:space="preserve">"הבקשה" </w:t>
      </w:r>
      <w:r w:rsidR="00921429">
        <w:rPr>
          <w:rStyle w:val="default"/>
          <w:rFonts w:cs="FrankRuehl" w:hint="cs"/>
          <w:rtl/>
        </w:rPr>
        <w:t>-</w:t>
      </w:r>
      <w:r w:rsidRPr="006458C0">
        <w:rPr>
          <w:rStyle w:val="default"/>
          <w:rFonts w:cs="FrankRuehl"/>
          <w:rtl/>
        </w:rPr>
        <w:t xml:space="preserve"> בקשה לפי סעיף 103ט(א) לפקודה;</w:t>
      </w:r>
    </w:p>
    <w:p w:rsidR="009E6571" w:rsidRPr="006458C0" w:rsidRDefault="009E6571" w:rsidP="00921429">
      <w:pPr>
        <w:pStyle w:val="P00"/>
        <w:spacing w:before="72"/>
        <w:ind w:left="0" w:right="1134"/>
        <w:rPr>
          <w:rStyle w:val="default"/>
          <w:rFonts w:cs="FrankRuehl"/>
          <w:rtl/>
        </w:rPr>
      </w:pPr>
      <w:r w:rsidRPr="006458C0">
        <w:rPr>
          <w:rFonts w:cs="FrankRuehl"/>
          <w:sz w:val="26"/>
          <w:rtl/>
        </w:rPr>
        <w:tab/>
      </w:r>
      <w:r w:rsidRPr="006458C0">
        <w:rPr>
          <w:rStyle w:val="default"/>
          <w:rFonts w:cs="FrankRuehl"/>
          <w:rtl/>
        </w:rPr>
        <w:t xml:space="preserve">"המבקשת" </w:t>
      </w:r>
      <w:r w:rsidR="00921429">
        <w:rPr>
          <w:rStyle w:val="default"/>
          <w:rFonts w:cs="FrankRuehl" w:hint="cs"/>
          <w:rtl/>
        </w:rPr>
        <w:t>-</w:t>
      </w:r>
      <w:r w:rsidRPr="006458C0">
        <w:rPr>
          <w:rStyle w:val="default"/>
          <w:rFonts w:cs="FrankRuehl"/>
          <w:rtl/>
        </w:rPr>
        <w:t xml:space="preserve"> חברה מעבירה וחברה קולטת כמשמעותן בהגדרת "מיזוג" בסעיף 103 לפקודה;</w:t>
      </w:r>
    </w:p>
    <w:p w:rsidR="009E6571" w:rsidRPr="006458C0" w:rsidRDefault="009E6571" w:rsidP="00921429">
      <w:pPr>
        <w:pStyle w:val="P00"/>
        <w:spacing w:before="72"/>
        <w:ind w:left="0" w:right="1134"/>
        <w:rPr>
          <w:rStyle w:val="default"/>
          <w:rFonts w:cs="FrankRuehl"/>
          <w:rtl/>
        </w:rPr>
      </w:pPr>
      <w:r w:rsidRPr="006458C0">
        <w:rPr>
          <w:rFonts w:cs="FrankRuehl"/>
          <w:sz w:val="26"/>
          <w:rtl/>
        </w:rPr>
        <w:tab/>
      </w:r>
      <w:r w:rsidRPr="006458C0">
        <w:rPr>
          <w:rStyle w:val="default"/>
          <w:rFonts w:cs="FrankRuehl"/>
          <w:rtl/>
        </w:rPr>
        <w:t xml:space="preserve">"מומחה" </w:t>
      </w:r>
      <w:r w:rsidR="00921429">
        <w:rPr>
          <w:rStyle w:val="default"/>
          <w:rFonts w:cs="FrankRuehl" w:hint="cs"/>
          <w:rtl/>
        </w:rPr>
        <w:t>-</w:t>
      </w:r>
      <w:r w:rsidRPr="006458C0">
        <w:rPr>
          <w:rStyle w:val="default"/>
          <w:rFonts w:cs="FrankRuehl"/>
          <w:rtl/>
        </w:rPr>
        <w:t xml:space="preserve"> מי שעיסוקו ומומחיותו בהערכת שווים של תאגידים ונכסים, ואינו קשור, במישרין או בעקיפין למבקשת, ואינו נותן לה שירות דרך קבע;</w:t>
      </w:r>
    </w:p>
    <w:p w:rsidR="009E6571" w:rsidRPr="006458C0" w:rsidRDefault="009E6571" w:rsidP="00921429">
      <w:pPr>
        <w:pStyle w:val="P00"/>
        <w:spacing w:before="72"/>
        <w:ind w:left="0" w:right="1134"/>
        <w:rPr>
          <w:rStyle w:val="default"/>
          <w:rFonts w:cs="FrankRuehl"/>
          <w:rtl/>
        </w:rPr>
      </w:pPr>
      <w:r w:rsidRPr="006458C0">
        <w:rPr>
          <w:rFonts w:cs="FrankRuehl"/>
          <w:sz w:val="26"/>
          <w:rtl/>
        </w:rPr>
        <w:tab/>
      </w:r>
      <w:r w:rsidRPr="006458C0">
        <w:rPr>
          <w:rStyle w:val="default"/>
          <w:rFonts w:cs="FrankRuehl"/>
          <w:rtl/>
        </w:rPr>
        <w:t xml:space="preserve">"בעל זכות" </w:t>
      </w:r>
      <w:r w:rsidR="00921429">
        <w:rPr>
          <w:rStyle w:val="default"/>
          <w:rFonts w:cs="FrankRuehl" w:hint="cs"/>
          <w:rtl/>
        </w:rPr>
        <w:t>-</w:t>
      </w:r>
      <w:r w:rsidRPr="006458C0">
        <w:rPr>
          <w:rStyle w:val="default"/>
          <w:rFonts w:cs="FrankRuehl"/>
          <w:rtl/>
        </w:rPr>
        <w:t xml:space="preserve"> בעל זכות בחבר-בני-אדם כהגדרתו בסעיף 103 לפקודה; ובחברה שמניותיה נסחרות בבורסה </w:t>
      </w:r>
      <w:r w:rsidR="00921429">
        <w:rPr>
          <w:rStyle w:val="default"/>
          <w:rFonts w:cs="FrankRuehl" w:hint="cs"/>
          <w:rtl/>
        </w:rPr>
        <w:t>-</w:t>
      </w:r>
      <w:r w:rsidRPr="006458C0">
        <w:rPr>
          <w:rStyle w:val="default"/>
          <w:rFonts w:cs="FrankRuehl"/>
          <w:rtl/>
        </w:rPr>
        <w:t xml:space="preserve"> בעל ענין;</w:t>
      </w:r>
    </w:p>
    <w:p w:rsidR="009E6571" w:rsidRPr="006458C0" w:rsidRDefault="009E6571" w:rsidP="00921429">
      <w:pPr>
        <w:pStyle w:val="P00"/>
        <w:spacing w:before="72"/>
        <w:ind w:left="0" w:right="1134"/>
        <w:rPr>
          <w:rStyle w:val="default"/>
          <w:rFonts w:cs="FrankRuehl"/>
          <w:rtl/>
        </w:rPr>
      </w:pPr>
      <w:r w:rsidRPr="006458C0">
        <w:rPr>
          <w:rFonts w:cs="FrankRuehl"/>
          <w:sz w:val="26"/>
          <w:rtl/>
        </w:rPr>
        <w:tab/>
      </w:r>
      <w:r w:rsidRPr="006458C0">
        <w:rPr>
          <w:rStyle w:val="default"/>
          <w:rFonts w:cs="FrankRuehl"/>
          <w:rtl/>
        </w:rPr>
        <w:t xml:space="preserve">"בעל ענין" </w:t>
      </w:r>
      <w:r w:rsidR="00921429">
        <w:rPr>
          <w:rStyle w:val="default"/>
          <w:rFonts w:cs="FrankRuehl" w:hint="cs"/>
          <w:rtl/>
        </w:rPr>
        <w:t>-</w:t>
      </w:r>
      <w:r w:rsidRPr="006458C0">
        <w:rPr>
          <w:rStyle w:val="default"/>
          <w:rFonts w:cs="FrankRuehl"/>
          <w:rtl/>
        </w:rPr>
        <w:t xml:space="preserve"> כמשמעותו בחוק ניירות ערך, תשכ"ח</w:t>
      </w:r>
      <w:r w:rsidR="00921429">
        <w:rPr>
          <w:rStyle w:val="default"/>
          <w:rFonts w:cs="FrankRuehl" w:hint="cs"/>
          <w:rtl/>
        </w:rPr>
        <w:t>-</w:t>
      </w:r>
      <w:r w:rsidRPr="006458C0">
        <w:rPr>
          <w:rStyle w:val="default"/>
          <w:rFonts w:cs="FrankRuehl"/>
          <w:rtl/>
        </w:rPr>
        <w:t>1968;</w:t>
      </w:r>
    </w:p>
    <w:p w:rsidR="009E6571" w:rsidRPr="006458C0" w:rsidRDefault="009E6571" w:rsidP="00921429">
      <w:pPr>
        <w:pStyle w:val="P00"/>
        <w:spacing w:before="72"/>
        <w:ind w:left="0" w:right="1134"/>
        <w:rPr>
          <w:rStyle w:val="default"/>
          <w:rFonts w:cs="FrankRuehl"/>
          <w:rtl/>
        </w:rPr>
      </w:pPr>
      <w:r w:rsidRPr="006458C0">
        <w:rPr>
          <w:rFonts w:cs="FrankRuehl"/>
          <w:sz w:val="26"/>
          <w:rtl/>
        </w:rPr>
        <w:tab/>
      </w:r>
      <w:r w:rsidRPr="006458C0">
        <w:rPr>
          <w:rStyle w:val="default"/>
          <w:rFonts w:cs="FrankRuehl"/>
          <w:rtl/>
        </w:rPr>
        <w:t xml:space="preserve">"דו"חות מתואמים" </w:t>
      </w:r>
      <w:r w:rsidR="00921429">
        <w:rPr>
          <w:rStyle w:val="default"/>
          <w:rFonts w:cs="FrankRuehl" w:hint="cs"/>
          <w:rtl/>
        </w:rPr>
        <w:t>-</w:t>
      </w:r>
      <w:r w:rsidRPr="006458C0">
        <w:rPr>
          <w:rStyle w:val="default"/>
          <w:rFonts w:cs="FrankRuehl"/>
          <w:rtl/>
        </w:rPr>
        <w:t xml:space="preserve"> כהגדרתם בסעיף 105 לפקודה;</w:t>
      </w:r>
    </w:p>
    <w:p w:rsidR="009E6571" w:rsidRPr="006458C0" w:rsidRDefault="009E6571" w:rsidP="00921429">
      <w:pPr>
        <w:pStyle w:val="P00"/>
        <w:spacing w:before="72"/>
        <w:ind w:left="0" w:right="1134"/>
        <w:rPr>
          <w:rStyle w:val="default"/>
          <w:rFonts w:cs="FrankRuehl"/>
          <w:rtl/>
        </w:rPr>
      </w:pPr>
      <w:r w:rsidRPr="006458C0">
        <w:rPr>
          <w:rFonts w:cs="FrankRuehl"/>
          <w:sz w:val="26"/>
          <w:rtl/>
        </w:rPr>
        <w:tab/>
      </w:r>
      <w:r w:rsidRPr="006458C0">
        <w:rPr>
          <w:rStyle w:val="default"/>
          <w:rFonts w:cs="FrankRuehl"/>
          <w:rtl/>
        </w:rPr>
        <w:t xml:space="preserve">"נושא משרה" </w:t>
      </w:r>
      <w:r w:rsidR="00921429">
        <w:rPr>
          <w:rStyle w:val="default"/>
          <w:rFonts w:cs="FrankRuehl" w:hint="cs"/>
          <w:rtl/>
        </w:rPr>
        <w:t>-</w:t>
      </w:r>
      <w:r w:rsidRPr="006458C0">
        <w:rPr>
          <w:rStyle w:val="default"/>
          <w:rFonts w:cs="FrankRuehl"/>
          <w:rtl/>
        </w:rPr>
        <w:t xml:space="preserve"> כהגדרתו בסעיף 96כד לפקודת החברות [נוסח חדש], תשמ"ג</w:t>
      </w:r>
      <w:r w:rsidR="00921429">
        <w:rPr>
          <w:rStyle w:val="default"/>
          <w:rFonts w:cs="FrankRuehl" w:hint="cs"/>
          <w:rtl/>
        </w:rPr>
        <w:t>-</w:t>
      </w:r>
      <w:r w:rsidRPr="006458C0">
        <w:rPr>
          <w:rStyle w:val="default"/>
          <w:rFonts w:cs="FrankRuehl"/>
          <w:rtl/>
        </w:rPr>
        <w:t>1983;</w:t>
      </w:r>
    </w:p>
    <w:p w:rsidR="009E6571" w:rsidRPr="006458C0" w:rsidRDefault="009E6571" w:rsidP="00921429">
      <w:pPr>
        <w:pStyle w:val="P00"/>
        <w:spacing w:before="72"/>
        <w:ind w:left="0" w:right="1134"/>
        <w:rPr>
          <w:rStyle w:val="default"/>
          <w:rFonts w:cs="FrankRuehl"/>
          <w:rtl/>
        </w:rPr>
      </w:pPr>
      <w:r w:rsidRPr="006458C0">
        <w:rPr>
          <w:rFonts w:cs="FrankRuehl"/>
          <w:sz w:val="26"/>
          <w:rtl/>
        </w:rPr>
        <w:tab/>
      </w:r>
      <w:r w:rsidRPr="006458C0">
        <w:rPr>
          <w:rStyle w:val="default"/>
          <w:rFonts w:cs="FrankRuehl"/>
          <w:rtl/>
        </w:rPr>
        <w:t xml:space="preserve">"דו"חות כספיים" </w:t>
      </w:r>
      <w:r w:rsidR="00921429">
        <w:rPr>
          <w:rStyle w:val="default"/>
          <w:rFonts w:cs="FrankRuehl" w:hint="cs"/>
          <w:rtl/>
        </w:rPr>
        <w:t>-</w:t>
      </w:r>
      <w:r w:rsidRPr="006458C0">
        <w:rPr>
          <w:rStyle w:val="default"/>
          <w:rFonts w:cs="FrankRuehl"/>
          <w:rtl/>
        </w:rPr>
        <w:t xml:space="preserve"> מאזן ודו"ח ריווח והפסד לרבות הביאורים והפירוטים הנלווים לו </w:t>
      </w:r>
      <w:r w:rsidR="00921429">
        <w:rPr>
          <w:rStyle w:val="default"/>
          <w:rFonts w:cs="FrankRuehl" w:hint="cs"/>
          <w:rtl/>
        </w:rPr>
        <w:t>-</w:t>
      </w:r>
      <w:r w:rsidRPr="006458C0">
        <w:rPr>
          <w:rStyle w:val="default"/>
          <w:rFonts w:cs="FrankRuehl"/>
          <w:rtl/>
        </w:rPr>
        <w:t xml:space="preserve"> המסוקרים על ידי רואה חשבון;</w:t>
      </w:r>
    </w:p>
    <w:p w:rsidR="009E6571" w:rsidRPr="006458C0" w:rsidRDefault="009E6571" w:rsidP="00921429">
      <w:pPr>
        <w:pStyle w:val="P00"/>
        <w:spacing w:before="72"/>
        <w:ind w:left="0" w:right="1134"/>
        <w:rPr>
          <w:rStyle w:val="default"/>
          <w:rFonts w:cs="FrankRuehl"/>
          <w:rtl/>
        </w:rPr>
      </w:pPr>
      <w:r w:rsidRPr="006458C0">
        <w:rPr>
          <w:rFonts w:cs="FrankRuehl"/>
          <w:sz w:val="26"/>
          <w:rtl/>
        </w:rPr>
        <w:tab/>
      </w:r>
      <w:r w:rsidRPr="006458C0">
        <w:rPr>
          <w:rStyle w:val="default"/>
          <w:rFonts w:cs="FrankRuehl"/>
          <w:rtl/>
        </w:rPr>
        <w:t xml:space="preserve">"תקנות ניירות ערך" </w:t>
      </w:r>
      <w:r w:rsidR="00921429">
        <w:rPr>
          <w:rStyle w:val="default"/>
          <w:rFonts w:cs="FrankRuehl" w:hint="cs"/>
          <w:rtl/>
        </w:rPr>
        <w:t>-</w:t>
      </w:r>
      <w:r w:rsidRPr="006458C0">
        <w:rPr>
          <w:rStyle w:val="default"/>
          <w:rFonts w:cs="FrankRuehl"/>
          <w:rtl/>
        </w:rPr>
        <w:t xml:space="preserve"> ניירות ערך (דו"חות תקופתיים ומידיים), תש"ל</w:t>
      </w:r>
      <w:r w:rsidR="00921429">
        <w:rPr>
          <w:rStyle w:val="default"/>
          <w:rFonts w:cs="FrankRuehl" w:hint="cs"/>
          <w:rtl/>
        </w:rPr>
        <w:t>-</w:t>
      </w:r>
      <w:r w:rsidRPr="006458C0">
        <w:rPr>
          <w:rStyle w:val="default"/>
          <w:rFonts w:cs="FrankRuehl"/>
          <w:rtl/>
        </w:rPr>
        <w:t>1970.</w:t>
      </w:r>
    </w:p>
    <w:p w:rsidR="009E6571" w:rsidRPr="006458C0" w:rsidRDefault="009E6571">
      <w:pPr>
        <w:pStyle w:val="P00"/>
        <w:spacing w:before="72"/>
        <w:ind w:left="0" w:right="1134"/>
        <w:rPr>
          <w:rStyle w:val="default"/>
          <w:rFonts w:cs="FrankRuehl"/>
          <w:rtl/>
        </w:rPr>
      </w:pPr>
      <w:bookmarkStart w:id="1" w:name="Seif1"/>
      <w:bookmarkEnd w:id="1"/>
      <w:r w:rsidRPr="00921429">
        <w:rPr>
          <w:rFonts w:cs="Miriam"/>
          <w:lang w:val="he-IL"/>
        </w:rPr>
        <w:pict>
          <v:rect id="_x0000_s1027" style="position:absolute;left:0;text-align:left;margin-left:464.5pt;margin-top:8.05pt;width:75.05pt;height:14.6pt;z-index:251657216" o:allowincell="f" filled="f" stroked="f" strokecolor="lime" strokeweight=".25pt">
            <v:textbox inset="0,0,0,0">
              <w:txbxContent>
                <w:p w:rsidR="009E6571" w:rsidRDefault="009E6571">
                  <w:pPr>
                    <w:spacing w:line="160" w:lineRule="exact"/>
                    <w:rPr>
                      <w:rFonts w:cs="Miriam"/>
                      <w:noProof/>
                      <w:sz w:val="18"/>
                      <w:szCs w:val="18"/>
                      <w:rtl/>
                    </w:rPr>
                  </w:pPr>
                  <w:r>
                    <w:rPr>
                      <w:rFonts w:cs="Miriam"/>
                      <w:sz w:val="18"/>
                      <w:szCs w:val="18"/>
                      <w:rtl/>
                    </w:rPr>
                    <w:t>הב</w:t>
                  </w:r>
                  <w:r>
                    <w:rPr>
                      <w:rFonts w:cs="Miriam" w:hint="cs"/>
                      <w:sz w:val="18"/>
                      <w:szCs w:val="18"/>
                      <w:rtl/>
                    </w:rPr>
                    <w:t>קשה והמסמכים</w:t>
                  </w:r>
                </w:p>
              </w:txbxContent>
            </v:textbox>
            <w10:anchorlock/>
          </v:rect>
        </w:pict>
      </w:r>
      <w:r w:rsidRPr="00921429">
        <w:rPr>
          <w:rStyle w:val="big-number"/>
          <w:rFonts w:cs="Miriam"/>
          <w:rtl/>
        </w:rPr>
        <w:t>2</w:t>
      </w:r>
      <w:r w:rsidRPr="00921429">
        <w:rPr>
          <w:rStyle w:val="default"/>
          <w:rFonts w:cs="FrankRuehl"/>
          <w:rtl/>
        </w:rPr>
        <w:t>.</w:t>
      </w:r>
      <w:r w:rsidRPr="00921429">
        <w:rPr>
          <w:rStyle w:val="default"/>
          <w:rFonts w:cs="FrankRuehl"/>
          <w:rtl/>
        </w:rPr>
        <w:tab/>
      </w:r>
      <w:r w:rsidRPr="006458C0">
        <w:rPr>
          <w:rStyle w:val="default"/>
          <w:rFonts w:cs="FrankRuehl"/>
          <w:rtl/>
        </w:rPr>
        <w:t>הבקשה תהיה ערוכה לפי הטופס שבתוספת, בצירוף דו"ח הכולל את כל הפרטים והעובדות הנוגעים למיזוג, במישרין או בעקיפין, לרבות:</w:t>
      </w:r>
    </w:p>
    <w:p w:rsidR="009E6571" w:rsidRPr="006458C0" w:rsidRDefault="009E6571">
      <w:pPr>
        <w:pStyle w:val="P11"/>
        <w:spacing w:before="72"/>
        <w:ind w:left="624" w:right="1134"/>
        <w:rPr>
          <w:rStyle w:val="default"/>
          <w:rFonts w:cs="FrankRuehl"/>
          <w:rtl/>
        </w:rPr>
      </w:pPr>
      <w:r w:rsidRPr="006458C0">
        <w:rPr>
          <w:rStyle w:val="default"/>
          <w:rFonts w:cs="FrankRuehl"/>
          <w:rtl/>
        </w:rPr>
        <w:t>(1)</w:t>
      </w:r>
      <w:r w:rsidRPr="006458C0">
        <w:rPr>
          <w:rStyle w:val="default"/>
          <w:rFonts w:cs="FrankRuehl"/>
          <w:rtl/>
        </w:rPr>
        <w:tab/>
        <w:t>העתק הפניה לבית המשפט בבקשה למתן צו מיזוג וכל החלטה של בית המשפט בקשר לכך;</w:t>
      </w:r>
    </w:p>
    <w:p w:rsidR="009E6571" w:rsidRPr="006458C0" w:rsidRDefault="009E6571">
      <w:pPr>
        <w:pStyle w:val="P11"/>
        <w:spacing w:before="72"/>
        <w:ind w:left="624" w:right="1134"/>
        <w:rPr>
          <w:rStyle w:val="default"/>
          <w:rFonts w:cs="FrankRuehl"/>
          <w:rtl/>
        </w:rPr>
      </w:pPr>
      <w:r w:rsidRPr="006458C0">
        <w:rPr>
          <w:rStyle w:val="default"/>
          <w:rFonts w:cs="FrankRuehl"/>
          <w:rtl/>
        </w:rPr>
        <w:t>(2)</w:t>
      </w:r>
      <w:r w:rsidRPr="006458C0">
        <w:rPr>
          <w:rStyle w:val="default"/>
          <w:rFonts w:cs="FrankRuehl"/>
          <w:rtl/>
        </w:rPr>
        <w:tab/>
        <w:t>חוזה המיזוג המפרט מהי התכלית העסקית והכלכלית של המיזוג;</w:t>
      </w:r>
    </w:p>
    <w:p w:rsidR="009E6571" w:rsidRPr="006458C0" w:rsidRDefault="009E6571">
      <w:pPr>
        <w:pStyle w:val="P02"/>
        <w:spacing w:before="72"/>
        <w:ind w:left="1021" w:right="1134"/>
        <w:rPr>
          <w:rStyle w:val="default"/>
          <w:rFonts w:cs="FrankRuehl"/>
          <w:rtl/>
        </w:rPr>
      </w:pPr>
      <w:r w:rsidRPr="006458C0">
        <w:rPr>
          <w:rFonts w:cs="FrankRuehl"/>
          <w:sz w:val="26"/>
          <w:rtl/>
        </w:rPr>
        <w:tab/>
      </w:r>
      <w:r w:rsidRPr="006458C0">
        <w:rPr>
          <w:rStyle w:val="default"/>
          <w:rFonts w:cs="FrankRuehl"/>
          <w:rtl/>
        </w:rPr>
        <w:t>(3)</w:t>
      </w:r>
      <w:r w:rsidRPr="006458C0">
        <w:rPr>
          <w:rStyle w:val="default"/>
          <w:rFonts w:cs="FrankRuehl"/>
          <w:rtl/>
        </w:rPr>
        <w:tab/>
        <w:t>(א)</w:t>
      </w:r>
      <w:r w:rsidRPr="006458C0">
        <w:rPr>
          <w:rStyle w:val="default"/>
          <w:rFonts w:cs="FrankRuehl"/>
          <w:rtl/>
        </w:rPr>
        <w:tab/>
        <w:t>דו"חות של המבקשת לפי סעיף 131 לפקודה ודו"חות כספיים מבוקרים שלה, לרבות דו"חות מתואמים לשנת המס בה חל מועד המיזוג ולשנת המס שקדמה לה;</w:t>
      </w:r>
    </w:p>
    <w:p w:rsidR="009E6571" w:rsidRDefault="009E6571">
      <w:pPr>
        <w:pStyle w:val="P22"/>
        <w:spacing w:before="72"/>
        <w:ind w:left="1021" w:right="1134"/>
        <w:rPr>
          <w:rStyle w:val="default"/>
          <w:rFonts w:cs="FrankRuehl" w:hint="cs"/>
          <w:rtl/>
        </w:rPr>
      </w:pPr>
      <w:r w:rsidRPr="006458C0">
        <w:rPr>
          <w:rStyle w:val="default"/>
          <w:rFonts w:cs="FrankRuehl"/>
          <w:rtl/>
        </w:rPr>
        <w:t>(ב)</w:t>
      </w:r>
      <w:r w:rsidRPr="006458C0">
        <w:rPr>
          <w:rStyle w:val="default"/>
          <w:rFonts w:cs="FrankRuehl"/>
          <w:rtl/>
        </w:rPr>
        <w:tab/>
        <w:t>במ</w:t>
      </w:r>
      <w:r w:rsidR="00921429">
        <w:rPr>
          <w:rStyle w:val="default"/>
          <w:rFonts w:cs="FrankRuehl"/>
          <w:rtl/>
        </w:rPr>
        <w:t>יזוג שמועדו חל לאחר הגשת הבקשה –</w:t>
      </w:r>
    </w:p>
    <w:p w:rsidR="009E6571" w:rsidRPr="006458C0" w:rsidRDefault="009E6571">
      <w:pPr>
        <w:pStyle w:val="P33"/>
        <w:spacing w:before="72"/>
        <w:ind w:left="1474" w:right="1134"/>
        <w:rPr>
          <w:rStyle w:val="default"/>
          <w:rFonts w:cs="FrankRuehl"/>
          <w:rtl/>
        </w:rPr>
      </w:pPr>
      <w:r w:rsidRPr="006458C0">
        <w:rPr>
          <w:rStyle w:val="default"/>
          <w:rFonts w:cs="FrankRuehl"/>
          <w:rtl/>
        </w:rPr>
        <w:t>(1)</w:t>
      </w:r>
      <w:r w:rsidRPr="006458C0">
        <w:rPr>
          <w:rStyle w:val="default"/>
          <w:rFonts w:cs="FrankRuehl"/>
          <w:rtl/>
        </w:rPr>
        <w:tab/>
        <w:t>דו"חות כאמור בפסקת משנה (א) לשנתיים שקדמו לשנת המס שבה מוגשת הבקשה;</w:t>
      </w:r>
    </w:p>
    <w:p w:rsidR="009E6571" w:rsidRPr="006458C0" w:rsidRDefault="009E6571">
      <w:pPr>
        <w:pStyle w:val="P33"/>
        <w:spacing w:before="72"/>
        <w:ind w:left="1474" w:right="1134"/>
        <w:rPr>
          <w:rStyle w:val="default"/>
          <w:rFonts w:cs="FrankRuehl"/>
          <w:rtl/>
        </w:rPr>
      </w:pPr>
      <w:r w:rsidRPr="006458C0">
        <w:rPr>
          <w:rStyle w:val="default"/>
          <w:rFonts w:cs="FrankRuehl"/>
          <w:rtl/>
        </w:rPr>
        <w:t>(2)</w:t>
      </w:r>
      <w:r w:rsidRPr="006458C0">
        <w:rPr>
          <w:rStyle w:val="default"/>
          <w:rFonts w:cs="FrankRuehl"/>
          <w:rtl/>
        </w:rPr>
        <w:tab/>
        <w:t>דו"חות כאמור בפסקת משנה (א) לשנת המס שבה חל מועד המיזוג, תוך ששים ימים מאותו מועד;</w:t>
      </w:r>
    </w:p>
    <w:p w:rsidR="009E6571" w:rsidRPr="006458C0" w:rsidRDefault="009E6571" w:rsidP="00921429">
      <w:pPr>
        <w:pStyle w:val="P33"/>
        <w:spacing w:before="72"/>
        <w:ind w:left="1474" w:right="1134"/>
        <w:rPr>
          <w:rStyle w:val="default"/>
          <w:rFonts w:cs="FrankRuehl"/>
          <w:rtl/>
        </w:rPr>
      </w:pPr>
      <w:r w:rsidRPr="006458C0">
        <w:rPr>
          <w:rStyle w:val="default"/>
          <w:rFonts w:cs="FrankRuehl"/>
          <w:rtl/>
        </w:rPr>
        <w:t>(3)</w:t>
      </w:r>
      <w:r w:rsidRPr="006458C0">
        <w:rPr>
          <w:rStyle w:val="default"/>
          <w:rFonts w:cs="FrankRuehl"/>
          <w:rtl/>
        </w:rPr>
        <w:tab/>
        <w:t xml:space="preserve">דו"חות כספיים לתקופה המתחילה בתחילת שנת המס שבה מוגשת הבקשה ומסתיימת בתום החודש שקדם לחודש שבו היא מוגשת, ולגבי חבר-בני-אדם החייב להגיש דו"חות כספיים ביניים בהתאם לפרק ד' לתקנות ניירות ערך </w:t>
      </w:r>
      <w:r w:rsidR="00921429">
        <w:rPr>
          <w:rStyle w:val="default"/>
          <w:rFonts w:cs="FrankRuehl" w:hint="cs"/>
          <w:rtl/>
        </w:rPr>
        <w:t>-</w:t>
      </w:r>
      <w:r w:rsidRPr="006458C0">
        <w:rPr>
          <w:rStyle w:val="default"/>
          <w:rFonts w:cs="FrankRuehl"/>
          <w:rtl/>
        </w:rPr>
        <w:t xml:space="preserve"> הדו"ח האחרון שהיה עליו להגיש לפני מועד הגשת הבקשה;</w:t>
      </w:r>
    </w:p>
    <w:p w:rsidR="009E6571" w:rsidRPr="006458C0" w:rsidRDefault="009E6571">
      <w:pPr>
        <w:pStyle w:val="P02"/>
        <w:spacing w:before="72"/>
        <w:ind w:left="1021" w:right="1134"/>
        <w:rPr>
          <w:rStyle w:val="default"/>
          <w:rFonts w:cs="FrankRuehl"/>
          <w:rtl/>
        </w:rPr>
      </w:pPr>
      <w:r w:rsidRPr="006458C0">
        <w:rPr>
          <w:rFonts w:cs="FrankRuehl"/>
          <w:sz w:val="26"/>
          <w:rtl/>
        </w:rPr>
        <w:tab/>
      </w:r>
      <w:r w:rsidRPr="006458C0">
        <w:rPr>
          <w:rStyle w:val="default"/>
          <w:rFonts w:cs="FrankRuehl"/>
          <w:rtl/>
        </w:rPr>
        <w:t>(4)</w:t>
      </w:r>
      <w:r w:rsidRPr="006458C0">
        <w:rPr>
          <w:rStyle w:val="default"/>
          <w:rFonts w:cs="FrankRuehl"/>
          <w:rtl/>
        </w:rPr>
        <w:tab/>
        <w:t>(א)</w:t>
      </w:r>
      <w:r w:rsidRPr="006458C0">
        <w:rPr>
          <w:rStyle w:val="default"/>
          <w:rFonts w:cs="FrankRuehl"/>
          <w:rtl/>
        </w:rPr>
        <w:tab/>
        <w:t>הערכות מומחה של שווי המבקשת והזכויות בה למועד המיזוג או למועד הגשת הבקשה, לפי המוקדם, לרבות פירוט העובדות, החישובים ודרכי הניתוח, המהווים בסיס לאותן הערכות שווי;</w:t>
      </w:r>
    </w:p>
    <w:p w:rsidR="009E6571" w:rsidRPr="006458C0" w:rsidRDefault="009E6571" w:rsidP="00921429">
      <w:pPr>
        <w:pStyle w:val="P22"/>
        <w:spacing w:before="72"/>
        <w:ind w:left="1021" w:right="1134"/>
        <w:rPr>
          <w:rStyle w:val="default"/>
          <w:rFonts w:cs="FrankRuehl"/>
          <w:rtl/>
        </w:rPr>
      </w:pPr>
      <w:r w:rsidRPr="006458C0">
        <w:rPr>
          <w:rStyle w:val="default"/>
          <w:rFonts w:cs="FrankRuehl"/>
          <w:rtl/>
        </w:rPr>
        <w:t>(ב)</w:t>
      </w:r>
      <w:r w:rsidRPr="006458C0">
        <w:rPr>
          <w:rStyle w:val="default"/>
          <w:rFonts w:cs="FrankRuehl"/>
          <w:rtl/>
        </w:rPr>
        <w:tab/>
        <w:t>הערכת שווי זכויות במקרקעין כמשמען בחוק מס שבח מקרקעין, תשכ"ג</w:t>
      </w:r>
      <w:r w:rsidR="00921429">
        <w:rPr>
          <w:rStyle w:val="default"/>
          <w:rFonts w:cs="FrankRuehl" w:hint="cs"/>
          <w:rtl/>
        </w:rPr>
        <w:t>-</w:t>
      </w:r>
      <w:r w:rsidRPr="006458C0">
        <w:rPr>
          <w:rStyle w:val="default"/>
          <w:rFonts w:cs="FrankRuehl"/>
          <w:rtl/>
        </w:rPr>
        <w:t>1963, למועד המיזוג או למועד הגשת הבקשה, לפי המוקדם;</w:t>
      </w:r>
    </w:p>
    <w:p w:rsidR="009E6571" w:rsidRPr="006458C0" w:rsidRDefault="009E6571">
      <w:pPr>
        <w:pStyle w:val="P22"/>
        <w:spacing w:before="72"/>
        <w:ind w:left="1021" w:right="1134"/>
        <w:rPr>
          <w:rStyle w:val="default"/>
          <w:rFonts w:cs="FrankRuehl"/>
          <w:rtl/>
        </w:rPr>
      </w:pPr>
      <w:r w:rsidRPr="006458C0">
        <w:rPr>
          <w:rStyle w:val="default"/>
          <w:rFonts w:cs="FrankRuehl"/>
          <w:rtl/>
        </w:rPr>
        <w:t>(ג)</w:t>
      </w:r>
      <w:r w:rsidRPr="006458C0">
        <w:rPr>
          <w:rStyle w:val="default"/>
          <w:rFonts w:cs="FrankRuehl"/>
          <w:rtl/>
        </w:rPr>
        <w:tab/>
        <w:t>הערכת שווי של נכסי המבקשת שאינם נכסים כאמור בפסקת משנה (ב), אם נערכו.</w:t>
      </w:r>
    </w:p>
    <w:p w:rsidR="009E6571" w:rsidRPr="006458C0" w:rsidRDefault="009E6571">
      <w:pPr>
        <w:pStyle w:val="P11"/>
        <w:spacing w:before="72"/>
        <w:ind w:left="624" w:right="1134"/>
        <w:rPr>
          <w:rStyle w:val="default"/>
          <w:rFonts w:cs="FrankRuehl"/>
          <w:rtl/>
        </w:rPr>
      </w:pPr>
      <w:r w:rsidRPr="006458C0">
        <w:rPr>
          <w:rStyle w:val="default"/>
          <w:rFonts w:cs="FrankRuehl"/>
          <w:rtl/>
        </w:rPr>
        <w:t>(5)</w:t>
      </w:r>
      <w:r w:rsidRPr="006458C0">
        <w:rPr>
          <w:rStyle w:val="default"/>
          <w:rFonts w:cs="FrankRuehl"/>
          <w:rtl/>
        </w:rPr>
        <w:tab/>
        <w:t xml:space="preserve">דו"ח על יעוד הנכסים המועברים מהחברה המעבירה לחברה הקולטת, במסגרת </w:t>
      </w:r>
      <w:r w:rsidRPr="006458C0">
        <w:rPr>
          <w:rStyle w:val="default"/>
          <w:rFonts w:cs="FrankRuehl"/>
          <w:rtl/>
        </w:rPr>
        <w:lastRenderedPageBreak/>
        <w:t>המיזוג;</w:t>
      </w:r>
    </w:p>
    <w:p w:rsidR="009E6571" w:rsidRPr="006458C0" w:rsidRDefault="009E6571">
      <w:pPr>
        <w:pStyle w:val="P11"/>
        <w:spacing w:before="72"/>
        <w:ind w:left="624" w:right="1134"/>
        <w:rPr>
          <w:rStyle w:val="default"/>
          <w:rFonts w:cs="FrankRuehl"/>
          <w:rtl/>
        </w:rPr>
      </w:pPr>
      <w:r w:rsidRPr="006458C0">
        <w:rPr>
          <w:rStyle w:val="default"/>
          <w:rFonts w:cs="FrankRuehl"/>
          <w:rtl/>
        </w:rPr>
        <w:t>(6)</w:t>
      </w:r>
      <w:r w:rsidRPr="006458C0">
        <w:rPr>
          <w:rStyle w:val="default"/>
          <w:rFonts w:cs="FrankRuehl"/>
          <w:rtl/>
        </w:rPr>
        <w:tab/>
        <w:t>רשימה המפרטת את בעלי הזכויות במבקשת, את סוגי הזכויות, את הערכת שווים של סוגי הזכויות השונים שנערכה לפי פסקה (4), את חלקו של כל בעל זכות בכל אחד מסוגי הזכויות, ואת בעלי הזכויות במבקשת, שהם קרובים כהגדרת המונח "קרוב" בסעיף 88 לפקודה ואת הקרבה שביניהם, והכל למועד המיזוג או למועד הגשת הבקשה, לפי המוקדם;</w:t>
      </w:r>
    </w:p>
    <w:p w:rsidR="009E6571" w:rsidRPr="006458C0" w:rsidRDefault="009E6571">
      <w:pPr>
        <w:pStyle w:val="P11"/>
        <w:spacing w:before="72"/>
        <w:ind w:left="624" w:right="1134"/>
        <w:rPr>
          <w:rStyle w:val="default"/>
          <w:rFonts w:cs="FrankRuehl"/>
          <w:rtl/>
        </w:rPr>
      </w:pPr>
      <w:r w:rsidRPr="006458C0">
        <w:rPr>
          <w:rStyle w:val="default"/>
          <w:rFonts w:cs="FrankRuehl"/>
          <w:rtl/>
        </w:rPr>
        <w:t>(7)</w:t>
      </w:r>
      <w:r w:rsidRPr="006458C0">
        <w:rPr>
          <w:rStyle w:val="default"/>
          <w:rFonts w:cs="FrankRuehl"/>
          <w:rtl/>
        </w:rPr>
        <w:tab/>
        <w:t>רשימה המפרטת את החברות אשר לפחות 10% מהזכויות בהן מוחזקות בידי המבקשת לבדה או ביחד עם בעל זכות בה או יחד עם נושא משרה בה, והכל למועד המיזוג או למועד הגשת הבקשה לפי המוקדם;</w:t>
      </w:r>
    </w:p>
    <w:p w:rsidR="009E6571" w:rsidRPr="006458C0" w:rsidRDefault="009E6571">
      <w:pPr>
        <w:pStyle w:val="P11"/>
        <w:spacing w:before="72"/>
        <w:ind w:left="624" w:right="1134"/>
        <w:rPr>
          <w:rStyle w:val="default"/>
          <w:rFonts w:cs="FrankRuehl"/>
          <w:rtl/>
        </w:rPr>
      </w:pPr>
      <w:r w:rsidRPr="006458C0">
        <w:rPr>
          <w:rStyle w:val="default"/>
          <w:rFonts w:cs="FrankRuehl"/>
          <w:rtl/>
        </w:rPr>
        <w:t>(8)</w:t>
      </w:r>
      <w:r w:rsidRPr="006458C0">
        <w:rPr>
          <w:rStyle w:val="default"/>
          <w:rFonts w:cs="FrankRuehl"/>
          <w:rtl/>
        </w:rPr>
        <w:tab/>
        <w:t>רשימה המפרטת העברות של נכסים, שנעשו בשנה המסתיימת במועד המיזוג, בין המבקשת לבין המבקשות האחרות ובין המבקשת לבין בעלי הזכויות בכל אחת מהמבקשות;</w:t>
      </w:r>
    </w:p>
    <w:p w:rsidR="009E6571" w:rsidRPr="006458C0" w:rsidRDefault="009E6571">
      <w:pPr>
        <w:pStyle w:val="P11"/>
        <w:spacing w:before="72"/>
        <w:ind w:left="624" w:right="1134"/>
        <w:rPr>
          <w:rStyle w:val="default"/>
          <w:rFonts w:cs="FrankRuehl"/>
          <w:rtl/>
        </w:rPr>
      </w:pPr>
      <w:r w:rsidRPr="006458C0">
        <w:rPr>
          <w:rStyle w:val="default"/>
          <w:rFonts w:cs="FrankRuehl"/>
          <w:rtl/>
        </w:rPr>
        <w:t>(9)</w:t>
      </w:r>
      <w:r w:rsidRPr="006458C0">
        <w:rPr>
          <w:rStyle w:val="default"/>
          <w:rFonts w:cs="FrankRuehl"/>
          <w:rtl/>
        </w:rPr>
        <w:tab/>
        <w:t>רשימה המפרטת שינויים בסוגי הזכויות במבקשת ובחלקו של כל בעל זכות בזכויות במבקשת, שנערכו בשנה המסתיימת במועד המיזוג;</w:t>
      </w:r>
    </w:p>
    <w:p w:rsidR="009E6571" w:rsidRPr="006458C0" w:rsidRDefault="009E6571">
      <w:pPr>
        <w:pStyle w:val="P11"/>
        <w:spacing w:before="72"/>
        <w:ind w:left="624" w:right="1134"/>
        <w:rPr>
          <w:rStyle w:val="default"/>
          <w:rFonts w:cs="FrankRuehl"/>
          <w:rtl/>
        </w:rPr>
      </w:pPr>
      <w:r w:rsidRPr="006458C0">
        <w:rPr>
          <w:rStyle w:val="default"/>
          <w:rFonts w:cs="FrankRuehl"/>
          <w:rtl/>
        </w:rPr>
        <w:t>(10)</w:t>
      </w:r>
      <w:r w:rsidRPr="006458C0">
        <w:rPr>
          <w:rStyle w:val="default"/>
          <w:rFonts w:cs="FrankRuehl"/>
          <w:rtl/>
        </w:rPr>
        <w:tab/>
        <w:t>רשימה המפרטת את השעבודים הרובצים על נכסי המבקשת ועל הזכויות בה, את סכומם, את סוגם ואת הנושים שזכותם מובטחת על ידי אותם שעבודים, תוך הפרדה בין נושים שהם בעלי זכויות או נושאי משרה במבקשת לבין נושים אחרים, והכל למועד המיזוג או למועד הגשת הבקשה, לפי המוקדם;</w:t>
      </w:r>
    </w:p>
    <w:p w:rsidR="009E6571" w:rsidRPr="006458C0" w:rsidRDefault="009E6571" w:rsidP="00921429">
      <w:pPr>
        <w:pStyle w:val="P11"/>
        <w:spacing w:before="72"/>
        <w:ind w:left="624" w:right="1134"/>
        <w:rPr>
          <w:rStyle w:val="default"/>
          <w:rFonts w:cs="FrankRuehl"/>
          <w:rtl/>
        </w:rPr>
      </w:pPr>
      <w:r w:rsidRPr="006458C0">
        <w:rPr>
          <w:rStyle w:val="default"/>
          <w:rFonts w:cs="FrankRuehl"/>
          <w:rtl/>
        </w:rPr>
        <w:t>(11)</w:t>
      </w:r>
      <w:r w:rsidRPr="006458C0">
        <w:rPr>
          <w:rStyle w:val="default"/>
          <w:rFonts w:cs="FrankRuehl"/>
          <w:rtl/>
        </w:rPr>
        <w:tab/>
        <w:t>רשימה המפרטת את המניות אשר יוקצו לבעלי הזכויות בחברות המעבירות את הערך הנקוב והכמות אשר יוקצה לכל אחד מהם;</w:t>
      </w:r>
    </w:p>
    <w:p w:rsidR="009E6571" w:rsidRPr="006458C0" w:rsidRDefault="009E6571">
      <w:pPr>
        <w:pStyle w:val="P11"/>
        <w:spacing w:before="72"/>
        <w:ind w:left="624" w:right="1134"/>
        <w:rPr>
          <w:rStyle w:val="default"/>
          <w:rFonts w:cs="FrankRuehl"/>
          <w:rtl/>
        </w:rPr>
      </w:pPr>
      <w:r w:rsidRPr="006458C0">
        <w:rPr>
          <w:rStyle w:val="default"/>
          <w:rFonts w:cs="FrankRuehl"/>
          <w:rtl/>
        </w:rPr>
        <w:t>(12)</w:t>
      </w:r>
      <w:r w:rsidRPr="006458C0">
        <w:rPr>
          <w:rStyle w:val="default"/>
          <w:rFonts w:cs="FrankRuehl"/>
          <w:rtl/>
        </w:rPr>
        <w:tab/>
        <w:t>אישור על תשלום האגרה לפי סעיף 103ט(ב) לפקודה;</w:t>
      </w:r>
    </w:p>
    <w:p w:rsidR="009E6571" w:rsidRPr="006458C0" w:rsidRDefault="009E6571" w:rsidP="00921429">
      <w:pPr>
        <w:pStyle w:val="P11"/>
        <w:spacing w:before="72"/>
        <w:ind w:left="624" w:right="1134"/>
        <w:rPr>
          <w:rStyle w:val="default"/>
          <w:rFonts w:cs="FrankRuehl"/>
          <w:rtl/>
        </w:rPr>
      </w:pPr>
      <w:r w:rsidRPr="006458C0">
        <w:rPr>
          <w:rStyle w:val="default"/>
          <w:rFonts w:cs="FrankRuehl"/>
          <w:rtl/>
        </w:rPr>
        <w:t>(13)</w:t>
      </w:r>
      <w:r w:rsidRPr="006458C0">
        <w:rPr>
          <w:rStyle w:val="default"/>
          <w:rFonts w:cs="FrankRuehl"/>
          <w:rtl/>
        </w:rPr>
        <w:tab/>
        <w:t>במיזוג שמועדו חל לאחר הגשת הבקשה, אם חלו שינויים בנתונים שנמסרו לפי פסקאות (4) עד (10), הערכות, דו"חות ורשימות לפי אותן פסקאות, מתוקנים למועד המיזוג, תוך ששים ימים מאותו מועד.</w:t>
      </w:r>
    </w:p>
    <w:p w:rsidR="009E6571" w:rsidRPr="006458C0" w:rsidRDefault="009E6571">
      <w:pPr>
        <w:pStyle w:val="P00"/>
        <w:spacing w:before="72"/>
        <w:ind w:left="0" w:right="1134"/>
        <w:rPr>
          <w:rStyle w:val="default"/>
          <w:rFonts w:cs="FrankRuehl"/>
          <w:rtl/>
        </w:rPr>
      </w:pPr>
      <w:bookmarkStart w:id="2" w:name="Seif2"/>
      <w:bookmarkEnd w:id="2"/>
      <w:r w:rsidRPr="00921429">
        <w:rPr>
          <w:rFonts w:cs="Miriam"/>
          <w:lang w:val="he-IL"/>
        </w:rPr>
        <w:pict>
          <v:rect id="_x0000_s1028" style="position:absolute;left:0;text-align:left;margin-left:464.5pt;margin-top:8.05pt;width:75.05pt;height:18pt;z-index:251658240" o:allowincell="f" filled="f" stroked="f" strokecolor="lime" strokeweight=".25pt">
            <v:textbox inset="0,0,0,0">
              <w:txbxContent>
                <w:p w:rsidR="009E6571" w:rsidRDefault="009E6571">
                  <w:pPr>
                    <w:spacing w:line="160" w:lineRule="exact"/>
                    <w:rPr>
                      <w:rFonts w:cs="Miriam"/>
                      <w:noProof/>
                      <w:sz w:val="18"/>
                      <w:szCs w:val="18"/>
                      <w:rtl/>
                    </w:rPr>
                  </w:pPr>
                  <w:r>
                    <w:rPr>
                      <w:rFonts w:cs="Miriam"/>
                      <w:sz w:val="18"/>
                      <w:szCs w:val="18"/>
                      <w:rtl/>
                    </w:rPr>
                    <w:t>הג</w:t>
                  </w:r>
                  <w:r>
                    <w:rPr>
                      <w:rFonts w:cs="Miriam" w:hint="cs"/>
                      <w:sz w:val="18"/>
                      <w:szCs w:val="18"/>
                      <w:rtl/>
                    </w:rPr>
                    <w:t>שת דו"חות</w:t>
                  </w:r>
                </w:p>
              </w:txbxContent>
            </v:textbox>
            <w10:anchorlock/>
          </v:rect>
        </w:pict>
      </w:r>
      <w:r w:rsidRPr="00921429">
        <w:rPr>
          <w:rStyle w:val="big-number"/>
          <w:rFonts w:cs="Miriam"/>
          <w:rtl/>
        </w:rPr>
        <w:t>3</w:t>
      </w:r>
      <w:r w:rsidRPr="00921429">
        <w:rPr>
          <w:rStyle w:val="default"/>
          <w:rFonts w:cs="FrankRuehl"/>
          <w:rtl/>
        </w:rPr>
        <w:t>.</w:t>
      </w:r>
      <w:r w:rsidRPr="00921429">
        <w:rPr>
          <w:rStyle w:val="default"/>
          <w:rFonts w:cs="FrankRuehl"/>
          <w:rtl/>
        </w:rPr>
        <w:tab/>
      </w:r>
      <w:r w:rsidRPr="006458C0">
        <w:rPr>
          <w:rStyle w:val="default"/>
          <w:rFonts w:cs="FrankRuehl"/>
          <w:rtl/>
        </w:rPr>
        <w:t>צירוף דו"חות, לפי סעיף 131 לפקודה לבקשה, כאמור בסעיף 2(3), לא יבוא במקום הגשתם לפקיד השומה.</w:t>
      </w:r>
    </w:p>
    <w:p w:rsidR="009E6571" w:rsidRPr="006458C0" w:rsidRDefault="009E6571">
      <w:pPr>
        <w:pStyle w:val="P00"/>
        <w:spacing w:before="72"/>
        <w:ind w:left="0" w:right="1134"/>
        <w:rPr>
          <w:rStyle w:val="default"/>
          <w:rFonts w:cs="FrankRuehl"/>
          <w:rtl/>
        </w:rPr>
      </w:pPr>
      <w:bookmarkStart w:id="3" w:name="Seif3"/>
      <w:bookmarkEnd w:id="3"/>
      <w:r w:rsidRPr="00921429">
        <w:rPr>
          <w:rFonts w:cs="Miriam"/>
          <w:lang w:val="he-IL"/>
        </w:rPr>
        <w:pict>
          <v:rect id="_x0000_s1029" style="position:absolute;left:0;text-align:left;margin-left:464.5pt;margin-top:8.05pt;width:75.05pt;height:21.4pt;z-index:251659264" o:allowincell="f" filled="f" stroked="f" strokecolor="lime" strokeweight=".25pt">
            <v:textbox inset="0,0,0,0">
              <w:txbxContent>
                <w:p w:rsidR="009E6571" w:rsidRDefault="009E6571" w:rsidP="00884EC5">
                  <w:pPr>
                    <w:spacing w:line="160" w:lineRule="exact"/>
                    <w:rPr>
                      <w:rFonts w:cs="Miriam"/>
                      <w:noProof/>
                      <w:sz w:val="18"/>
                      <w:szCs w:val="18"/>
                      <w:rtl/>
                    </w:rPr>
                  </w:pPr>
                  <w:r>
                    <w:rPr>
                      <w:rFonts w:cs="Miriam"/>
                      <w:sz w:val="18"/>
                      <w:szCs w:val="18"/>
                      <w:rtl/>
                    </w:rPr>
                    <w:t>צי</w:t>
                  </w:r>
                  <w:r>
                    <w:rPr>
                      <w:rFonts w:cs="Miriam" w:hint="cs"/>
                      <w:sz w:val="18"/>
                      <w:szCs w:val="18"/>
                      <w:rtl/>
                    </w:rPr>
                    <w:t>רוף מסמכים</w:t>
                  </w:r>
                  <w:r w:rsidR="00884EC5">
                    <w:rPr>
                      <w:rFonts w:cs="Miriam" w:hint="cs"/>
                      <w:sz w:val="18"/>
                      <w:szCs w:val="18"/>
                      <w:rtl/>
                    </w:rPr>
                    <w:t xml:space="preserve"> </w:t>
                  </w:r>
                  <w:r>
                    <w:rPr>
                      <w:rFonts w:cs="Miriam"/>
                      <w:sz w:val="18"/>
                      <w:szCs w:val="18"/>
                      <w:rtl/>
                    </w:rPr>
                    <w:t>נו</w:t>
                  </w:r>
                  <w:r>
                    <w:rPr>
                      <w:rFonts w:cs="Miriam" w:hint="cs"/>
                      <w:sz w:val="18"/>
                      <w:szCs w:val="18"/>
                      <w:rtl/>
                    </w:rPr>
                    <w:t>ספים</w:t>
                  </w:r>
                </w:p>
              </w:txbxContent>
            </v:textbox>
            <w10:anchorlock/>
          </v:rect>
        </w:pict>
      </w:r>
      <w:r w:rsidRPr="00921429">
        <w:rPr>
          <w:rStyle w:val="big-number"/>
          <w:rFonts w:cs="Miriam"/>
          <w:rtl/>
        </w:rPr>
        <w:t>4</w:t>
      </w:r>
      <w:r w:rsidRPr="00921429">
        <w:rPr>
          <w:rStyle w:val="default"/>
          <w:rFonts w:cs="FrankRuehl"/>
          <w:rtl/>
        </w:rPr>
        <w:t>.</w:t>
      </w:r>
      <w:r w:rsidRPr="00921429">
        <w:rPr>
          <w:rStyle w:val="default"/>
          <w:rFonts w:cs="FrankRuehl"/>
          <w:rtl/>
        </w:rPr>
        <w:tab/>
      </w:r>
      <w:r w:rsidRPr="006458C0">
        <w:rPr>
          <w:rStyle w:val="default"/>
          <w:rFonts w:cs="FrankRuehl"/>
          <w:rtl/>
        </w:rPr>
        <w:t>הבקשה תוגש בצירוף מסמכים כמפורט להלן:</w:t>
      </w:r>
    </w:p>
    <w:p w:rsidR="009E6571" w:rsidRPr="006458C0" w:rsidRDefault="009E6571" w:rsidP="00921429">
      <w:pPr>
        <w:pStyle w:val="P11"/>
        <w:spacing w:before="72"/>
        <w:ind w:left="624" w:right="1134"/>
        <w:rPr>
          <w:rStyle w:val="default"/>
          <w:rFonts w:cs="FrankRuehl"/>
          <w:rtl/>
        </w:rPr>
      </w:pPr>
      <w:r w:rsidRPr="006458C0">
        <w:rPr>
          <w:rStyle w:val="default"/>
          <w:rFonts w:cs="FrankRuehl"/>
          <w:rtl/>
        </w:rPr>
        <w:t>(1)</w:t>
      </w:r>
      <w:r w:rsidRPr="006458C0">
        <w:rPr>
          <w:rStyle w:val="default"/>
          <w:rFonts w:cs="FrankRuehl"/>
          <w:rtl/>
        </w:rPr>
        <w:tab/>
        <w:t>אישור של רואה חשבון, כי הנתונים בבקשה, שנלקחו מהדו"חות הכספיים המבוקרים של המבקשת, הם מלאים נכונים ומשקפים נאמנה את הרשום באותם דו"חות;</w:t>
      </w:r>
    </w:p>
    <w:p w:rsidR="009E6571" w:rsidRPr="006458C0" w:rsidRDefault="009E6571">
      <w:pPr>
        <w:pStyle w:val="P11"/>
        <w:spacing w:before="72"/>
        <w:ind w:left="624" w:right="1134"/>
        <w:rPr>
          <w:rStyle w:val="default"/>
          <w:rFonts w:cs="FrankRuehl"/>
          <w:rtl/>
        </w:rPr>
      </w:pPr>
      <w:r w:rsidRPr="006458C0">
        <w:rPr>
          <w:rStyle w:val="default"/>
          <w:rFonts w:cs="FrankRuehl"/>
          <w:rtl/>
        </w:rPr>
        <w:t>(2)</w:t>
      </w:r>
      <w:r w:rsidRPr="006458C0">
        <w:rPr>
          <w:rStyle w:val="default"/>
          <w:rFonts w:cs="FrankRuehl"/>
          <w:rtl/>
        </w:rPr>
        <w:tab/>
        <w:t>חוות דעת של עורך דין, המאשרת כי, למיטב ידיעתו, המיזוג עומד בתנאי סעיף 103ג לפקודה;</w:t>
      </w:r>
    </w:p>
    <w:p w:rsidR="009E6571" w:rsidRDefault="009E6571" w:rsidP="00921429">
      <w:pPr>
        <w:pStyle w:val="P11"/>
        <w:spacing w:before="72"/>
        <w:ind w:left="624" w:right="1134"/>
        <w:rPr>
          <w:rStyle w:val="default"/>
          <w:rFonts w:cs="FrankRuehl" w:hint="cs"/>
          <w:rtl/>
        </w:rPr>
      </w:pPr>
      <w:r w:rsidRPr="006458C0">
        <w:rPr>
          <w:rStyle w:val="default"/>
          <w:rFonts w:cs="FrankRuehl"/>
          <w:rtl/>
        </w:rPr>
        <w:t>(3)</w:t>
      </w:r>
      <w:r w:rsidRPr="006458C0">
        <w:rPr>
          <w:rStyle w:val="default"/>
          <w:rFonts w:cs="FrankRuehl"/>
          <w:rtl/>
        </w:rPr>
        <w:tab/>
        <w:t>הצהרת נושאי המשרה במבקשת החתומים על דו"חותיה הכספיים, כי הפרטים שמולאו בבקשה והמסמכים המצורפים לה הם מלאים ונכונים וכי למיטב ידיעתם המיזוג עומד בתנאי סעיף 103ג לפקודה.</w:t>
      </w:r>
    </w:p>
    <w:p w:rsidR="00921429" w:rsidRDefault="00921429" w:rsidP="00921429">
      <w:pPr>
        <w:pStyle w:val="P00"/>
        <w:spacing w:before="72"/>
        <w:ind w:left="0" w:right="1134"/>
        <w:rPr>
          <w:rStyle w:val="default"/>
          <w:rFonts w:cs="FrankRuehl" w:hint="cs"/>
          <w:rtl/>
        </w:rPr>
      </w:pPr>
    </w:p>
    <w:p w:rsidR="00921429" w:rsidRPr="00921429" w:rsidRDefault="00921429" w:rsidP="00921429">
      <w:pPr>
        <w:pStyle w:val="P00"/>
        <w:spacing w:before="72"/>
        <w:ind w:left="0" w:right="1134"/>
        <w:jc w:val="center"/>
        <w:rPr>
          <w:rStyle w:val="default"/>
          <w:rFonts w:cs="FrankRuehl" w:hint="cs"/>
          <w:b/>
          <w:bCs/>
          <w:rtl/>
        </w:rPr>
      </w:pPr>
      <w:r w:rsidRPr="00921429">
        <w:rPr>
          <w:rStyle w:val="default"/>
          <w:rFonts w:cs="FrankRuehl" w:hint="cs"/>
          <w:b/>
          <w:bCs/>
          <w:rtl/>
        </w:rPr>
        <w:t>תוספת</w:t>
      </w:r>
    </w:p>
    <w:p w:rsidR="00921429" w:rsidRPr="00921429" w:rsidRDefault="00921429" w:rsidP="00921429">
      <w:pPr>
        <w:pStyle w:val="P00"/>
        <w:spacing w:before="72"/>
        <w:ind w:left="0" w:right="1134"/>
        <w:jc w:val="center"/>
        <w:rPr>
          <w:rStyle w:val="default"/>
          <w:rFonts w:cs="FrankRuehl" w:hint="cs"/>
          <w:sz w:val="24"/>
          <w:szCs w:val="24"/>
          <w:rtl/>
        </w:rPr>
      </w:pPr>
      <w:r w:rsidRPr="00921429">
        <w:rPr>
          <w:rStyle w:val="default"/>
          <w:rFonts w:cs="FrankRuehl" w:hint="cs"/>
          <w:sz w:val="24"/>
          <w:szCs w:val="24"/>
          <w:rtl/>
        </w:rPr>
        <w:t>(סעיף 2)</w:t>
      </w:r>
    </w:p>
    <w:p w:rsidR="00921429" w:rsidRPr="00921429" w:rsidRDefault="00921429" w:rsidP="00921429">
      <w:pPr>
        <w:pStyle w:val="P00"/>
        <w:spacing w:before="72"/>
        <w:ind w:left="0" w:right="1134"/>
        <w:rPr>
          <w:rStyle w:val="default"/>
          <w:rFonts w:cs="FrankRuehl" w:hint="cs"/>
          <w:sz w:val="24"/>
          <w:szCs w:val="24"/>
          <w:rtl/>
        </w:rPr>
      </w:pPr>
      <w:r w:rsidRPr="00921429">
        <w:rPr>
          <w:rStyle w:val="default"/>
          <w:rFonts w:cs="FrankRuehl" w:hint="cs"/>
          <w:sz w:val="24"/>
          <w:szCs w:val="24"/>
          <w:rtl/>
        </w:rPr>
        <w:t>[</w:t>
      </w:r>
      <w:hyperlink r:id="rId7" w:history="1">
        <w:r w:rsidRPr="00F71574">
          <w:rPr>
            <w:rStyle w:val="Hyperlink"/>
            <w:rFonts w:cs="FrankRuehl" w:hint="cs"/>
            <w:sz w:val="24"/>
            <w:szCs w:val="24"/>
            <w:rtl/>
          </w:rPr>
          <w:t>בקשה לאישור מראש מאת הנציב לתכנית מיזוג</w:t>
        </w:r>
      </w:hyperlink>
      <w:r w:rsidRPr="00921429">
        <w:rPr>
          <w:rStyle w:val="default"/>
          <w:rFonts w:cs="FrankRuehl" w:hint="cs"/>
          <w:sz w:val="24"/>
          <w:szCs w:val="24"/>
          <w:rtl/>
        </w:rPr>
        <w:t>]</w:t>
      </w:r>
    </w:p>
    <w:p w:rsidR="00884EC5" w:rsidRDefault="00884EC5" w:rsidP="00921429">
      <w:pPr>
        <w:pStyle w:val="P00"/>
        <w:spacing w:before="72"/>
        <w:ind w:left="0" w:right="1134"/>
        <w:rPr>
          <w:rStyle w:val="default"/>
          <w:rFonts w:cs="FrankRuehl" w:hint="cs"/>
          <w:rtl/>
        </w:rPr>
      </w:pPr>
    </w:p>
    <w:p w:rsidR="00921429" w:rsidRPr="00921429" w:rsidRDefault="00921429" w:rsidP="00921429">
      <w:pPr>
        <w:pStyle w:val="P00"/>
        <w:spacing w:before="72"/>
        <w:ind w:left="0" w:right="1134"/>
        <w:rPr>
          <w:rStyle w:val="default"/>
          <w:rFonts w:cs="FrankRuehl" w:hint="cs"/>
          <w:rtl/>
        </w:rPr>
      </w:pPr>
    </w:p>
    <w:p w:rsidR="009E6571" w:rsidRPr="006458C0" w:rsidRDefault="00884EC5">
      <w:pPr>
        <w:pStyle w:val="sig-0"/>
        <w:ind w:left="0" w:right="1134"/>
        <w:rPr>
          <w:rFonts w:cs="FrankRuehl"/>
          <w:sz w:val="26"/>
          <w:rtl/>
        </w:rPr>
      </w:pPr>
      <w:r>
        <w:rPr>
          <w:rFonts w:cs="FrankRuehl" w:hint="cs"/>
          <w:sz w:val="26"/>
          <w:rtl/>
        </w:rPr>
        <w:t>א</w:t>
      </w:r>
      <w:r w:rsidR="009E6571" w:rsidRPr="006458C0">
        <w:rPr>
          <w:rFonts w:cs="FrankRuehl"/>
          <w:sz w:val="26"/>
          <w:rtl/>
        </w:rPr>
        <w:t xml:space="preserve">' </w:t>
      </w:r>
      <w:r w:rsidR="009E6571" w:rsidRPr="006458C0">
        <w:rPr>
          <w:rFonts w:cs="FrankRuehl" w:hint="cs"/>
          <w:sz w:val="26"/>
          <w:rtl/>
        </w:rPr>
        <w:t>באייר תשנ"ה (1 במאי 1995)</w:t>
      </w:r>
      <w:r w:rsidR="009E6571" w:rsidRPr="006458C0">
        <w:rPr>
          <w:rFonts w:cs="FrankRuehl"/>
          <w:sz w:val="26"/>
          <w:rtl/>
        </w:rPr>
        <w:tab/>
        <w:t>ד</w:t>
      </w:r>
      <w:r w:rsidR="009E6571" w:rsidRPr="006458C0">
        <w:rPr>
          <w:rFonts w:cs="FrankRuehl" w:hint="cs"/>
          <w:sz w:val="26"/>
          <w:rtl/>
        </w:rPr>
        <w:t>ורון לו</w:t>
      </w:r>
      <w:r w:rsidR="009E6571" w:rsidRPr="006458C0">
        <w:rPr>
          <w:rFonts w:cs="FrankRuehl"/>
          <w:sz w:val="26"/>
          <w:rtl/>
        </w:rPr>
        <w:t>י</w:t>
      </w:r>
    </w:p>
    <w:p w:rsidR="009E6571" w:rsidRDefault="009E6571">
      <w:pPr>
        <w:pStyle w:val="sig-1"/>
        <w:widowControl/>
        <w:ind w:left="0" w:right="1134"/>
        <w:rPr>
          <w:rFonts w:cs="FrankRuehl" w:hint="cs"/>
          <w:sz w:val="22"/>
          <w:rtl/>
        </w:rPr>
      </w:pPr>
      <w:r w:rsidRPr="006458C0">
        <w:rPr>
          <w:rFonts w:cs="FrankRuehl"/>
          <w:sz w:val="22"/>
          <w:rtl/>
        </w:rPr>
        <w:tab/>
      </w:r>
      <w:r w:rsidRPr="006458C0">
        <w:rPr>
          <w:rFonts w:cs="FrankRuehl"/>
          <w:sz w:val="22"/>
          <w:rtl/>
        </w:rPr>
        <w:tab/>
      </w:r>
      <w:r w:rsidRPr="006458C0">
        <w:rPr>
          <w:rFonts w:cs="FrankRuehl"/>
          <w:sz w:val="22"/>
          <w:rtl/>
        </w:rPr>
        <w:tab/>
        <w:t>נ</w:t>
      </w:r>
      <w:r w:rsidRPr="006458C0">
        <w:rPr>
          <w:rFonts w:cs="FrankRuehl" w:hint="cs"/>
          <w:sz w:val="22"/>
          <w:rtl/>
        </w:rPr>
        <w:t>ציב</w:t>
      </w:r>
      <w:r w:rsidRPr="006458C0">
        <w:rPr>
          <w:rFonts w:cs="FrankRuehl"/>
          <w:sz w:val="22"/>
          <w:rtl/>
        </w:rPr>
        <w:t xml:space="preserve"> </w:t>
      </w:r>
      <w:r w:rsidRPr="006458C0">
        <w:rPr>
          <w:rFonts w:cs="FrankRuehl" w:hint="cs"/>
          <w:sz w:val="22"/>
          <w:rtl/>
        </w:rPr>
        <w:t>מס הכנסה</w:t>
      </w:r>
    </w:p>
    <w:p w:rsidR="00884EC5" w:rsidRPr="00921429" w:rsidRDefault="00884EC5" w:rsidP="00921429">
      <w:pPr>
        <w:pStyle w:val="P00"/>
        <w:spacing w:before="72"/>
        <w:ind w:left="0" w:right="1134"/>
        <w:rPr>
          <w:rStyle w:val="default"/>
          <w:rFonts w:cs="FrankRuehl" w:hint="cs"/>
          <w:rtl/>
        </w:rPr>
      </w:pPr>
    </w:p>
    <w:p w:rsidR="00884EC5" w:rsidRPr="00921429" w:rsidRDefault="00884EC5" w:rsidP="00921429">
      <w:pPr>
        <w:pStyle w:val="P00"/>
        <w:spacing w:before="72"/>
        <w:ind w:left="0" w:right="1134"/>
        <w:rPr>
          <w:rStyle w:val="default"/>
          <w:rFonts w:cs="FrankRuehl"/>
          <w:rtl/>
        </w:rPr>
      </w:pPr>
    </w:p>
    <w:p w:rsidR="009E6571" w:rsidRPr="00921429" w:rsidRDefault="009E6571" w:rsidP="00921429">
      <w:pPr>
        <w:pStyle w:val="P00"/>
        <w:spacing w:before="72"/>
        <w:ind w:left="0" w:right="1134"/>
        <w:rPr>
          <w:rStyle w:val="default"/>
          <w:rFonts w:cs="FrankRuehl"/>
          <w:rtl/>
        </w:rPr>
      </w:pPr>
    </w:p>
    <w:sectPr w:rsidR="009E6571" w:rsidRPr="0092142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3EB3" w:rsidRDefault="000E3EB3">
      <w:r>
        <w:separator/>
      </w:r>
    </w:p>
  </w:endnote>
  <w:endnote w:type="continuationSeparator" w:id="0">
    <w:p w:rsidR="000E3EB3" w:rsidRDefault="000E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6571" w:rsidRDefault="009E657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E6571" w:rsidRDefault="009E657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E6571" w:rsidRDefault="009E657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84EC5">
      <w:rPr>
        <w:rFonts w:cs="TopType Jerushalmi"/>
        <w:noProof/>
        <w:color w:val="000000"/>
        <w:sz w:val="14"/>
        <w:szCs w:val="14"/>
      </w:rPr>
      <w:t>C:\Yael\hakika\Revadim\255_242.doc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6571" w:rsidRDefault="009E657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71574">
      <w:rPr>
        <w:rFonts w:hAnsi="FrankRuehl" w:cs="FrankRuehl"/>
        <w:noProof/>
        <w:sz w:val="24"/>
        <w:szCs w:val="24"/>
        <w:rtl/>
      </w:rPr>
      <w:t>3</w:t>
    </w:r>
    <w:r>
      <w:rPr>
        <w:rFonts w:hAnsi="FrankRuehl" w:cs="FrankRuehl"/>
        <w:sz w:val="24"/>
        <w:szCs w:val="24"/>
        <w:rtl/>
      </w:rPr>
      <w:fldChar w:fldCharType="end"/>
    </w:r>
  </w:p>
  <w:p w:rsidR="009E6571" w:rsidRDefault="009E657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E6571" w:rsidRDefault="009E657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84EC5">
      <w:rPr>
        <w:rFonts w:cs="TopType Jerushalmi"/>
        <w:noProof/>
        <w:color w:val="000000"/>
        <w:sz w:val="14"/>
        <w:szCs w:val="14"/>
      </w:rPr>
      <w:t>C:\Yael\hakika\Revadim\255_242.doc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3EB3" w:rsidRDefault="000E3EB3" w:rsidP="00884EC5">
      <w:pPr>
        <w:spacing w:before="60"/>
        <w:ind w:right="1134"/>
      </w:pPr>
      <w:r>
        <w:separator/>
      </w:r>
    </w:p>
  </w:footnote>
  <w:footnote w:type="continuationSeparator" w:id="0">
    <w:p w:rsidR="000E3EB3" w:rsidRDefault="000E3EB3">
      <w:r>
        <w:continuationSeparator/>
      </w:r>
    </w:p>
  </w:footnote>
  <w:footnote w:id="1">
    <w:p w:rsidR="00884EC5" w:rsidRPr="00884EC5" w:rsidRDefault="00884EC5" w:rsidP="00884E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884EC5">
        <w:rPr>
          <w:rFonts w:cs="FrankRuehl"/>
          <w:rtl/>
        </w:rPr>
        <w:t xml:space="preserve">* </w:t>
      </w:r>
      <w:r w:rsidRPr="006458C0">
        <w:rPr>
          <w:rFonts w:cs="FrankRuehl"/>
          <w:rtl/>
        </w:rPr>
        <w:t>פו</w:t>
      </w:r>
      <w:r w:rsidRPr="006458C0">
        <w:rPr>
          <w:rFonts w:cs="FrankRuehl" w:hint="cs"/>
          <w:rtl/>
        </w:rPr>
        <w:t xml:space="preserve">רסמו </w:t>
      </w:r>
      <w:hyperlink r:id="rId1" w:history="1">
        <w:r w:rsidRPr="00291107">
          <w:rPr>
            <w:rStyle w:val="Hyperlink"/>
            <w:rFonts w:cs="FrankRuehl" w:hint="cs"/>
            <w:rtl/>
          </w:rPr>
          <w:t>ק"ת תשנ"ה מס' 5682</w:t>
        </w:r>
      </w:hyperlink>
      <w:r w:rsidRPr="006458C0">
        <w:rPr>
          <w:rFonts w:cs="FrankRuehl" w:hint="cs"/>
          <w:rtl/>
        </w:rPr>
        <w:t xml:space="preserve"> מיום 23.5.1995 עמ' 1473.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6571" w:rsidRDefault="009E657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כללי מס הכנסה (בקשה לאישור מראש לתכנית מיזוג), תשנ"ה–1995</w:t>
    </w:r>
  </w:p>
  <w:p w:rsidR="009E6571" w:rsidRDefault="009E657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E6571" w:rsidRDefault="009E657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6571" w:rsidRDefault="009E6571" w:rsidP="00884EC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כללי מס הכנסה (בקשה לאישור מראש לתכנית מיזוג), תשנ"ה</w:t>
    </w:r>
    <w:r w:rsidR="00884EC5">
      <w:rPr>
        <w:rFonts w:hAnsi="FrankRuehl" w:cs="FrankRuehl" w:hint="cs"/>
        <w:color w:val="000000"/>
        <w:sz w:val="28"/>
        <w:szCs w:val="28"/>
        <w:rtl/>
      </w:rPr>
      <w:t>-</w:t>
    </w:r>
    <w:r>
      <w:rPr>
        <w:rFonts w:hAnsi="FrankRuehl" w:cs="FrankRuehl"/>
        <w:color w:val="000000"/>
        <w:sz w:val="28"/>
        <w:szCs w:val="28"/>
        <w:rtl/>
      </w:rPr>
      <w:t>1995</w:t>
    </w:r>
  </w:p>
  <w:p w:rsidR="009E6571" w:rsidRDefault="009E657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E6571" w:rsidRDefault="009E657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6057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58C0"/>
    <w:rsid w:val="000E3EB3"/>
    <w:rsid w:val="000E529D"/>
    <w:rsid w:val="00102418"/>
    <w:rsid w:val="00160EB9"/>
    <w:rsid w:val="00291107"/>
    <w:rsid w:val="0029374D"/>
    <w:rsid w:val="006458C0"/>
    <w:rsid w:val="006F1111"/>
    <w:rsid w:val="00884EC5"/>
    <w:rsid w:val="00921429"/>
    <w:rsid w:val="00941141"/>
    <w:rsid w:val="009A223D"/>
    <w:rsid w:val="009E6571"/>
    <w:rsid w:val="009F46AD"/>
    <w:rsid w:val="00CB6A02"/>
    <w:rsid w:val="00D87153"/>
    <w:rsid w:val="00EE3F74"/>
    <w:rsid w:val="00F7157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1093BBB-2C1B-47ED-A628-18CC7757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sid w:val="00884EC5"/>
    <w:rPr>
      <w:sz w:val="20"/>
      <w:szCs w:val="20"/>
    </w:rPr>
  </w:style>
  <w:style w:type="character" w:styleId="a6">
    <w:name w:val="footnote reference"/>
    <w:basedOn w:val="a0"/>
    <w:semiHidden/>
    <w:rsid w:val="00884E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TFASIM/&#1496;&#1508;&#1505;&#1497;&#1501;%20&#1502;&#1513;&#1508;&#1496;&#1497;&#1497;&#1501;/&#1502;&#1505;%20&#1492;&#1499;&#1504;&#1505;&#1492;/&#1502;&#1497;&#1505;&#1493;&#1497;%20&#1502;&#1497;&#1494;&#1493;&#1490;&#1497;&#1501;%20&#1493;&#1508;&#1497;&#1510;&#1493;&#1500;&#1497;&#1501;/&#1489;&#1511;&#1513;&#1492;%20&#1500;&#1488;&#1497;&#1513;&#1493;&#1512;%20&#1502;&#1512;&#1488;&#1513;%20&#1502;&#1488;&#1514;%20&#1492;&#1504;&#1510;&#1497;&#1489;%20&#1500;&#1514;&#1499;&#1504;&#1497;&#1514;%20&#1502;&#1497;&#1494;&#1493;&#149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6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721</Words>
  <Characters>4115</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פרק 255</vt:lpstr>
    </vt:vector>
  </TitlesOfParts>
  <Company/>
  <LinksUpToDate>false</LinksUpToDate>
  <CharactersWithSpaces>4827</CharactersWithSpaces>
  <SharedDoc>false</SharedDoc>
  <HLinks>
    <vt:vector size="36" baseType="variant">
      <vt:variant>
        <vt:i4>93586843</vt:i4>
      </vt:variant>
      <vt:variant>
        <vt:i4>24</vt:i4>
      </vt:variant>
      <vt:variant>
        <vt:i4>0</vt:i4>
      </vt:variant>
      <vt:variant>
        <vt:i4>5</vt:i4>
      </vt:variant>
      <vt:variant>
        <vt:lpwstr>http://www.nevo.co.il/TFASIM/טפסים משפטיים/מס הכנסה/מיסוי מיזוגים ופיצולים/בקשה לאישור מראש מאת הנציב לתכנית מיזוג.DOC</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7602188</vt:i4>
      </vt:variant>
      <vt:variant>
        <vt:i4>0</vt:i4>
      </vt:variant>
      <vt:variant>
        <vt:i4>0</vt:i4>
      </vt:variant>
      <vt:variant>
        <vt:i4>5</vt:i4>
      </vt:variant>
      <vt:variant>
        <vt:lpwstr>http://www.nevo.co.il/Law_word/law06/TAK-5682.pdf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כללי מס הכנסה (בקשה לאישור מראש לתכנית מיזוג), תשנ"ה-1995</vt:lpwstr>
  </property>
  <property fmtid="{D5CDD505-2E9C-101B-9397-08002B2CF9AE}" pid="5" name="LAWNUMBER">
    <vt:lpwstr>0242</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103טXגX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חברות</vt:lpwstr>
  </property>
  <property fmtid="{D5CDD505-2E9C-101B-9397-08002B2CF9AE}" pid="12" name="NOSE41">
    <vt:lpwstr>מיזוג</vt:lpwstr>
  </property>
  <property fmtid="{D5CDD505-2E9C-101B-9397-08002B2CF9AE}" pid="13" name="NOSE12">
    <vt:lpwstr>משפט פרטי וכלכלה</vt:lpwstr>
  </property>
  <property fmtid="{D5CDD505-2E9C-101B-9397-08002B2CF9AE}" pid="14" name="NOSE22">
    <vt:lpwstr>תאגידים וניירות ערך</vt:lpwstr>
  </property>
  <property fmtid="{D5CDD505-2E9C-101B-9397-08002B2CF9AE}" pid="15" name="NOSE32">
    <vt:lpwstr>חברות</vt:lpwstr>
  </property>
  <property fmtid="{D5CDD505-2E9C-101B-9397-08002B2CF9AE}" pid="16" name="NOSE42">
    <vt:lpwstr>מיזוג</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