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05EB" w14:textId="77777777" w:rsidR="00810315" w:rsidRDefault="00810315" w:rsidP="00B17045">
      <w:pPr>
        <w:pStyle w:val="big-header"/>
        <w:ind w:left="0" w:right="1134"/>
        <w:rPr>
          <w:rFonts w:cs="FrankRuehl"/>
          <w:sz w:val="32"/>
        </w:rPr>
      </w:pPr>
      <w:r w:rsidRPr="00607C05">
        <w:rPr>
          <w:rFonts w:cs="FrankRuehl"/>
          <w:sz w:val="32"/>
          <w:rtl/>
        </w:rPr>
        <w:t>כללי מס הכנסה (בקשה לאישור מראש לתכנית פיצול), תשנ"ו</w:t>
      </w:r>
      <w:r w:rsidR="00B17045">
        <w:rPr>
          <w:rFonts w:cs="FrankRuehl" w:hint="cs"/>
          <w:sz w:val="32"/>
          <w:rtl/>
        </w:rPr>
        <w:t>-</w:t>
      </w:r>
      <w:r w:rsidRPr="00607C05">
        <w:rPr>
          <w:rFonts w:cs="FrankRuehl"/>
          <w:sz w:val="32"/>
          <w:rtl/>
        </w:rPr>
        <w:t>1996</w:t>
      </w:r>
    </w:p>
    <w:p w14:paraId="6FCAF5FD" w14:textId="77777777" w:rsidR="00C0663B" w:rsidRPr="00C0663B" w:rsidRDefault="00C0663B" w:rsidP="00C0663B">
      <w:pPr>
        <w:spacing w:line="320" w:lineRule="auto"/>
        <w:rPr>
          <w:rFonts w:cs="FrankRuehl"/>
          <w:szCs w:val="26"/>
          <w:rtl/>
        </w:rPr>
      </w:pPr>
    </w:p>
    <w:p w14:paraId="584BE125" w14:textId="77777777" w:rsidR="00C0663B" w:rsidRDefault="00C0663B" w:rsidP="00C0663B">
      <w:pPr>
        <w:spacing w:line="320" w:lineRule="auto"/>
        <w:rPr>
          <w:rtl/>
        </w:rPr>
      </w:pPr>
    </w:p>
    <w:p w14:paraId="72093A8E" w14:textId="77777777" w:rsidR="00C0663B" w:rsidRDefault="00C0663B" w:rsidP="00C0663B">
      <w:pPr>
        <w:spacing w:line="320" w:lineRule="auto"/>
        <w:rPr>
          <w:rFonts w:cs="FrankRuehl"/>
          <w:szCs w:val="26"/>
          <w:rtl/>
        </w:rPr>
      </w:pPr>
      <w:r w:rsidRPr="00C0663B">
        <w:rPr>
          <w:rFonts w:cs="Miriam"/>
          <w:szCs w:val="22"/>
          <w:rtl/>
        </w:rPr>
        <w:t>מסים</w:t>
      </w:r>
      <w:r w:rsidRPr="00C0663B">
        <w:rPr>
          <w:rFonts w:cs="FrankRuehl"/>
          <w:szCs w:val="26"/>
          <w:rtl/>
        </w:rPr>
        <w:t xml:space="preserve"> – מס הכנסה – חברות – פיצול</w:t>
      </w:r>
    </w:p>
    <w:p w14:paraId="67184BED" w14:textId="77777777" w:rsidR="00C0663B" w:rsidRPr="00C0663B" w:rsidRDefault="00C0663B" w:rsidP="00C0663B">
      <w:pPr>
        <w:spacing w:line="320" w:lineRule="auto"/>
        <w:rPr>
          <w:rFonts w:cs="Miriam"/>
          <w:szCs w:val="22"/>
          <w:rtl/>
        </w:rPr>
      </w:pPr>
      <w:r w:rsidRPr="00C0663B">
        <w:rPr>
          <w:rFonts w:cs="Miriam"/>
          <w:szCs w:val="22"/>
          <w:rtl/>
        </w:rPr>
        <w:t>משפט פרטי וכלכלה</w:t>
      </w:r>
      <w:r w:rsidRPr="00C0663B">
        <w:rPr>
          <w:rFonts w:cs="FrankRuehl"/>
          <w:szCs w:val="26"/>
          <w:rtl/>
        </w:rPr>
        <w:t xml:space="preserve"> – תאגידים וניירות ערך – חברות – פיצול</w:t>
      </w:r>
    </w:p>
    <w:p w14:paraId="2A25A422" w14:textId="77777777" w:rsidR="00810315" w:rsidRPr="00607C05" w:rsidRDefault="00810315">
      <w:pPr>
        <w:pStyle w:val="big-header"/>
        <w:ind w:left="0" w:right="1134"/>
        <w:rPr>
          <w:rFonts w:cs="FrankRuehl"/>
          <w:sz w:val="32"/>
          <w:rtl/>
        </w:rPr>
      </w:pPr>
      <w:r w:rsidRPr="00607C05">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1C8F" w:rsidRPr="00CB1C8F" w14:paraId="449F626C" w14:textId="77777777">
        <w:tblPrEx>
          <w:tblCellMar>
            <w:top w:w="0" w:type="dxa"/>
            <w:bottom w:w="0" w:type="dxa"/>
          </w:tblCellMar>
        </w:tblPrEx>
        <w:tc>
          <w:tcPr>
            <w:tcW w:w="1247" w:type="dxa"/>
          </w:tcPr>
          <w:p w14:paraId="01166873" w14:textId="77777777" w:rsidR="00CB1C8F" w:rsidRPr="00CB1C8F" w:rsidRDefault="00CB1C8F" w:rsidP="00CB1C8F">
            <w:pPr>
              <w:rPr>
                <w:rFonts w:cs="Frankruhel"/>
                <w:rtl/>
              </w:rPr>
            </w:pPr>
            <w:r>
              <w:rPr>
                <w:rtl/>
              </w:rPr>
              <w:t xml:space="preserve">סעיף 1 </w:t>
            </w:r>
          </w:p>
        </w:tc>
        <w:tc>
          <w:tcPr>
            <w:tcW w:w="5669" w:type="dxa"/>
          </w:tcPr>
          <w:p w14:paraId="53B1AAD0" w14:textId="77777777" w:rsidR="00CB1C8F" w:rsidRPr="00CB1C8F" w:rsidRDefault="00CB1C8F" w:rsidP="00CB1C8F">
            <w:pPr>
              <w:rPr>
                <w:rFonts w:cs="Frankruhel"/>
                <w:rtl/>
              </w:rPr>
            </w:pPr>
            <w:r>
              <w:rPr>
                <w:rtl/>
              </w:rPr>
              <w:t>הגדרות</w:t>
            </w:r>
          </w:p>
        </w:tc>
        <w:tc>
          <w:tcPr>
            <w:tcW w:w="567" w:type="dxa"/>
          </w:tcPr>
          <w:p w14:paraId="61F2DFC1" w14:textId="77777777" w:rsidR="00CB1C8F" w:rsidRPr="00CB1C8F" w:rsidRDefault="00CB1C8F" w:rsidP="00CB1C8F">
            <w:pPr>
              <w:rPr>
                <w:rStyle w:val="Hyperlink"/>
                <w:rtl/>
              </w:rPr>
            </w:pPr>
            <w:hyperlink w:anchor="Seif1" w:tooltip="הגדרות" w:history="1">
              <w:r w:rsidRPr="00CB1C8F">
                <w:rPr>
                  <w:rStyle w:val="Hyperlink"/>
                </w:rPr>
                <w:t>Go</w:t>
              </w:r>
            </w:hyperlink>
          </w:p>
        </w:tc>
        <w:tc>
          <w:tcPr>
            <w:tcW w:w="850" w:type="dxa"/>
          </w:tcPr>
          <w:p w14:paraId="3D7ECD86" w14:textId="77777777" w:rsidR="00CB1C8F" w:rsidRPr="00CB1C8F" w:rsidRDefault="00CB1C8F" w:rsidP="00CB1C8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B1C8F" w:rsidRPr="00CB1C8F" w14:paraId="5B30B17F" w14:textId="77777777">
        <w:tblPrEx>
          <w:tblCellMar>
            <w:top w:w="0" w:type="dxa"/>
            <w:bottom w:w="0" w:type="dxa"/>
          </w:tblCellMar>
        </w:tblPrEx>
        <w:tc>
          <w:tcPr>
            <w:tcW w:w="1247" w:type="dxa"/>
          </w:tcPr>
          <w:p w14:paraId="318FB3C9" w14:textId="77777777" w:rsidR="00CB1C8F" w:rsidRPr="00CB1C8F" w:rsidRDefault="00CB1C8F" w:rsidP="00CB1C8F">
            <w:pPr>
              <w:rPr>
                <w:rFonts w:cs="Frankruhel"/>
                <w:rtl/>
              </w:rPr>
            </w:pPr>
            <w:r>
              <w:rPr>
                <w:rtl/>
              </w:rPr>
              <w:t xml:space="preserve">סעיף 2 </w:t>
            </w:r>
          </w:p>
        </w:tc>
        <w:tc>
          <w:tcPr>
            <w:tcW w:w="5669" w:type="dxa"/>
          </w:tcPr>
          <w:p w14:paraId="70F0E4BB" w14:textId="77777777" w:rsidR="00CB1C8F" w:rsidRPr="00CB1C8F" w:rsidRDefault="00CB1C8F" w:rsidP="00CB1C8F">
            <w:pPr>
              <w:rPr>
                <w:rFonts w:cs="Frankruhel"/>
                <w:rtl/>
              </w:rPr>
            </w:pPr>
            <w:r>
              <w:rPr>
                <w:rtl/>
              </w:rPr>
              <w:t>הבקשה והמסמכים</w:t>
            </w:r>
          </w:p>
        </w:tc>
        <w:tc>
          <w:tcPr>
            <w:tcW w:w="567" w:type="dxa"/>
          </w:tcPr>
          <w:p w14:paraId="6483DB68" w14:textId="77777777" w:rsidR="00CB1C8F" w:rsidRPr="00CB1C8F" w:rsidRDefault="00CB1C8F" w:rsidP="00CB1C8F">
            <w:pPr>
              <w:rPr>
                <w:rStyle w:val="Hyperlink"/>
                <w:rtl/>
              </w:rPr>
            </w:pPr>
            <w:hyperlink w:anchor="Seif2" w:tooltip="הבקשה והמסמכים" w:history="1">
              <w:r w:rsidRPr="00CB1C8F">
                <w:rPr>
                  <w:rStyle w:val="Hyperlink"/>
                </w:rPr>
                <w:t>Go</w:t>
              </w:r>
            </w:hyperlink>
          </w:p>
        </w:tc>
        <w:tc>
          <w:tcPr>
            <w:tcW w:w="850" w:type="dxa"/>
          </w:tcPr>
          <w:p w14:paraId="31852030" w14:textId="77777777" w:rsidR="00CB1C8F" w:rsidRPr="00CB1C8F" w:rsidRDefault="00CB1C8F" w:rsidP="00CB1C8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B1C8F" w:rsidRPr="00CB1C8F" w14:paraId="719C5AF8" w14:textId="77777777">
        <w:tblPrEx>
          <w:tblCellMar>
            <w:top w:w="0" w:type="dxa"/>
            <w:bottom w:w="0" w:type="dxa"/>
          </w:tblCellMar>
        </w:tblPrEx>
        <w:tc>
          <w:tcPr>
            <w:tcW w:w="1247" w:type="dxa"/>
          </w:tcPr>
          <w:p w14:paraId="761629BA" w14:textId="77777777" w:rsidR="00CB1C8F" w:rsidRPr="00CB1C8F" w:rsidRDefault="00CB1C8F" w:rsidP="00CB1C8F">
            <w:pPr>
              <w:rPr>
                <w:rFonts w:cs="Frankruhel"/>
                <w:rtl/>
              </w:rPr>
            </w:pPr>
            <w:r>
              <w:rPr>
                <w:rtl/>
              </w:rPr>
              <w:t xml:space="preserve">סעיף 3 </w:t>
            </w:r>
          </w:p>
        </w:tc>
        <w:tc>
          <w:tcPr>
            <w:tcW w:w="5669" w:type="dxa"/>
          </w:tcPr>
          <w:p w14:paraId="4B4BC78B" w14:textId="77777777" w:rsidR="00CB1C8F" w:rsidRPr="00CB1C8F" w:rsidRDefault="00CB1C8F" w:rsidP="00CB1C8F">
            <w:pPr>
              <w:rPr>
                <w:rFonts w:cs="Frankruhel"/>
                <w:rtl/>
              </w:rPr>
            </w:pPr>
            <w:r>
              <w:rPr>
                <w:rtl/>
              </w:rPr>
              <w:t>חובת הגשת דו"חות</w:t>
            </w:r>
          </w:p>
        </w:tc>
        <w:tc>
          <w:tcPr>
            <w:tcW w:w="567" w:type="dxa"/>
          </w:tcPr>
          <w:p w14:paraId="35330CD1" w14:textId="77777777" w:rsidR="00CB1C8F" w:rsidRPr="00CB1C8F" w:rsidRDefault="00CB1C8F" w:rsidP="00CB1C8F">
            <w:pPr>
              <w:rPr>
                <w:rStyle w:val="Hyperlink"/>
                <w:rtl/>
              </w:rPr>
            </w:pPr>
            <w:hyperlink w:anchor="Seif3" w:tooltip="חובת הגשת דוחות" w:history="1">
              <w:r w:rsidRPr="00CB1C8F">
                <w:rPr>
                  <w:rStyle w:val="Hyperlink"/>
                </w:rPr>
                <w:t>Go</w:t>
              </w:r>
            </w:hyperlink>
          </w:p>
        </w:tc>
        <w:tc>
          <w:tcPr>
            <w:tcW w:w="850" w:type="dxa"/>
          </w:tcPr>
          <w:p w14:paraId="027F884B" w14:textId="77777777" w:rsidR="00CB1C8F" w:rsidRPr="00CB1C8F" w:rsidRDefault="00CB1C8F" w:rsidP="00CB1C8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B1C8F" w:rsidRPr="00CB1C8F" w14:paraId="16CC49EC" w14:textId="77777777">
        <w:tblPrEx>
          <w:tblCellMar>
            <w:top w:w="0" w:type="dxa"/>
            <w:bottom w:w="0" w:type="dxa"/>
          </w:tblCellMar>
        </w:tblPrEx>
        <w:tc>
          <w:tcPr>
            <w:tcW w:w="1247" w:type="dxa"/>
          </w:tcPr>
          <w:p w14:paraId="165ABF01" w14:textId="77777777" w:rsidR="00CB1C8F" w:rsidRPr="00CB1C8F" w:rsidRDefault="00CB1C8F" w:rsidP="00CB1C8F">
            <w:pPr>
              <w:rPr>
                <w:rFonts w:cs="Frankruhel"/>
                <w:rtl/>
              </w:rPr>
            </w:pPr>
            <w:r>
              <w:rPr>
                <w:rtl/>
              </w:rPr>
              <w:t xml:space="preserve">סעיף 4 </w:t>
            </w:r>
          </w:p>
        </w:tc>
        <w:tc>
          <w:tcPr>
            <w:tcW w:w="5669" w:type="dxa"/>
          </w:tcPr>
          <w:p w14:paraId="325E4AED" w14:textId="77777777" w:rsidR="00CB1C8F" w:rsidRPr="00CB1C8F" w:rsidRDefault="00CB1C8F" w:rsidP="00CB1C8F">
            <w:pPr>
              <w:rPr>
                <w:rFonts w:cs="Frankruhel"/>
                <w:rtl/>
              </w:rPr>
            </w:pPr>
            <w:r>
              <w:rPr>
                <w:rtl/>
              </w:rPr>
              <w:t>הוראות מעבר</w:t>
            </w:r>
          </w:p>
        </w:tc>
        <w:tc>
          <w:tcPr>
            <w:tcW w:w="567" w:type="dxa"/>
          </w:tcPr>
          <w:p w14:paraId="666D3D76" w14:textId="77777777" w:rsidR="00CB1C8F" w:rsidRPr="00CB1C8F" w:rsidRDefault="00CB1C8F" w:rsidP="00CB1C8F">
            <w:pPr>
              <w:rPr>
                <w:rStyle w:val="Hyperlink"/>
                <w:rtl/>
              </w:rPr>
            </w:pPr>
            <w:hyperlink w:anchor="Seif4" w:tooltip="הוראות מעבר" w:history="1">
              <w:r w:rsidRPr="00CB1C8F">
                <w:rPr>
                  <w:rStyle w:val="Hyperlink"/>
                </w:rPr>
                <w:t>Go</w:t>
              </w:r>
            </w:hyperlink>
          </w:p>
        </w:tc>
        <w:tc>
          <w:tcPr>
            <w:tcW w:w="850" w:type="dxa"/>
          </w:tcPr>
          <w:p w14:paraId="07DBD021" w14:textId="77777777" w:rsidR="00CB1C8F" w:rsidRPr="00CB1C8F" w:rsidRDefault="00CB1C8F" w:rsidP="00CB1C8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B1C8F" w:rsidRPr="00CB1C8F" w14:paraId="329C31A2" w14:textId="77777777">
        <w:tblPrEx>
          <w:tblCellMar>
            <w:top w:w="0" w:type="dxa"/>
            <w:bottom w:w="0" w:type="dxa"/>
          </w:tblCellMar>
        </w:tblPrEx>
        <w:tc>
          <w:tcPr>
            <w:tcW w:w="1247" w:type="dxa"/>
          </w:tcPr>
          <w:p w14:paraId="363CA499" w14:textId="77777777" w:rsidR="00CB1C8F" w:rsidRPr="00CB1C8F" w:rsidRDefault="00CB1C8F" w:rsidP="00CB1C8F">
            <w:pPr>
              <w:rPr>
                <w:rFonts w:cs="Frankruhel"/>
                <w:rtl/>
              </w:rPr>
            </w:pPr>
          </w:p>
        </w:tc>
        <w:tc>
          <w:tcPr>
            <w:tcW w:w="5669" w:type="dxa"/>
          </w:tcPr>
          <w:p w14:paraId="4F834E75" w14:textId="77777777" w:rsidR="00CB1C8F" w:rsidRPr="00CB1C8F" w:rsidRDefault="00CB1C8F" w:rsidP="00CB1C8F">
            <w:pPr>
              <w:rPr>
                <w:rFonts w:cs="Frankruhel"/>
                <w:rtl/>
              </w:rPr>
            </w:pPr>
            <w:r>
              <w:rPr>
                <w:rtl/>
              </w:rPr>
              <w:t>תוספת</w:t>
            </w:r>
          </w:p>
        </w:tc>
        <w:tc>
          <w:tcPr>
            <w:tcW w:w="567" w:type="dxa"/>
          </w:tcPr>
          <w:p w14:paraId="7B65C647" w14:textId="77777777" w:rsidR="00CB1C8F" w:rsidRPr="00CB1C8F" w:rsidRDefault="00CB1C8F" w:rsidP="00CB1C8F">
            <w:pPr>
              <w:rPr>
                <w:rStyle w:val="Hyperlink"/>
                <w:rtl/>
              </w:rPr>
            </w:pPr>
            <w:hyperlink w:anchor="med0" w:tooltip="תוספת" w:history="1">
              <w:r w:rsidRPr="00CB1C8F">
                <w:rPr>
                  <w:rStyle w:val="Hyperlink"/>
                </w:rPr>
                <w:t>Go</w:t>
              </w:r>
            </w:hyperlink>
          </w:p>
        </w:tc>
        <w:tc>
          <w:tcPr>
            <w:tcW w:w="850" w:type="dxa"/>
          </w:tcPr>
          <w:p w14:paraId="0A748197" w14:textId="77777777" w:rsidR="00CB1C8F" w:rsidRPr="00CB1C8F" w:rsidRDefault="00CB1C8F" w:rsidP="00CB1C8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D28DB09" w14:textId="77777777" w:rsidR="00810315" w:rsidRPr="00607C05" w:rsidRDefault="00810315">
      <w:pPr>
        <w:pStyle w:val="big-header"/>
        <w:ind w:left="0" w:right="1134"/>
        <w:rPr>
          <w:rFonts w:cs="FrankRuehl"/>
          <w:sz w:val="32"/>
          <w:rtl/>
        </w:rPr>
      </w:pPr>
    </w:p>
    <w:p w14:paraId="1367B12E" w14:textId="77777777" w:rsidR="00810315" w:rsidRPr="00607C05" w:rsidRDefault="00810315" w:rsidP="00C0663B">
      <w:pPr>
        <w:pStyle w:val="big-header"/>
        <w:ind w:left="0" w:right="1134"/>
        <w:rPr>
          <w:rStyle w:val="default"/>
          <w:rFonts w:cs="FrankRuehl" w:hint="cs"/>
          <w:rtl/>
        </w:rPr>
      </w:pPr>
      <w:r w:rsidRPr="00607C05">
        <w:rPr>
          <w:rtl/>
        </w:rPr>
        <w:br w:type="page"/>
      </w:r>
      <w:r w:rsidRPr="00607C05">
        <w:rPr>
          <w:rFonts w:cs="FrankRuehl"/>
          <w:sz w:val="32"/>
          <w:rtl/>
        </w:rPr>
        <w:lastRenderedPageBreak/>
        <w:t>כל</w:t>
      </w:r>
      <w:r w:rsidRPr="00607C05">
        <w:rPr>
          <w:rFonts w:cs="FrankRuehl" w:hint="cs"/>
          <w:sz w:val="32"/>
          <w:rtl/>
        </w:rPr>
        <w:t>לי מס הכנסה (בקשה לאישור מראש לתכנית פיצול), תשנ"ו</w:t>
      </w:r>
      <w:r w:rsidR="00B17045">
        <w:rPr>
          <w:rFonts w:cs="FrankRuehl" w:hint="cs"/>
          <w:sz w:val="32"/>
          <w:rtl/>
        </w:rPr>
        <w:t>-</w:t>
      </w:r>
      <w:r w:rsidRPr="00607C05">
        <w:rPr>
          <w:rFonts w:cs="FrankRuehl"/>
          <w:sz w:val="32"/>
          <w:rtl/>
        </w:rPr>
        <w:t>1996</w:t>
      </w:r>
      <w:r w:rsidR="00B17045">
        <w:rPr>
          <w:rStyle w:val="a6"/>
          <w:rFonts w:cs="FrankRuehl"/>
          <w:sz w:val="32"/>
          <w:rtl/>
        </w:rPr>
        <w:footnoteReference w:customMarkFollows="1" w:id="1"/>
        <w:t>*</w:t>
      </w:r>
    </w:p>
    <w:p w14:paraId="0C04DB13"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בתוקף סמכותי לפי סעיף 103ט(ג) ו-105ח לפקודת מס הכנסה (להלן </w:t>
      </w:r>
      <w:r w:rsidR="00B17045">
        <w:rPr>
          <w:rStyle w:val="default"/>
          <w:rFonts w:cs="FrankRuehl" w:hint="cs"/>
          <w:rtl/>
        </w:rPr>
        <w:t>-</w:t>
      </w:r>
      <w:r w:rsidRPr="00607C05">
        <w:rPr>
          <w:rStyle w:val="default"/>
          <w:rFonts w:cs="FrankRuehl"/>
          <w:rtl/>
        </w:rPr>
        <w:t xml:space="preserve"> הפקודה), אני קובע כללים אלה:</w:t>
      </w:r>
    </w:p>
    <w:p w14:paraId="31552592" w14:textId="77777777" w:rsidR="00810315" w:rsidRDefault="00810315">
      <w:pPr>
        <w:pStyle w:val="P00"/>
        <w:spacing w:before="72"/>
        <w:ind w:left="0" w:right="1134"/>
        <w:rPr>
          <w:rStyle w:val="default"/>
          <w:rFonts w:cs="FrankRuehl" w:hint="cs"/>
          <w:rtl/>
        </w:rPr>
      </w:pPr>
      <w:bookmarkStart w:id="0" w:name="Seif1"/>
      <w:bookmarkEnd w:id="0"/>
      <w:r w:rsidRPr="00B17045">
        <w:rPr>
          <w:rFonts w:cs="Miriam"/>
          <w:lang w:val="he-IL"/>
        </w:rPr>
        <w:pict w14:anchorId="799652FD">
          <v:rect id="_x0000_s1026" style="position:absolute;left:0;text-align:left;margin-left:464.5pt;margin-top:8.05pt;width:75.05pt;height:14.05pt;z-index:251656192" o:allowincell="f" filled="f" stroked="f" strokecolor="lime" strokeweight=".25pt">
            <v:textbox inset="0,0,0,0">
              <w:txbxContent>
                <w:p w14:paraId="62CEF364" w14:textId="77777777" w:rsidR="00810315" w:rsidRDefault="00810315">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B17045">
        <w:rPr>
          <w:rStyle w:val="big-number"/>
          <w:rFonts w:cs="Miriam"/>
          <w:rtl/>
        </w:rPr>
        <w:t>1</w:t>
      </w:r>
      <w:r w:rsidRPr="00B17045">
        <w:rPr>
          <w:rStyle w:val="default"/>
          <w:rFonts w:cs="FrankRuehl"/>
          <w:rtl/>
        </w:rPr>
        <w:t>.</w:t>
      </w:r>
      <w:r w:rsidRPr="00B17045">
        <w:rPr>
          <w:rStyle w:val="default"/>
          <w:rFonts w:cs="FrankRuehl"/>
          <w:rtl/>
        </w:rPr>
        <w:tab/>
      </w:r>
      <w:r w:rsidR="00B17045">
        <w:rPr>
          <w:rStyle w:val="default"/>
          <w:rFonts w:cs="FrankRuehl"/>
          <w:rtl/>
        </w:rPr>
        <w:t>בכללים אלה –</w:t>
      </w:r>
    </w:p>
    <w:p w14:paraId="2A8F1853"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"הבקשה" </w:t>
      </w:r>
      <w:r w:rsidR="00B17045">
        <w:rPr>
          <w:rStyle w:val="default"/>
          <w:rFonts w:cs="FrankRuehl" w:hint="cs"/>
          <w:rtl/>
        </w:rPr>
        <w:t>-</w:t>
      </w:r>
      <w:r w:rsidRPr="00607C05">
        <w:rPr>
          <w:rStyle w:val="default"/>
          <w:rFonts w:cs="FrankRuehl"/>
          <w:rtl/>
        </w:rPr>
        <w:t xml:space="preserve"> בקשה לאישור הנציב לפי סעיף 103ט(א) ו-105ח(א) לפקודה;</w:t>
      </w:r>
    </w:p>
    <w:p w14:paraId="4EA4EA2A"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"מבקשת" </w:t>
      </w:r>
      <w:r w:rsidR="00B17045">
        <w:rPr>
          <w:rStyle w:val="default"/>
          <w:rFonts w:cs="FrankRuehl" w:hint="cs"/>
          <w:rtl/>
        </w:rPr>
        <w:t>-</w:t>
      </w:r>
      <w:r w:rsidRPr="00607C05">
        <w:rPr>
          <w:rStyle w:val="default"/>
          <w:rFonts w:cs="FrankRuehl"/>
          <w:rtl/>
        </w:rPr>
        <w:t xml:space="preserve"> החברה המתפצלת כמשמעותה בפרק רביעי לחלק ה-2 לפקודה;</w:t>
      </w:r>
    </w:p>
    <w:p w14:paraId="27B82813"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"מומחה" </w:t>
      </w:r>
      <w:r w:rsidR="00B17045">
        <w:rPr>
          <w:rStyle w:val="default"/>
          <w:rFonts w:cs="FrankRuehl" w:hint="cs"/>
          <w:rtl/>
        </w:rPr>
        <w:t>-</w:t>
      </w:r>
      <w:r w:rsidRPr="00607C05">
        <w:rPr>
          <w:rStyle w:val="default"/>
          <w:rFonts w:cs="FrankRuehl"/>
          <w:rtl/>
        </w:rPr>
        <w:t xml:space="preserve"> מי שעיסוקו הערכת שווים של תאגידים ונכסים ומומחיותו בכך, ואינו קשור, במישרין או בעקיפין, למבקשת, ואינו נותן לה שירות דרך קבע;</w:t>
      </w:r>
    </w:p>
    <w:p w14:paraId="5EE61A12"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"בעל זכות" </w:t>
      </w:r>
      <w:r w:rsidR="00B17045">
        <w:rPr>
          <w:rStyle w:val="default"/>
          <w:rFonts w:cs="FrankRuehl" w:hint="cs"/>
          <w:rtl/>
        </w:rPr>
        <w:t>-</w:t>
      </w:r>
      <w:r w:rsidRPr="00607C05">
        <w:rPr>
          <w:rStyle w:val="default"/>
          <w:rFonts w:cs="FrankRuehl"/>
          <w:rtl/>
        </w:rPr>
        <w:t xml:space="preserve"> בעל זכות בחבר-בני-אדם כהגדרתה בסעיף 103 לפקודה; ובחברה שמניותיה נסחרות בבורסה </w:t>
      </w:r>
      <w:r w:rsidR="00B17045">
        <w:rPr>
          <w:rStyle w:val="default"/>
          <w:rFonts w:cs="FrankRuehl" w:hint="cs"/>
          <w:rtl/>
        </w:rPr>
        <w:t>-</w:t>
      </w:r>
      <w:r w:rsidRPr="00607C05">
        <w:rPr>
          <w:rStyle w:val="default"/>
          <w:rFonts w:cs="FrankRuehl"/>
          <w:rtl/>
        </w:rPr>
        <w:t xml:space="preserve"> בעל ענין;</w:t>
      </w:r>
    </w:p>
    <w:p w14:paraId="3C831515"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"בעל ענין" </w:t>
      </w:r>
      <w:r w:rsidR="00B17045">
        <w:rPr>
          <w:rStyle w:val="default"/>
          <w:rFonts w:cs="FrankRuehl" w:hint="cs"/>
          <w:rtl/>
        </w:rPr>
        <w:t>-</w:t>
      </w:r>
      <w:r w:rsidRPr="00607C05">
        <w:rPr>
          <w:rStyle w:val="default"/>
          <w:rFonts w:cs="FrankRuehl"/>
          <w:rtl/>
        </w:rPr>
        <w:t xml:space="preserve"> בעל ענין בתאגיד, כהגדרתו בחוק ניירות ערך, תשכ"ח</w:t>
      </w:r>
      <w:r w:rsidR="00B17045">
        <w:rPr>
          <w:rStyle w:val="default"/>
          <w:rFonts w:cs="FrankRuehl" w:hint="cs"/>
          <w:rtl/>
        </w:rPr>
        <w:t>-</w:t>
      </w:r>
      <w:r w:rsidRPr="00607C05">
        <w:rPr>
          <w:rStyle w:val="default"/>
          <w:rFonts w:cs="FrankRuehl"/>
          <w:rtl/>
        </w:rPr>
        <w:t xml:space="preserve">1968; </w:t>
      </w:r>
    </w:p>
    <w:p w14:paraId="0BCC99BA"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"דו"חות מתואמים" </w:t>
      </w:r>
      <w:r w:rsidR="00B17045">
        <w:rPr>
          <w:rStyle w:val="default"/>
          <w:rFonts w:cs="FrankRuehl" w:hint="cs"/>
          <w:rtl/>
        </w:rPr>
        <w:t>-</w:t>
      </w:r>
      <w:r w:rsidRPr="00607C05">
        <w:rPr>
          <w:rStyle w:val="default"/>
          <w:rFonts w:cs="FrankRuehl"/>
          <w:rtl/>
        </w:rPr>
        <w:t xml:space="preserve"> כהגדרתם בסעיף 105 לפקודה;</w:t>
      </w:r>
    </w:p>
    <w:p w14:paraId="433238E8"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"נושא משרה" </w:t>
      </w:r>
      <w:r w:rsidR="00B17045">
        <w:rPr>
          <w:rStyle w:val="default"/>
          <w:rFonts w:cs="FrankRuehl" w:hint="cs"/>
          <w:rtl/>
        </w:rPr>
        <w:t>-</w:t>
      </w:r>
      <w:r w:rsidRPr="00607C05">
        <w:rPr>
          <w:rStyle w:val="default"/>
          <w:rFonts w:cs="FrankRuehl"/>
          <w:rtl/>
        </w:rPr>
        <w:t xml:space="preserve"> כהגדרתו בסעיף 96כד לפקודת החברות [נוסח חדש], תשמ"ג</w:t>
      </w:r>
      <w:r w:rsidR="00B17045">
        <w:rPr>
          <w:rStyle w:val="default"/>
          <w:rFonts w:cs="FrankRuehl" w:hint="cs"/>
          <w:rtl/>
        </w:rPr>
        <w:t>-</w:t>
      </w:r>
      <w:r w:rsidRPr="00607C05">
        <w:rPr>
          <w:rStyle w:val="default"/>
          <w:rFonts w:cs="FrankRuehl"/>
          <w:rtl/>
        </w:rPr>
        <w:t xml:space="preserve">1983; </w:t>
      </w:r>
    </w:p>
    <w:p w14:paraId="78BDE8EE"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"דו"חות כספיים" </w:t>
      </w:r>
      <w:r w:rsidR="00B17045">
        <w:rPr>
          <w:rStyle w:val="default"/>
          <w:rFonts w:cs="FrankRuehl" w:hint="cs"/>
          <w:rtl/>
        </w:rPr>
        <w:t>-</w:t>
      </w:r>
      <w:r w:rsidRPr="00607C05">
        <w:rPr>
          <w:rStyle w:val="default"/>
          <w:rFonts w:cs="FrankRuehl"/>
          <w:rtl/>
        </w:rPr>
        <w:t xml:space="preserve"> מאזן ודו"ח רווח והפסד, לרבות הביאורים והפירוטים הנלווים לו, המבוקרים או המסוקרים בידי רואה חשבון, לפי הענין;</w:t>
      </w:r>
    </w:p>
    <w:p w14:paraId="289DEBB2" w14:textId="77777777" w:rsidR="00810315" w:rsidRPr="00607C05" w:rsidRDefault="00810315" w:rsidP="00B17045">
      <w:pPr>
        <w:pStyle w:val="P00"/>
        <w:spacing w:before="72"/>
        <w:ind w:left="0" w:right="1134"/>
        <w:rPr>
          <w:rStyle w:val="default"/>
          <w:rFonts w:cs="FrankRuehl"/>
          <w:rtl/>
        </w:rPr>
      </w:pPr>
      <w:r w:rsidRPr="00607C05">
        <w:rPr>
          <w:rFonts w:cs="FrankRuehl"/>
          <w:sz w:val="26"/>
          <w:rtl/>
        </w:rPr>
        <w:tab/>
      </w:r>
      <w:r w:rsidRPr="00607C05">
        <w:rPr>
          <w:rStyle w:val="default"/>
          <w:rFonts w:cs="FrankRuehl"/>
          <w:rtl/>
        </w:rPr>
        <w:t xml:space="preserve">"תקנות ניירות ערך" </w:t>
      </w:r>
      <w:r w:rsidR="00B17045">
        <w:rPr>
          <w:rStyle w:val="default"/>
          <w:rFonts w:cs="FrankRuehl" w:hint="cs"/>
          <w:rtl/>
        </w:rPr>
        <w:t>-</w:t>
      </w:r>
      <w:r w:rsidRPr="00607C05">
        <w:rPr>
          <w:rStyle w:val="default"/>
          <w:rFonts w:cs="FrankRuehl"/>
          <w:rtl/>
        </w:rPr>
        <w:t xml:space="preserve"> תקנות ניירות ערך (דו"חות תקופתיים ומידיים), תש"ל</w:t>
      </w:r>
      <w:r w:rsidR="00B17045">
        <w:rPr>
          <w:rStyle w:val="default"/>
          <w:rFonts w:cs="FrankRuehl" w:hint="cs"/>
          <w:rtl/>
        </w:rPr>
        <w:t>-</w:t>
      </w:r>
      <w:r w:rsidRPr="00607C05">
        <w:rPr>
          <w:rStyle w:val="default"/>
          <w:rFonts w:cs="FrankRuehl"/>
          <w:rtl/>
        </w:rPr>
        <w:t xml:space="preserve">1970. </w:t>
      </w:r>
    </w:p>
    <w:p w14:paraId="4D67E19B" w14:textId="77777777" w:rsidR="00810315" w:rsidRPr="00607C05" w:rsidRDefault="00810315">
      <w:pPr>
        <w:pStyle w:val="P00"/>
        <w:spacing w:before="72"/>
        <w:ind w:left="0" w:right="1134"/>
        <w:rPr>
          <w:rStyle w:val="default"/>
          <w:rFonts w:cs="FrankRuehl"/>
          <w:rtl/>
        </w:rPr>
      </w:pPr>
      <w:bookmarkStart w:id="1" w:name="Seif2"/>
      <w:bookmarkEnd w:id="1"/>
      <w:r w:rsidRPr="00B17045">
        <w:rPr>
          <w:rFonts w:cs="Miriam"/>
          <w:lang w:val="he-IL"/>
        </w:rPr>
        <w:pict w14:anchorId="16FA9A6A">
          <v:rect id="_x0000_s1027" style="position:absolute;left:0;text-align:left;margin-left:464.5pt;margin-top:8.05pt;width:75.05pt;height:11.55pt;z-index:251657216" o:allowincell="f" filled="f" stroked="f" strokecolor="lime" strokeweight=".25pt">
            <v:textbox inset="0,0,0,0">
              <w:txbxContent>
                <w:p w14:paraId="41B80235" w14:textId="77777777" w:rsidR="00810315" w:rsidRDefault="00810315">
                  <w:pPr>
                    <w:spacing w:line="160" w:lineRule="exact"/>
                    <w:rPr>
                      <w:rFonts w:cs="Miriam"/>
                      <w:noProof/>
                      <w:sz w:val="18"/>
                      <w:szCs w:val="18"/>
                      <w:rtl/>
                    </w:rPr>
                  </w:pPr>
                  <w:r>
                    <w:rPr>
                      <w:rFonts w:cs="Miriam"/>
                      <w:sz w:val="18"/>
                      <w:szCs w:val="18"/>
                      <w:rtl/>
                    </w:rPr>
                    <w:t>הב</w:t>
                  </w:r>
                  <w:r>
                    <w:rPr>
                      <w:rFonts w:cs="Miriam" w:hint="cs"/>
                      <w:sz w:val="18"/>
                      <w:szCs w:val="18"/>
                      <w:rtl/>
                    </w:rPr>
                    <w:t>קשה והמסמכים</w:t>
                  </w:r>
                </w:p>
              </w:txbxContent>
            </v:textbox>
            <w10:anchorlock/>
          </v:rect>
        </w:pict>
      </w:r>
      <w:r w:rsidRPr="00B17045">
        <w:rPr>
          <w:rStyle w:val="big-number"/>
          <w:rFonts w:cs="Miriam"/>
          <w:rtl/>
        </w:rPr>
        <w:t>2</w:t>
      </w:r>
      <w:r w:rsidRPr="00B17045">
        <w:rPr>
          <w:rStyle w:val="default"/>
          <w:rFonts w:cs="FrankRuehl"/>
          <w:rtl/>
        </w:rPr>
        <w:t>.</w:t>
      </w:r>
      <w:r w:rsidRPr="00B17045">
        <w:rPr>
          <w:rStyle w:val="default"/>
          <w:rFonts w:cs="FrankRuehl"/>
          <w:rtl/>
        </w:rPr>
        <w:tab/>
      </w:r>
      <w:r w:rsidRPr="00607C05">
        <w:rPr>
          <w:rStyle w:val="default"/>
          <w:rFonts w:cs="FrankRuehl"/>
          <w:rtl/>
        </w:rPr>
        <w:t>הבקשה תהיה ערוכה על פי הטופס שבתוספת, בצירוף דו"ח הכולל את כל הפרטים והעובדות הנוגעים לפיצול, במישרין או בעקיפין, לרבות:</w:t>
      </w:r>
    </w:p>
    <w:p w14:paraId="2546DE43" w14:textId="77777777" w:rsidR="00810315" w:rsidRPr="00607C05" w:rsidRDefault="00810315">
      <w:pPr>
        <w:pStyle w:val="P11"/>
        <w:spacing w:before="72"/>
        <w:ind w:left="624" w:right="1134"/>
        <w:rPr>
          <w:rStyle w:val="default"/>
          <w:rFonts w:cs="FrankRuehl"/>
          <w:rtl/>
        </w:rPr>
      </w:pPr>
      <w:r w:rsidRPr="00607C05">
        <w:rPr>
          <w:rStyle w:val="default"/>
          <w:rFonts w:cs="FrankRuehl"/>
          <w:rtl/>
        </w:rPr>
        <w:t>(1)</w:t>
      </w:r>
      <w:r w:rsidRPr="00607C05">
        <w:rPr>
          <w:rStyle w:val="default"/>
          <w:rFonts w:cs="FrankRuehl"/>
          <w:rtl/>
        </w:rPr>
        <w:tab/>
        <w:t>העתק הפניה לבית המשפט בבקשה למתן צו להפחתת הון, אם היה צורך בכך, וכל החלטה של בית המשפט שניתנה בקשר לכך;</w:t>
      </w:r>
    </w:p>
    <w:p w14:paraId="2AC979D9" w14:textId="77777777" w:rsidR="00810315" w:rsidRPr="00607C05" w:rsidRDefault="00810315">
      <w:pPr>
        <w:pStyle w:val="P11"/>
        <w:spacing w:before="72"/>
        <w:ind w:left="624" w:right="1134"/>
        <w:rPr>
          <w:rStyle w:val="default"/>
          <w:rFonts w:cs="FrankRuehl"/>
          <w:rtl/>
        </w:rPr>
      </w:pPr>
      <w:r w:rsidRPr="00607C05">
        <w:rPr>
          <w:rStyle w:val="default"/>
          <w:rFonts w:cs="FrankRuehl"/>
          <w:rtl/>
        </w:rPr>
        <w:t>(2)</w:t>
      </w:r>
      <w:r w:rsidRPr="00607C05">
        <w:rPr>
          <w:rStyle w:val="default"/>
          <w:rFonts w:cs="FrankRuehl"/>
          <w:rtl/>
        </w:rPr>
        <w:tab/>
        <w:t>דו"חות של המבקשת לפי סעיף 131 לפקודה ודו"חות כספיים מבוקרים שלה, לרבות דו"חות מתואמים, לשתי שנות המס שקדמו לשנת הפיצול;</w:t>
      </w:r>
    </w:p>
    <w:p w14:paraId="0E543494" w14:textId="77777777" w:rsidR="00810315" w:rsidRPr="00607C05" w:rsidRDefault="00810315" w:rsidP="00B17045">
      <w:pPr>
        <w:pStyle w:val="P11"/>
        <w:spacing w:before="72"/>
        <w:ind w:left="624" w:right="1134"/>
        <w:rPr>
          <w:rStyle w:val="default"/>
          <w:rFonts w:cs="FrankRuehl"/>
          <w:rtl/>
        </w:rPr>
      </w:pPr>
      <w:r w:rsidRPr="00607C05">
        <w:rPr>
          <w:rStyle w:val="default"/>
          <w:rFonts w:cs="FrankRuehl"/>
          <w:rtl/>
        </w:rPr>
        <w:t>(3)</w:t>
      </w:r>
      <w:r w:rsidRPr="00607C05">
        <w:rPr>
          <w:rStyle w:val="default"/>
          <w:rFonts w:cs="FrankRuehl"/>
          <w:rtl/>
        </w:rPr>
        <w:tab/>
        <w:t xml:space="preserve">דו"חות כספיים מסוקרים של המבקשת לתקופה המתחילה בתחילת שנת המס שבה מוגשת הבקשה ומסתיימת בתום החודש שקדם לחודש שבו היא מוגשת, ולגבי חבר-בני-אדם החייב להגיש דו"חות תקופתיים בהתאם לתקנות ניירות ערך </w:t>
      </w:r>
      <w:r w:rsidR="00B17045">
        <w:rPr>
          <w:rStyle w:val="default"/>
          <w:rFonts w:cs="FrankRuehl" w:hint="cs"/>
          <w:rtl/>
        </w:rPr>
        <w:t>-</w:t>
      </w:r>
      <w:r w:rsidRPr="00607C05">
        <w:rPr>
          <w:rStyle w:val="default"/>
          <w:rFonts w:cs="FrankRuehl"/>
          <w:rtl/>
        </w:rPr>
        <w:t xml:space="preserve"> הדו"ח האחרון שהיה עליו להגיש לפני מועד הגשת הבקשה;</w:t>
      </w:r>
    </w:p>
    <w:p w14:paraId="4F71D4D3" w14:textId="77777777" w:rsidR="00810315" w:rsidRPr="00607C05" w:rsidRDefault="00810315" w:rsidP="00B17045">
      <w:pPr>
        <w:pStyle w:val="P11"/>
        <w:spacing w:before="72"/>
        <w:ind w:left="624" w:right="1134"/>
        <w:rPr>
          <w:rStyle w:val="default"/>
          <w:rFonts w:cs="FrankRuehl"/>
          <w:rtl/>
        </w:rPr>
      </w:pPr>
      <w:r w:rsidRPr="00607C05">
        <w:rPr>
          <w:rStyle w:val="default"/>
          <w:rFonts w:cs="FrankRuehl"/>
          <w:rtl/>
        </w:rPr>
        <w:t>(4)</w:t>
      </w:r>
      <w:r w:rsidRPr="00607C05">
        <w:rPr>
          <w:rStyle w:val="default"/>
          <w:rFonts w:cs="FrankRuehl"/>
          <w:rtl/>
        </w:rPr>
        <w:tab/>
        <w:t xml:space="preserve">בפיצול על פי סעיף 105א(1) </w:t>
      </w:r>
      <w:r w:rsidR="00B17045">
        <w:rPr>
          <w:rStyle w:val="default"/>
          <w:rFonts w:cs="FrankRuehl" w:hint="cs"/>
          <w:rtl/>
        </w:rPr>
        <w:t>-</w:t>
      </w:r>
      <w:r w:rsidRPr="00607C05">
        <w:rPr>
          <w:rStyle w:val="default"/>
          <w:rFonts w:cs="FrankRuehl"/>
          <w:rtl/>
        </w:rPr>
        <w:t xml:space="preserve"> הערכות מומחה של שווי המבקשת והזכויות בה למועד הבקשה, של שווי כל אחת מהחברות החדשות ושל שווי החברה המתפצלת מיד לאחר הפיצול, לרבות פירוט העובדות, החישובים ודרכי הניתוח, המהווים בסיס לאותן הערכות שווי;</w:t>
      </w:r>
    </w:p>
    <w:p w14:paraId="5CFE924B" w14:textId="77777777" w:rsidR="00810315" w:rsidRPr="00607C05" w:rsidRDefault="00810315" w:rsidP="00B17045">
      <w:pPr>
        <w:pStyle w:val="P11"/>
        <w:spacing w:before="72"/>
        <w:ind w:left="624" w:right="1134"/>
        <w:rPr>
          <w:rStyle w:val="default"/>
          <w:rFonts w:cs="FrankRuehl"/>
          <w:rtl/>
        </w:rPr>
      </w:pPr>
      <w:r w:rsidRPr="00607C05">
        <w:rPr>
          <w:rStyle w:val="default"/>
          <w:rFonts w:cs="FrankRuehl"/>
          <w:rtl/>
        </w:rPr>
        <w:t>(5)</w:t>
      </w:r>
      <w:r w:rsidRPr="00607C05">
        <w:rPr>
          <w:rStyle w:val="default"/>
          <w:rFonts w:cs="FrankRuehl"/>
          <w:rtl/>
        </w:rPr>
        <w:tab/>
        <w:t xml:space="preserve">הערכות שווי למועד הגשת הבקשה של זכויות במקרקעין, המועברות לחברות החדשות; לענין זה, "זכות במקרקעין" </w:t>
      </w:r>
      <w:r w:rsidR="00B17045">
        <w:rPr>
          <w:rStyle w:val="default"/>
          <w:rFonts w:cs="FrankRuehl" w:hint="cs"/>
          <w:rtl/>
        </w:rPr>
        <w:t>-</w:t>
      </w:r>
      <w:r w:rsidRPr="00607C05">
        <w:rPr>
          <w:rStyle w:val="default"/>
          <w:rFonts w:cs="FrankRuehl"/>
          <w:rtl/>
        </w:rPr>
        <w:t xml:space="preserve"> כהגדרתה בחוק מס שבח מקרקעין, תשכ"ג–1963; </w:t>
      </w:r>
    </w:p>
    <w:p w14:paraId="2D3F39D0" w14:textId="77777777" w:rsidR="00810315" w:rsidRPr="00607C05" w:rsidRDefault="00810315">
      <w:pPr>
        <w:pStyle w:val="P11"/>
        <w:spacing w:before="72"/>
        <w:ind w:left="624" w:right="1134"/>
        <w:rPr>
          <w:rStyle w:val="default"/>
          <w:rFonts w:cs="FrankRuehl"/>
          <w:rtl/>
        </w:rPr>
      </w:pPr>
      <w:r w:rsidRPr="00607C05">
        <w:rPr>
          <w:rStyle w:val="default"/>
          <w:rFonts w:cs="FrankRuehl"/>
          <w:rtl/>
        </w:rPr>
        <w:t>(6)</w:t>
      </w:r>
      <w:r w:rsidRPr="00607C05">
        <w:rPr>
          <w:rStyle w:val="default"/>
          <w:rFonts w:cs="FrankRuehl"/>
          <w:rtl/>
        </w:rPr>
        <w:tab/>
        <w:t>דו"ח על ייעוד הנכסים המועברים מהחברה המתפצלת לחברות החדשות, ועל ייעוד הנכסים הנותרים בחברה המתפצלת, ושווים לפי הדו"חות המתואמים למועד הגשת הבקשה;</w:t>
      </w:r>
    </w:p>
    <w:p w14:paraId="6D99AFFC" w14:textId="77777777" w:rsidR="00810315" w:rsidRPr="00607C05" w:rsidRDefault="00810315" w:rsidP="00B17045">
      <w:pPr>
        <w:pStyle w:val="P11"/>
        <w:spacing w:before="72"/>
        <w:ind w:left="624" w:right="1134"/>
        <w:rPr>
          <w:rStyle w:val="default"/>
          <w:rFonts w:cs="FrankRuehl"/>
          <w:rtl/>
        </w:rPr>
      </w:pPr>
      <w:r w:rsidRPr="00607C05">
        <w:rPr>
          <w:rStyle w:val="default"/>
          <w:rFonts w:cs="FrankRuehl"/>
          <w:rtl/>
        </w:rPr>
        <w:t>(7)</w:t>
      </w:r>
      <w:r w:rsidRPr="00607C05">
        <w:rPr>
          <w:rStyle w:val="default"/>
          <w:rFonts w:cs="FrankRuehl"/>
          <w:rtl/>
        </w:rPr>
        <w:tab/>
        <w:t xml:space="preserve">רשימה המפרטת את בעלי הזכויות במבקשת ואת סוגי הזכויות בה, ובפיצול לפי סעיף 105א(1) </w:t>
      </w:r>
      <w:r w:rsidR="00B17045">
        <w:rPr>
          <w:rStyle w:val="default"/>
          <w:rFonts w:cs="FrankRuehl" w:hint="cs"/>
          <w:rtl/>
        </w:rPr>
        <w:t>-</w:t>
      </w:r>
      <w:r w:rsidRPr="00607C05">
        <w:rPr>
          <w:rStyle w:val="default"/>
          <w:rFonts w:cs="FrankRuehl"/>
          <w:rtl/>
        </w:rPr>
        <w:t xml:space="preserve"> את בעלי הזכויות בחברה החדשה ואת חלקם בה;</w:t>
      </w:r>
    </w:p>
    <w:p w14:paraId="3C014511" w14:textId="77777777" w:rsidR="00810315" w:rsidRPr="00607C05" w:rsidRDefault="00810315">
      <w:pPr>
        <w:pStyle w:val="P11"/>
        <w:spacing w:before="72"/>
        <w:ind w:left="624" w:right="1134"/>
        <w:rPr>
          <w:rStyle w:val="default"/>
          <w:rFonts w:cs="FrankRuehl"/>
          <w:rtl/>
        </w:rPr>
      </w:pPr>
      <w:r w:rsidRPr="00607C05">
        <w:rPr>
          <w:rStyle w:val="default"/>
          <w:rFonts w:cs="FrankRuehl"/>
          <w:rtl/>
        </w:rPr>
        <w:t>(8)</w:t>
      </w:r>
      <w:r w:rsidRPr="00607C05">
        <w:rPr>
          <w:rStyle w:val="default"/>
          <w:rFonts w:cs="FrankRuehl"/>
          <w:rtl/>
        </w:rPr>
        <w:tab/>
        <w:t>רשימה המפרטת את החברות אשר במועד הבקשה לפחות 10% מהזכויות בהן מוחזקות בידי המבקשת, לבדה או יחד עם בעל זכות בה או יחד עם נושא משרה בה;</w:t>
      </w:r>
    </w:p>
    <w:p w14:paraId="17C37405" w14:textId="77777777" w:rsidR="00810315" w:rsidRPr="00607C05" w:rsidRDefault="00810315">
      <w:pPr>
        <w:pStyle w:val="P11"/>
        <w:spacing w:before="72"/>
        <w:ind w:left="624" w:right="1134"/>
        <w:rPr>
          <w:rStyle w:val="default"/>
          <w:rFonts w:cs="FrankRuehl"/>
          <w:rtl/>
        </w:rPr>
      </w:pPr>
      <w:r w:rsidRPr="00607C05">
        <w:rPr>
          <w:rStyle w:val="default"/>
          <w:rFonts w:cs="FrankRuehl"/>
          <w:rtl/>
        </w:rPr>
        <w:t>(9)</w:t>
      </w:r>
      <w:r w:rsidRPr="00607C05">
        <w:rPr>
          <w:rStyle w:val="default"/>
          <w:rFonts w:cs="FrankRuehl"/>
          <w:rtl/>
        </w:rPr>
        <w:tab/>
        <w:t>רשימה המפרטת את השעבודים הרובצים, במועד הבקשה, על נכסי המבקשת ועל הזכויות בה, את סכומם, את סוגם ואת הנושים שזכותם מובטחת על ידי אותם שעבודים, תוך הפרדה בין נושים שהם בעלי זכויות או נושאי משרה במבקשת לבין נושים אחרים;</w:t>
      </w:r>
    </w:p>
    <w:p w14:paraId="4046AB4C" w14:textId="77777777" w:rsidR="00810315" w:rsidRPr="00607C05" w:rsidRDefault="00810315">
      <w:pPr>
        <w:pStyle w:val="P00"/>
        <w:spacing w:before="72"/>
        <w:ind w:left="0" w:right="1134"/>
        <w:rPr>
          <w:rStyle w:val="default"/>
          <w:rFonts w:cs="FrankRuehl"/>
          <w:rtl/>
        </w:rPr>
      </w:pPr>
      <w:r w:rsidRPr="00607C05">
        <w:rPr>
          <w:rFonts w:cs="FrankRuehl"/>
          <w:sz w:val="26"/>
          <w:rtl/>
        </w:rPr>
        <w:lastRenderedPageBreak/>
        <w:tab/>
      </w:r>
      <w:r w:rsidRPr="00607C05">
        <w:rPr>
          <w:rStyle w:val="default"/>
          <w:rFonts w:cs="FrankRuehl"/>
          <w:rtl/>
        </w:rPr>
        <w:t>(10)</w:t>
      </w:r>
      <w:r w:rsidRPr="00607C05">
        <w:rPr>
          <w:rStyle w:val="default"/>
          <w:rFonts w:cs="FrankRuehl"/>
          <w:rtl/>
        </w:rPr>
        <w:tab/>
        <w:t>אישור על תשלום האגרה לפי סעיף 103ט(ב);</w:t>
      </w:r>
    </w:p>
    <w:p w14:paraId="72266763" w14:textId="77777777" w:rsidR="00810315" w:rsidRPr="00607C05" w:rsidRDefault="00810315" w:rsidP="00B17045">
      <w:pPr>
        <w:pStyle w:val="P11"/>
        <w:spacing w:before="72"/>
        <w:ind w:left="624" w:right="1134"/>
        <w:rPr>
          <w:rStyle w:val="default"/>
          <w:rFonts w:cs="FrankRuehl"/>
          <w:rtl/>
        </w:rPr>
      </w:pPr>
      <w:r w:rsidRPr="00607C05">
        <w:rPr>
          <w:rStyle w:val="default"/>
          <w:rFonts w:cs="FrankRuehl"/>
          <w:rtl/>
        </w:rPr>
        <w:t>(11)</w:t>
      </w:r>
      <w:r w:rsidRPr="00607C05">
        <w:rPr>
          <w:rStyle w:val="default"/>
          <w:rFonts w:cs="FrankRuehl"/>
          <w:rtl/>
        </w:rPr>
        <w:tab/>
        <w:t>אישור של רואה חשבון, כי הנתונים בבקשה, שנלקחו מהדו"חות הכספיים המבוקרים של המבקשת, הם מלאים, נכונים ומשקפים נאמנה את הרשום באותם דו"חות;</w:t>
      </w:r>
    </w:p>
    <w:p w14:paraId="46592691" w14:textId="77777777" w:rsidR="00810315" w:rsidRPr="00607C05" w:rsidRDefault="00810315">
      <w:pPr>
        <w:pStyle w:val="P11"/>
        <w:spacing w:before="72"/>
        <w:ind w:left="624" w:right="1134"/>
        <w:rPr>
          <w:rStyle w:val="default"/>
          <w:rFonts w:cs="FrankRuehl"/>
          <w:rtl/>
        </w:rPr>
      </w:pPr>
      <w:r w:rsidRPr="00607C05">
        <w:rPr>
          <w:rStyle w:val="default"/>
          <w:rFonts w:cs="FrankRuehl"/>
          <w:rtl/>
        </w:rPr>
        <w:t>(12)</w:t>
      </w:r>
      <w:r w:rsidRPr="00607C05">
        <w:rPr>
          <w:rStyle w:val="default"/>
          <w:rFonts w:cs="FrankRuehl"/>
          <w:rtl/>
        </w:rPr>
        <w:tab/>
        <w:t>חוות דעת של עורך דין, המאשרת כי, למיטב ידיעתו, עומד הפיצול בתנאי סעיף 105ג לפקודה;</w:t>
      </w:r>
    </w:p>
    <w:p w14:paraId="65296E34" w14:textId="77777777" w:rsidR="00810315" w:rsidRPr="00607C05" w:rsidRDefault="00810315" w:rsidP="00B17045">
      <w:pPr>
        <w:pStyle w:val="P11"/>
        <w:spacing w:before="72"/>
        <w:ind w:left="624" w:right="1134"/>
        <w:rPr>
          <w:rStyle w:val="default"/>
          <w:rFonts w:cs="FrankRuehl"/>
          <w:rtl/>
        </w:rPr>
      </w:pPr>
      <w:r w:rsidRPr="00607C05">
        <w:rPr>
          <w:rStyle w:val="default"/>
          <w:rFonts w:cs="FrankRuehl"/>
          <w:rtl/>
        </w:rPr>
        <w:t>(13)</w:t>
      </w:r>
      <w:r w:rsidRPr="00607C05">
        <w:rPr>
          <w:rStyle w:val="default"/>
          <w:rFonts w:cs="FrankRuehl"/>
          <w:rtl/>
        </w:rPr>
        <w:tab/>
        <w:t>הצהרת נושאי המשרה במבקשת, החתומים על דו"חותיה הכספיים, כי הפרטים שמולאו בבקשה והמסמכים המצורפים לה הם מלאים ונכונים וכי למיטב ידיעתם הפיצול עומד בתנאי סעיף 105ג לפקודה.</w:t>
      </w:r>
    </w:p>
    <w:p w14:paraId="01759F74" w14:textId="77777777" w:rsidR="00810315" w:rsidRPr="00607C05" w:rsidRDefault="00810315">
      <w:pPr>
        <w:pStyle w:val="P00"/>
        <w:spacing w:before="72"/>
        <w:ind w:left="0" w:right="1134"/>
        <w:rPr>
          <w:rStyle w:val="default"/>
          <w:rFonts w:cs="FrankRuehl"/>
          <w:rtl/>
        </w:rPr>
      </w:pPr>
      <w:bookmarkStart w:id="2" w:name="Seif3"/>
      <w:bookmarkEnd w:id="2"/>
      <w:r w:rsidRPr="00B17045">
        <w:rPr>
          <w:rFonts w:cs="Miriam"/>
          <w:lang w:val="he-IL"/>
        </w:rPr>
        <w:pict w14:anchorId="27029A91">
          <v:rect id="_x0000_s1028" style="position:absolute;left:0;text-align:left;margin-left:464.5pt;margin-top:8.05pt;width:75.05pt;height:10pt;z-index:251658240" o:allowincell="f" filled="f" stroked="f" strokecolor="lime" strokeweight=".25pt">
            <v:textbox style="mso-next-textbox:#_x0000_s1028" inset="0,0,0,0">
              <w:txbxContent>
                <w:p w14:paraId="7674D541" w14:textId="77777777" w:rsidR="00810315" w:rsidRDefault="00810315">
                  <w:pPr>
                    <w:spacing w:line="160" w:lineRule="exact"/>
                    <w:rPr>
                      <w:rFonts w:cs="Miriam"/>
                      <w:noProof/>
                      <w:sz w:val="18"/>
                      <w:szCs w:val="18"/>
                      <w:rtl/>
                    </w:rPr>
                  </w:pPr>
                  <w:r>
                    <w:rPr>
                      <w:rFonts w:cs="Miriam"/>
                      <w:sz w:val="18"/>
                      <w:szCs w:val="18"/>
                      <w:rtl/>
                    </w:rPr>
                    <w:t>חו</w:t>
                  </w:r>
                  <w:r>
                    <w:rPr>
                      <w:rFonts w:cs="Miriam" w:hint="cs"/>
                      <w:sz w:val="18"/>
                      <w:szCs w:val="18"/>
                      <w:rtl/>
                    </w:rPr>
                    <w:t xml:space="preserve">בת הגשת </w:t>
                  </w:r>
                  <w:r>
                    <w:rPr>
                      <w:rFonts w:cs="Miriam"/>
                      <w:sz w:val="18"/>
                      <w:szCs w:val="18"/>
                      <w:rtl/>
                    </w:rPr>
                    <w:t>ד</w:t>
                  </w:r>
                  <w:r>
                    <w:rPr>
                      <w:rFonts w:cs="Miriam" w:hint="cs"/>
                      <w:sz w:val="18"/>
                      <w:szCs w:val="18"/>
                      <w:rtl/>
                    </w:rPr>
                    <w:t>ו"חות</w:t>
                  </w:r>
                </w:p>
              </w:txbxContent>
            </v:textbox>
            <w10:anchorlock/>
          </v:rect>
        </w:pict>
      </w:r>
      <w:r w:rsidRPr="00B17045">
        <w:rPr>
          <w:rStyle w:val="big-number"/>
          <w:rFonts w:cs="Miriam"/>
          <w:rtl/>
        </w:rPr>
        <w:t>3</w:t>
      </w:r>
      <w:r w:rsidRPr="00B17045">
        <w:rPr>
          <w:rStyle w:val="default"/>
          <w:rFonts w:cs="FrankRuehl"/>
          <w:rtl/>
        </w:rPr>
        <w:t>.</w:t>
      </w:r>
      <w:r w:rsidRPr="00B17045">
        <w:rPr>
          <w:rStyle w:val="default"/>
          <w:rFonts w:cs="FrankRuehl"/>
          <w:rtl/>
        </w:rPr>
        <w:tab/>
      </w:r>
      <w:r w:rsidRPr="00607C05">
        <w:rPr>
          <w:rStyle w:val="default"/>
          <w:rFonts w:cs="FrankRuehl"/>
          <w:rtl/>
        </w:rPr>
        <w:t>חובת הגשת דו"חות לפי סעיף 2(2), אין בה כדי לפגוע בחובת הגשת דו"חות לפי סעיף 131 לפקודה.</w:t>
      </w:r>
    </w:p>
    <w:p w14:paraId="1872E176" w14:textId="77777777" w:rsidR="00810315" w:rsidRDefault="00810315">
      <w:pPr>
        <w:pStyle w:val="P00"/>
        <w:spacing w:before="72"/>
        <w:ind w:left="0" w:right="1134"/>
        <w:rPr>
          <w:rStyle w:val="default"/>
          <w:rFonts w:cs="FrankRuehl" w:hint="cs"/>
          <w:rtl/>
        </w:rPr>
      </w:pPr>
      <w:bookmarkStart w:id="3" w:name="Seif4"/>
      <w:bookmarkEnd w:id="3"/>
      <w:r w:rsidRPr="00B17045">
        <w:rPr>
          <w:rFonts w:cs="Miriam"/>
          <w:lang w:val="he-IL"/>
        </w:rPr>
        <w:pict w14:anchorId="29F08026">
          <v:rect id="_x0000_s1029" style="position:absolute;left:0;text-align:left;margin-left:464.5pt;margin-top:8.05pt;width:75.05pt;height:10pt;z-index:251659264" o:allowincell="f" filled="f" stroked="f" strokecolor="lime" strokeweight=".25pt">
            <v:textbox style="mso-next-textbox:#_x0000_s1029" inset="0,0,0,0">
              <w:txbxContent>
                <w:p w14:paraId="7D70EC96" w14:textId="77777777" w:rsidR="00810315" w:rsidRDefault="00810315">
                  <w:pPr>
                    <w:spacing w:line="160" w:lineRule="exac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sidRPr="00B17045">
        <w:rPr>
          <w:rStyle w:val="big-number"/>
          <w:rFonts w:cs="Miriam"/>
          <w:rtl/>
        </w:rPr>
        <w:t>4</w:t>
      </w:r>
      <w:r w:rsidRPr="00B17045">
        <w:rPr>
          <w:rStyle w:val="default"/>
          <w:rFonts w:cs="FrankRuehl"/>
          <w:rtl/>
        </w:rPr>
        <w:t>.</w:t>
      </w:r>
      <w:r w:rsidRPr="00B17045">
        <w:rPr>
          <w:rStyle w:val="default"/>
          <w:rFonts w:cs="FrankRuehl"/>
          <w:rtl/>
        </w:rPr>
        <w:tab/>
      </w:r>
      <w:r w:rsidRPr="00607C05">
        <w:rPr>
          <w:rStyle w:val="default"/>
          <w:rFonts w:cs="FrankRuehl"/>
          <w:rtl/>
        </w:rPr>
        <w:t>לבקשה שהוגשה טרם פרסומם של כללים אלה יצורפו, תוך 45 ימים מיום פרסומם, כל המסמכים לפי סעיף 2, שלא צורפו לבקשה המקורית.</w:t>
      </w:r>
    </w:p>
    <w:p w14:paraId="0A4027D1" w14:textId="77777777" w:rsidR="00B17045" w:rsidRPr="00607C05" w:rsidRDefault="00B17045">
      <w:pPr>
        <w:pStyle w:val="P00"/>
        <w:spacing w:before="72"/>
        <w:ind w:left="0" w:right="1134"/>
        <w:rPr>
          <w:rStyle w:val="default"/>
          <w:rFonts w:cs="FrankRuehl" w:hint="cs"/>
          <w:rtl/>
        </w:rPr>
      </w:pPr>
    </w:p>
    <w:p w14:paraId="5A442187" w14:textId="77777777" w:rsidR="00810315" w:rsidRPr="00B17045" w:rsidRDefault="00810315">
      <w:pPr>
        <w:pStyle w:val="medium2-header"/>
        <w:keepLines w:val="0"/>
        <w:spacing w:before="72"/>
        <w:ind w:left="0" w:right="1134"/>
        <w:rPr>
          <w:rFonts w:cs="FrankRuehl"/>
          <w:noProof/>
          <w:sz w:val="26"/>
          <w:szCs w:val="26"/>
          <w:rtl/>
        </w:rPr>
      </w:pPr>
      <w:bookmarkStart w:id="4" w:name="med0"/>
      <w:bookmarkEnd w:id="4"/>
      <w:r w:rsidRPr="00B17045">
        <w:rPr>
          <w:rFonts w:cs="FrankRuehl"/>
          <w:noProof/>
          <w:sz w:val="26"/>
          <w:szCs w:val="26"/>
          <w:rtl/>
        </w:rPr>
        <w:t>תו</w:t>
      </w:r>
      <w:r w:rsidR="00B17045" w:rsidRPr="00B17045">
        <w:rPr>
          <w:rFonts w:cs="FrankRuehl" w:hint="cs"/>
          <w:noProof/>
          <w:sz w:val="26"/>
          <w:szCs w:val="26"/>
          <w:rtl/>
        </w:rPr>
        <w:t>ספת</w:t>
      </w:r>
    </w:p>
    <w:p w14:paraId="02C71AC4" w14:textId="77777777" w:rsidR="00810315" w:rsidRPr="00B17045" w:rsidRDefault="00810315">
      <w:pPr>
        <w:pStyle w:val="medium-header"/>
        <w:keepNext w:val="0"/>
        <w:keepLines w:val="0"/>
        <w:ind w:left="0" w:right="1134"/>
        <w:rPr>
          <w:rStyle w:val="default"/>
          <w:rFonts w:cs="FrankRuehl"/>
          <w:sz w:val="24"/>
          <w:szCs w:val="24"/>
          <w:rtl/>
        </w:rPr>
      </w:pPr>
      <w:r w:rsidRPr="00B17045">
        <w:rPr>
          <w:rStyle w:val="default"/>
          <w:rFonts w:cs="FrankRuehl"/>
          <w:sz w:val="24"/>
          <w:szCs w:val="24"/>
          <w:rtl/>
        </w:rPr>
        <w:t>(תקנה 2)</w:t>
      </w:r>
    </w:p>
    <w:p w14:paraId="2B5A7D6A" w14:textId="77777777" w:rsidR="00810315" w:rsidRDefault="00B17045" w:rsidP="00B17045">
      <w:pPr>
        <w:pStyle w:val="P00"/>
        <w:spacing w:before="72"/>
        <w:ind w:left="0" w:right="1134"/>
        <w:rPr>
          <w:rStyle w:val="default"/>
          <w:rFonts w:cs="FrankRuehl" w:hint="cs"/>
          <w:sz w:val="24"/>
          <w:szCs w:val="24"/>
          <w:rtl/>
        </w:rPr>
      </w:pPr>
      <w:r>
        <w:rPr>
          <w:rStyle w:val="default"/>
          <w:rFonts w:cs="FrankRuehl" w:hint="cs"/>
          <w:sz w:val="24"/>
          <w:szCs w:val="24"/>
          <w:rtl/>
        </w:rPr>
        <w:t>[</w:t>
      </w:r>
      <w:hyperlink r:id="rId6" w:history="1">
        <w:r w:rsidRPr="00D856CB">
          <w:rPr>
            <w:rStyle w:val="Hyperlink"/>
            <w:rFonts w:cs="FrankRuehl" w:hint="cs"/>
            <w:sz w:val="24"/>
            <w:szCs w:val="24"/>
            <w:rtl/>
          </w:rPr>
          <w:t>בקשה לאישור הנציב לתכנית פיצול</w:t>
        </w:r>
      </w:hyperlink>
      <w:r>
        <w:rPr>
          <w:rStyle w:val="default"/>
          <w:rFonts w:cs="FrankRuehl" w:hint="cs"/>
          <w:sz w:val="24"/>
          <w:szCs w:val="24"/>
          <w:rtl/>
        </w:rPr>
        <w:t>]</w:t>
      </w:r>
    </w:p>
    <w:p w14:paraId="498A056E" w14:textId="77777777" w:rsidR="00B17045" w:rsidRDefault="00B17045" w:rsidP="00B17045">
      <w:pPr>
        <w:pStyle w:val="P00"/>
        <w:spacing w:before="72"/>
        <w:ind w:left="0" w:right="1134"/>
        <w:rPr>
          <w:rStyle w:val="default"/>
          <w:rFonts w:cs="FrankRuehl" w:hint="cs"/>
          <w:rtl/>
        </w:rPr>
      </w:pPr>
    </w:p>
    <w:p w14:paraId="4EFF2719" w14:textId="77777777" w:rsidR="00B17045" w:rsidRPr="00607C05" w:rsidRDefault="00B17045" w:rsidP="00B17045">
      <w:pPr>
        <w:pStyle w:val="P00"/>
        <w:spacing w:before="72"/>
        <w:ind w:left="0" w:right="1134"/>
        <w:rPr>
          <w:rStyle w:val="default"/>
          <w:rFonts w:cs="FrankRuehl" w:hint="cs"/>
          <w:rtl/>
        </w:rPr>
      </w:pPr>
    </w:p>
    <w:p w14:paraId="2D8BD7A1" w14:textId="77777777" w:rsidR="00810315" w:rsidRPr="00607C05" w:rsidRDefault="00810315">
      <w:pPr>
        <w:pStyle w:val="sig-0"/>
        <w:ind w:left="0" w:right="1134"/>
        <w:rPr>
          <w:rStyle w:val="default"/>
          <w:rFonts w:cs="FrankRuehl"/>
          <w:rtl/>
        </w:rPr>
      </w:pPr>
      <w:r w:rsidRPr="00607C05">
        <w:rPr>
          <w:rStyle w:val="default"/>
          <w:rFonts w:cs="FrankRuehl"/>
          <w:rtl/>
        </w:rPr>
        <w:t>י"א באייר תשנ"ו (30 באפריל 1996)</w:t>
      </w:r>
      <w:r w:rsidRPr="00607C05">
        <w:rPr>
          <w:rStyle w:val="default"/>
          <w:rFonts w:cs="FrankRuehl"/>
          <w:rtl/>
        </w:rPr>
        <w:tab/>
        <w:t>דורון לוי</w:t>
      </w:r>
    </w:p>
    <w:p w14:paraId="68DC0464" w14:textId="77777777" w:rsidR="00810315" w:rsidRDefault="00810315">
      <w:pPr>
        <w:pStyle w:val="sig-1"/>
        <w:widowControl/>
        <w:ind w:left="0" w:right="1134"/>
        <w:rPr>
          <w:rFonts w:cs="FrankRuehl" w:hint="cs"/>
          <w:sz w:val="22"/>
          <w:rtl/>
        </w:rPr>
      </w:pPr>
      <w:r w:rsidRPr="00607C05">
        <w:rPr>
          <w:rFonts w:cs="FrankRuehl"/>
          <w:sz w:val="22"/>
          <w:rtl/>
        </w:rPr>
        <w:tab/>
      </w:r>
      <w:r w:rsidRPr="00607C05">
        <w:rPr>
          <w:rFonts w:cs="FrankRuehl"/>
          <w:sz w:val="22"/>
          <w:rtl/>
        </w:rPr>
        <w:tab/>
      </w:r>
      <w:r w:rsidRPr="00607C05">
        <w:rPr>
          <w:rFonts w:cs="FrankRuehl"/>
          <w:sz w:val="22"/>
          <w:rtl/>
        </w:rPr>
        <w:tab/>
        <w:t>נ</w:t>
      </w:r>
      <w:r w:rsidRPr="00607C05">
        <w:rPr>
          <w:rFonts w:cs="FrankRuehl" w:hint="cs"/>
          <w:sz w:val="22"/>
          <w:rtl/>
        </w:rPr>
        <w:t>ציב מס הכנסה</w:t>
      </w:r>
    </w:p>
    <w:p w14:paraId="5BA1666A" w14:textId="77777777" w:rsidR="00B17045" w:rsidRPr="00B17045" w:rsidRDefault="00B17045" w:rsidP="00B17045">
      <w:pPr>
        <w:pStyle w:val="P00"/>
        <w:spacing w:before="72"/>
        <w:ind w:left="0" w:right="1134"/>
        <w:rPr>
          <w:rStyle w:val="default"/>
          <w:rFonts w:cs="FrankRuehl" w:hint="cs"/>
          <w:rtl/>
        </w:rPr>
      </w:pPr>
    </w:p>
    <w:p w14:paraId="59E2D489" w14:textId="77777777" w:rsidR="00B17045" w:rsidRPr="00B17045" w:rsidRDefault="00B17045" w:rsidP="00B17045">
      <w:pPr>
        <w:pStyle w:val="P00"/>
        <w:spacing w:before="72"/>
        <w:ind w:left="0" w:right="1134"/>
        <w:rPr>
          <w:rStyle w:val="default"/>
          <w:rFonts w:cs="FrankRuehl"/>
          <w:rtl/>
        </w:rPr>
      </w:pPr>
    </w:p>
    <w:p w14:paraId="6E00786A" w14:textId="77777777" w:rsidR="00810315" w:rsidRPr="00B17045" w:rsidRDefault="00810315" w:rsidP="00B17045">
      <w:pPr>
        <w:pStyle w:val="P00"/>
        <w:spacing w:before="72"/>
        <w:ind w:left="0" w:right="1134"/>
        <w:rPr>
          <w:rStyle w:val="default"/>
          <w:rFonts w:cs="FrankRuehl"/>
          <w:rtl/>
        </w:rPr>
      </w:pPr>
      <w:bookmarkStart w:id="5" w:name="LawPartEnd"/>
    </w:p>
    <w:bookmarkEnd w:id="5"/>
    <w:p w14:paraId="231862E3" w14:textId="77777777" w:rsidR="00810315" w:rsidRPr="00B17045" w:rsidRDefault="00810315" w:rsidP="00B17045">
      <w:pPr>
        <w:pStyle w:val="P00"/>
        <w:spacing w:before="72"/>
        <w:ind w:left="0" w:right="1134"/>
        <w:rPr>
          <w:rStyle w:val="default"/>
          <w:rFonts w:cs="FrankRuehl"/>
          <w:rtl/>
        </w:rPr>
      </w:pPr>
    </w:p>
    <w:sectPr w:rsidR="00810315" w:rsidRPr="00B1704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3629" w14:textId="77777777" w:rsidR="006129CE" w:rsidRDefault="006129CE">
      <w:r>
        <w:separator/>
      </w:r>
    </w:p>
  </w:endnote>
  <w:endnote w:type="continuationSeparator" w:id="0">
    <w:p w14:paraId="7DF987C4" w14:textId="77777777" w:rsidR="006129CE" w:rsidRDefault="0061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2EE2" w14:textId="77777777" w:rsidR="00810315" w:rsidRDefault="0081031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367E901C" w14:textId="77777777" w:rsidR="00810315" w:rsidRDefault="0081031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6B4D40" w14:textId="77777777" w:rsidR="00810315" w:rsidRDefault="0081031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1C8F">
      <w:rPr>
        <w:rFonts w:cs="TopType Jerushalmi"/>
        <w:noProof/>
        <w:color w:val="000000"/>
        <w:sz w:val="14"/>
        <w:szCs w:val="14"/>
      </w:rPr>
      <w:t>Z:\000000000000-law\yael\08-10-12\255_245.doc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85C4" w14:textId="77777777" w:rsidR="00810315" w:rsidRDefault="0081031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D856CB">
      <w:rPr>
        <w:rFonts w:hAnsi="FrankRuehl" w:cs="FrankRuehl"/>
        <w:noProof/>
        <w:rtl/>
      </w:rPr>
      <w:t>3</w:t>
    </w:r>
    <w:r>
      <w:rPr>
        <w:rFonts w:hAnsi="FrankRuehl" w:cs="FrankRuehl"/>
        <w:rtl/>
      </w:rPr>
      <w:fldChar w:fldCharType="end"/>
    </w:r>
  </w:p>
  <w:p w14:paraId="18E7A7B7" w14:textId="77777777" w:rsidR="00810315" w:rsidRDefault="0081031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19E689" w14:textId="77777777" w:rsidR="00810315" w:rsidRDefault="0081031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1C8F">
      <w:rPr>
        <w:rFonts w:cs="TopType Jerushalmi"/>
        <w:noProof/>
        <w:color w:val="000000"/>
        <w:sz w:val="14"/>
        <w:szCs w:val="14"/>
      </w:rPr>
      <w:t>Z:\000000000000-law\yael\08-10-12\255_245.doc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F29F" w14:textId="77777777" w:rsidR="006129CE" w:rsidRDefault="006129CE" w:rsidP="00B17045">
      <w:pPr>
        <w:spacing w:before="60"/>
        <w:ind w:right="1134"/>
      </w:pPr>
      <w:r>
        <w:separator/>
      </w:r>
    </w:p>
  </w:footnote>
  <w:footnote w:type="continuationSeparator" w:id="0">
    <w:p w14:paraId="076C5AF2" w14:textId="77777777" w:rsidR="006129CE" w:rsidRDefault="006129CE">
      <w:r>
        <w:continuationSeparator/>
      </w:r>
    </w:p>
  </w:footnote>
  <w:footnote w:id="1">
    <w:p w14:paraId="30DFE501" w14:textId="77777777" w:rsidR="00B17045" w:rsidRPr="00B17045" w:rsidRDefault="00B17045" w:rsidP="00B170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17045">
        <w:rPr>
          <w:rFonts w:cs="FrankRuehl"/>
          <w:rtl/>
        </w:rPr>
        <w:t xml:space="preserve">* </w:t>
      </w:r>
      <w:r w:rsidRPr="00607C05">
        <w:rPr>
          <w:rFonts w:cs="FrankRuehl"/>
          <w:rtl/>
        </w:rPr>
        <w:t>פו</w:t>
      </w:r>
      <w:r w:rsidRPr="00607C05">
        <w:rPr>
          <w:rFonts w:cs="FrankRuehl" w:hint="cs"/>
          <w:rtl/>
        </w:rPr>
        <w:t xml:space="preserve">רסמו </w:t>
      </w:r>
      <w:hyperlink r:id="rId1" w:history="1">
        <w:r w:rsidRPr="00607C05">
          <w:rPr>
            <w:rStyle w:val="Hyperlink"/>
            <w:rFonts w:cs="FrankRuehl" w:hint="cs"/>
            <w:rtl/>
          </w:rPr>
          <w:t>ק"ת תשנ"ו מס' 5749</w:t>
        </w:r>
      </w:hyperlink>
      <w:r w:rsidRPr="00607C05">
        <w:rPr>
          <w:rFonts w:cs="FrankRuehl" w:hint="cs"/>
          <w:rtl/>
        </w:rPr>
        <w:t xml:space="preserve"> מיום 15.5.1996 עמ' 855.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7EDF" w14:textId="77777777" w:rsidR="00810315" w:rsidRDefault="008103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(בקשה לאישור מראש לתכנית פיצול), תשנ"ו–1996</w:t>
    </w:r>
  </w:p>
  <w:p w14:paraId="1652F533" w14:textId="77777777" w:rsidR="00810315" w:rsidRDefault="008103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95643F" w14:textId="77777777" w:rsidR="00810315" w:rsidRDefault="008103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3743" w14:textId="77777777" w:rsidR="00810315" w:rsidRDefault="00810315" w:rsidP="00B1704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(בקשה לאישור מראש לתכנית פיצול), תשנ"ו</w:t>
    </w:r>
    <w:r w:rsidR="00B17045">
      <w:rPr>
        <w:rFonts w:hAnsi="FrankRuehl" w:cs="FrankRuehl" w:hint="cs"/>
        <w:color w:val="000000"/>
        <w:sz w:val="28"/>
        <w:szCs w:val="28"/>
        <w:rtl/>
      </w:rPr>
      <w:t>-</w:t>
    </w:r>
    <w:r>
      <w:rPr>
        <w:rFonts w:hAnsi="FrankRuehl" w:cs="FrankRuehl"/>
        <w:color w:val="000000"/>
        <w:sz w:val="28"/>
        <w:szCs w:val="28"/>
        <w:rtl/>
      </w:rPr>
      <w:t>1996</w:t>
    </w:r>
  </w:p>
  <w:p w14:paraId="002ABF0A" w14:textId="77777777" w:rsidR="00810315" w:rsidRDefault="008103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EF90DE" w14:textId="77777777" w:rsidR="00810315" w:rsidRDefault="0081031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C05"/>
    <w:rsid w:val="004E73AF"/>
    <w:rsid w:val="006001FC"/>
    <w:rsid w:val="00607C05"/>
    <w:rsid w:val="006129CE"/>
    <w:rsid w:val="00810315"/>
    <w:rsid w:val="008F05F9"/>
    <w:rsid w:val="00934BB4"/>
    <w:rsid w:val="00A83EE0"/>
    <w:rsid w:val="00B17045"/>
    <w:rsid w:val="00C0663B"/>
    <w:rsid w:val="00CB1C8F"/>
    <w:rsid w:val="00CF63C6"/>
    <w:rsid w:val="00D856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B1D915"/>
  <w15:chartTrackingRefBased/>
  <w15:docId w15:val="{2A67F226-D4BD-46C7-B943-4B545C27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B17045"/>
    <w:rPr>
      <w:sz w:val="20"/>
      <w:szCs w:val="20"/>
    </w:rPr>
  </w:style>
  <w:style w:type="character" w:styleId="a6">
    <w:name w:val="footnote reference"/>
    <w:basedOn w:val="a0"/>
    <w:semiHidden/>
    <w:rsid w:val="00B170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502;&#1505;%20&#1492;&#1499;&#1504;&#1505;&#1492;/&#1502;&#1497;&#1505;&#1493;&#1497;%20&#1502;&#1497;&#1494;&#1493;&#1490;&#1497;&#1501;%20&#1493;&#1508;&#1497;&#1510;&#1493;&#1500;&#1497;&#1501;/&#1489;&#1511;&#1513;&#1492;%20&#1500;&#1488;&#1497;&#1513;&#1493;&#1512;%20&#1492;&#1504;&#1510;&#1497;&#1489;%20&#1500;&#1514;&#1499;&#1504;&#1497;&#1514;%20&#1508;&#1497;&#1510;&#1493;&#15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7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3453</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4050</CharactersWithSpaces>
  <SharedDoc>false</SharedDoc>
  <HLinks>
    <vt:vector size="42" baseType="variant">
      <vt:variant>
        <vt:i4>4064701</vt:i4>
      </vt:variant>
      <vt:variant>
        <vt:i4>30</vt:i4>
      </vt:variant>
      <vt:variant>
        <vt:i4>0</vt:i4>
      </vt:variant>
      <vt:variant>
        <vt:i4>5</vt:i4>
      </vt:variant>
      <vt:variant>
        <vt:lpwstr>http://www.nevo.co.il/TFASIM/טפסים משפטיים/מס הכנסה/מיסוי מיזוגים ופיצולים/בקשה לאישור הנציב לתכנית פיצול.DOC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7864326</vt:i4>
      </vt:variant>
      <vt:variant>
        <vt:i4>0</vt:i4>
      </vt:variant>
      <vt:variant>
        <vt:i4>0</vt:i4>
      </vt:variant>
      <vt:variant>
        <vt:i4>5</vt:i4>
      </vt:variant>
      <vt:variant>
        <vt:lpwstr>http://www.nevo.co.il/Law_word/law06/TAK-5749.pdf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(בקשה לאישור מראש לתכנית פיצול), תשנ"ו-1996</vt:lpwstr>
  </property>
  <property fmtid="{D5CDD505-2E9C-101B-9397-08002B2CF9AE}" pid="5" name="LAWNUMBER">
    <vt:lpwstr>0245</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103טXגX;105חX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חברות</vt:lpwstr>
  </property>
  <property fmtid="{D5CDD505-2E9C-101B-9397-08002B2CF9AE}" pid="12" name="NOSE41">
    <vt:lpwstr>פיצול</vt:lpwstr>
  </property>
  <property fmtid="{D5CDD505-2E9C-101B-9397-08002B2CF9AE}" pid="13" name="NOSE12">
    <vt:lpwstr>משפט פרטי וכלכלה</vt:lpwstr>
  </property>
  <property fmtid="{D5CDD505-2E9C-101B-9397-08002B2CF9AE}" pid="14" name="NOSE22">
    <vt:lpwstr>תאגידים וניירות ערך</vt:lpwstr>
  </property>
  <property fmtid="{D5CDD505-2E9C-101B-9397-08002B2CF9AE}" pid="15" name="NOSE32">
    <vt:lpwstr>חברות</vt:lpwstr>
  </property>
  <property fmtid="{D5CDD505-2E9C-101B-9397-08002B2CF9AE}" pid="16" name="NOSE42">
    <vt:lpwstr>פיצול</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