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3CBC" w:rsidRDefault="00413CBC" w:rsidP="00FB5AD7">
      <w:pPr>
        <w:pStyle w:val="big-header"/>
        <w:ind w:left="0" w:right="1134"/>
        <w:rPr>
          <w:rFonts w:cs="FrankRuehl" w:hint="cs"/>
          <w:sz w:val="32"/>
          <w:rtl/>
        </w:rPr>
      </w:pPr>
      <w:r>
        <w:rPr>
          <w:rFonts w:cs="FrankRuehl"/>
          <w:sz w:val="32"/>
          <w:rtl/>
        </w:rPr>
        <w:t>כללי מס הכנסה (הוראות בדבר העברת כספים מקרן השתלמות אחת לקרן השתלמות אחרת), תשנ"א</w:t>
      </w:r>
      <w:r w:rsidR="00FB5AD7">
        <w:rPr>
          <w:rFonts w:cs="FrankRuehl" w:hint="cs"/>
          <w:sz w:val="32"/>
          <w:rtl/>
        </w:rPr>
        <w:t>-</w:t>
      </w:r>
      <w:r>
        <w:rPr>
          <w:rFonts w:cs="FrankRuehl"/>
          <w:sz w:val="32"/>
          <w:rtl/>
        </w:rPr>
        <w:t>1991</w:t>
      </w:r>
    </w:p>
    <w:p w:rsidR="00E61104" w:rsidRPr="00E61104" w:rsidRDefault="00E61104" w:rsidP="00E61104">
      <w:pPr>
        <w:spacing w:line="320" w:lineRule="auto"/>
        <w:rPr>
          <w:rFonts w:cs="FrankRuehl"/>
          <w:szCs w:val="26"/>
          <w:rtl/>
        </w:rPr>
      </w:pPr>
    </w:p>
    <w:p w:rsidR="00E61104" w:rsidRDefault="00E61104" w:rsidP="00E61104">
      <w:pPr>
        <w:spacing w:line="320" w:lineRule="auto"/>
        <w:rPr>
          <w:rtl/>
        </w:rPr>
      </w:pPr>
    </w:p>
    <w:p w:rsidR="00E61104" w:rsidRDefault="00E61104" w:rsidP="00E61104">
      <w:pPr>
        <w:spacing w:line="320" w:lineRule="auto"/>
        <w:rPr>
          <w:rFonts w:cs="FrankRuehl"/>
          <w:szCs w:val="26"/>
          <w:rtl/>
        </w:rPr>
      </w:pPr>
      <w:r w:rsidRPr="00E61104">
        <w:rPr>
          <w:rFonts w:cs="Miriam"/>
          <w:szCs w:val="22"/>
          <w:rtl/>
        </w:rPr>
        <w:t>משפט פרטי וכלכלה</w:t>
      </w:r>
      <w:r w:rsidRPr="00E61104">
        <w:rPr>
          <w:rFonts w:cs="FrankRuehl"/>
          <w:szCs w:val="26"/>
          <w:rtl/>
        </w:rPr>
        <w:t xml:space="preserve"> – כספים</w:t>
      </w:r>
    </w:p>
    <w:p w:rsidR="00E61104" w:rsidRPr="00E61104" w:rsidRDefault="00E61104" w:rsidP="00E61104">
      <w:pPr>
        <w:spacing w:line="320" w:lineRule="auto"/>
        <w:rPr>
          <w:rFonts w:cs="Miriam" w:hint="cs"/>
          <w:szCs w:val="22"/>
          <w:rtl/>
        </w:rPr>
      </w:pPr>
      <w:r w:rsidRPr="00E61104">
        <w:rPr>
          <w:rFonts w:cs="Miriam"/>
          <w:szCs w:val="22"/>
          <w:rtl/>
        </w:rPr>
        <w:t>מסים</w:t>
      </w:r>
      <w:r w:rsidRPr="00E61104">
        <w:rPr>
          <w:rFonts w:cs="FrankRuehl"/>
          <w:szCs w:val="26"/>
          <w:rtl/>
        </w:rPr>
        <w:t xml:space="preserve"> – מס הכנסה – קרן השתלמות</w:t>
      </w:r>
    </w:p>
    <w:p w:rsidR="00413CBC" w:rsidRDefault="00413CBC">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40892" w:rsidRPr="00140892">
        <w:tblPrEx>
          <w:tblCellMar>
            <w:top w:w="0" w:type="dxa"/>
            <w:bottom w:w="0" w:type="dxa"/>
          </w:tblCellMar>
        </w:tblPrEx>
        <w:tc>
          <w:tcPr>
            <w:tcW w:w="1247" w:type="dxa"/>
          </w:tcPr>
          <w:p w:rsidR="00140892" w:rsidRPr="00140892" w:rsidRDefault="00140892" w:rsidP="00140892">
            <w:pPr>
              <w:rPr>
                <w:rFonts w:cs="Frankruhel"/>
                <w:rtl/>
              </w:rPr>
            </w:pPr>
            <w:r>
              <w:rPr>
                <w:rtl/>
              </w:rPr>
              <w:t xml:space="preserve">סעיף 1 </w:t>
            </w:r>
          </w:p>
        </w:tc>
        <w:tc>
          <w:tcPr>
            <w:tcW w:w="5669" w:type="dxa"/>
          </w:tcPr>
          <w:p w:rsidR="00140892" w:rsidRPr="00140892" w:rsidRDefault="00140892" w:rsidP="00140892">
            <w:pPr>
              <w:rPr>
                <w:rFonts w:cs="Frankruhel"/>
                <w:rtl/>
              </w:rPr>
            </w:pPr>
            <w:r>
              <w:rPr>
                <w:rtl/>
              </w:rPr>
              <w:t>העברת כספים בין קרנות השתלמות</w:t>
            </w:r>
          </w:p>
        </w:tc>
        <w:tc>
          <w:tcPr>
            <w:tcW w:w="567" w:type="dxa"/>
          </w:tcPr>
          <w:p w:rsidR="00140892" w:rsidRPr="00140892" w:rsidRDefault="00140892" w:rsidP="00140892">
            <w:pPr>
              <w:rPr>
                <w:rStyle w:val="Hyperlink"/>
                <w:rtl/>
              </w:rPr>
            </w:pPr>
            <w:hyperlink w:anchor="Seif1" w:tooltip="העברת כספים בין קרנות השתלמות" w:history="1">
              <w:r w:rsidRPr="00140892">
                <w:rPr>
                  <w:rStyle w:val="Hyperlink"/>
                </w:rPr>
                <w:t>Go</w:t>
              </w:r>
            </w:hyperlink>
          </w:p>
        </w:tc>
        <w:tc>
          <w:tcPr>
            <w:tcW w:w="850" w:type="dxa"/>
          </w:tcPr>
          <w:p w:rsidR="00140892" w:rsidRPr="00140892" w:rsidRDefault="00140892" w:rsidP="001408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140892" w:rsidRPr="00140892">
        <w:tblPrEx>
          <w:tblCellMar>
            <w:top w:w="0" w:type="dxa"/>
            <w:bottom w:w="0" w:type="dxa"/>
          </w:tblCellMar>
        </w:tblPrEx>
        <w:tc>
          <w:tcPr>
            <w:tcW w:w="1247" w:type="dxa"/>
          </w:tcPr>
          <w:p w:rsidR="00140892" w:rsidRPr="00140892" w:rsidRDefault="00140892" w:rsidP="00140892">
            <w:pPr>
              <w:rPr>
                <w:rFonts w:cs="Frankruhel"/>
                <w:rtl/>
              </w:rPr>
            </w:pPr>
            <w:r>
              <w:rPr>
                <w:rtl/>
              </w:rPr>
              <w:t xml:space="preserve">סעיף 2 </w:t>
            </w:r>
          </w:p>
        </w:tc>
        <w:tc>
          <w:tcPr>
            <w:tcW w:w="5669" w:type="dxa"/>
          </w:tcPr>
          <w:p w:rsidR="00140892" w:rsidRPr="00140892" w:rsidRDefault="00140892" w:rsidP="00140892">
            <w:pPr>
              <w:rPr>
                <w:rFonts w:cs="Frankruhel"/>
                <w:rtl/>
              </w:rPr>
            </w:pPr>
            <w:r>
              <w:rPr>
                <w:rtl/>
              </w:rPr>
              <w:t>תחולה</w:t>
            </w:r>
          </w:p>
        </w:tc>
        <w:tc>
          <w:tcPr>
            <w:tcW w:w="567" w:type="dxa"/>
          </w:tcPr>
          <w:p w:rsidR="00140892" w:rsidRPr="00140892" w:rsidRDefault="00140892" w:rsidP="00140892">
            <w:pPr>
              <w:rPr>
                <w:rStyle w:val="Hyperlink"/>
                <w:rtl/>
              </w:rPr>
            </w:pPr>
            <w:hyperlink w:anchor="Seif2" w:tooltip="תחולה" w:history="1">
              <w:r w:rsidRPr="00140892">
                <w:rPr>
                  <w:rStyle w:val="Hyperlink"/>
                </w:rPr>
                <w:t>Go</w:t>
              </w:r>
            </w:hyperlink>
          </w:p>
        </w:tc>
        <w:tc>
          <w:tcPr>
            <w:tcW w:w="850" w:type="dxa"/>
          </w:tcPr>
          <w:p w:rsidR="00140892" w:rsidRPr="00140892" w:rsidRDefault="00140892" w:rsidP="001408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bl>
    <w:p w:rsidR="00413CBC" w:rsidRDefault="00413CBC">
      <w:pPr>
        <w:pStyle w:val="big-header"/>
        <w:ind w:left="0" w:right="1134"/>
        <w:rPr>
          <w:rFonts w:cs="FrankRuehl"/>
          <w:sz w:val="32"/>
          <w:rtl/>
        </w:rPr>
      </w:pPr>
    </w:p>
    <w:p w:rsidR="00413CBC" w:rsidRDefault="00413CBC" w:rsidP="00E61104">
      <w:pPr>
        <w:pStyle w:val="big-header"/>
        <w:ind w:left="0" w:right="1134"/>
        <w:rPr>
          <w:rStyle w:val="default"/>
          <w:rFonts w:hint="cs"/>
          <w:rtl/>
        </w:rPr>
      </w:pPr>
      <w:r>
        <w:rPr>
          <w:rtl/>
        </w:rPr>
        <w:br w:type="page"/>
      </w:r>
      <w:r>
        <w:rPr>
          <w:rFonts w:cs="FrankRuehl"/>
          <w:sz w:val="32"/>
          <w:rtl/>
        </w:rPr>
        <w:lastRenderedPageBreak/>
        <w:t>כל</w:t>
      </w:r>
      <w:r>
        <w:rPr>
          <w:rFonts w:cs="FrankRuehl" w:hint="cs"/>
          <w:sz w:val="32"/>
          <w:rtl/>
        </w:rPr>
        <w:t>לי מס הכנסה (הוראות בדבר העברת כספים מקרן השתלמות אחת לקרן השתלמות אחרת), תשנ"א</w:t>
      </w:r>
      <w:r w:rsidR="00FB5AD7">
        <w:rPr>
          <w:rFonts w:cs="FrankRuehl" w:hint="cs"/>
          <w:sz w:val="32"/>
          <w:rtl/>
        </w:rPr>
        <w:t>-</w:t>
      </w:r>
      <w:r>
        <w:rPr>
          <w:rFonts w:cs="FrankRuehl"/>
          <w:sz w:val="32"/>
          <w:rtl/>
        </w:rPr>
        <w:t>1991</w:t>
      </w:r>
      <w:r w:rsidR="00FB5AD7">
        <w:rPr>
          <w:rStyle w:val="a6"/>
          <w:rFonts w:cs="FrankRuehl"/>
          <w:sz w:val="32"/>
          <w:rtl/>
        </w:rPr>
        <w:footnoteReference w:customMarkFollows="1" w:id="1"/>
        <w:t>*</w:t>
      </w:r>
    </w:p>
    <w:p w:rsidR="00413CBC" w:rsidRPr="00FB5AD7" w:rsidRDefault="00413CBC" w:rsidP="00FB5AD7">
      <w:pPr>
        <w:pStyle w:val="P00"/>
        <w:spacing w:before="72"/>
        <w:ind w:left="0" w:right="1134"/>
        <w:rPr>
          <w:rStyle w:val="default"/>
          <w:rFonts w:cs="FrankRuehl"/>
          <w:rtl/>
        </w:rPr>
      </w:pPr>
      <w:r w:rsidRPr="00FB5AD7">
        <w:rPr>
          <w:rFonts w:cs="FrankRuehl"/>
          <w:sz w:val="26"/>
          <w:rtl/>
        </w:rPr>
        <w:tab/>
      </w:r>
      <w:r w:rsidRPr="00FB5AD7">
        <w:rPr>
          <w:rStyle w:val="default"/>
          <w:rFonts w:cs="FrankRuehl"/>
          <w:rtl/>
        </w:rPr>
        <w:t>בתוקף סמכותי לפי סעיף 2(א)(7) לכללי מס הכנסה (פטור ממס בשל העברה ושינוי יעוד של כספים בקופות גמל), תש"ן</w:t>
      </w:r>
      <w:r w:rsidR="00FB5AD7">
        <w:rPr>
          <w:rStyle w:val="default"/>
          <w:rFonts w:cs="FrankRuehl" w:hint="cs"/>
          <w:rtl/>
        </w:rPr>
        <w:t>-</w:t>
      </w:r>
      <w:r w:rsidRPr="00FB5AD7">
        <w:rPr>
          <w:rStyle w:val="default"/>
          <w:rFonts w:cs="FrankRuehl"/>
          <w:rtl/>
        </w:rPr>
        <w:t>1990, אני קובע כללים אלה:</w:t>
      </w:r>
    </w:p>
    <w:p w:rsidR="00413CBC" w:rsidRPr="00FB5AD7" w:rsidRDefault="00413CBC">
      <w:pPr>
        <w:pStyle w:val="P00"/>
        <w:spacing w:before="72"/>
        <w:ind w:left="0" w:right="1134"/>
        <w:rPr>
          <w:rStyle w:val="default"/>
          <w:rFonts w:cs="FrankRuehl"/>
          <w:rtl/>
        </w:rPr>
      </w:pPr>
      <w:bookmarkStart w:id="0" w:name="Seif1"/>
      <w:bookmarkEnd w:id="0"/>
      <w:r w:rsidRPr="00FB5AD7">
        <w:rPr>
          <w:rFonts w:cs="Miriam"/>
          <w:lang w:val="he-IL"/>
        </w:rPr>
        <w:pict>
          <v:rect id="_x0000_s1026" style="position:absolute;left:0;text-align:left;margin-left:464.5pt;margin-top:8.05pt;width:75.05pt;height:24pt;z-index:251657216" o:allowincell="f" filled="f" stroked="f" strokecolor="lime" strokeweight=".25pt">
            <v:textbox inset="0,0,0,0">
              <w:txbxContent>
                <w:p w:rsidR="00413CBC" w:rsidRDefault="00413CBC" w:rsidP="00FB5AD7">
                  <w:pPr>
                    <w:spacing w:line="160" w:lineRule="exact"/>
                    <w:rPr>
                      <w:rFonts w:cs="Miriam"/>
                      <w:noProof/>
                      <w:sz w:val="18"/>
                      <w:szCs w:val="18"/>
                      <w:rtl/>
                    </w:rPr>
                  </w:pPr>
                  <w:r>
                    <w:rPr>
                      <w:rFonts w:cs="Miriam"/>
                      <w:sz w:val="18"/>
                      <w:szCs w:val="18"/>
                      <w:rtl/>
                    </w:rPr>
                    <w:t>הע</w:t>
                  </w:r>
                  <w:r>
                    <w:rPr>
                      <w:rFonts w:cs="Miriam" w:hint="cs"/>
                      <w:sz w:val="18"/>
                      <w:szCs w:val="18"/>
                      <w:rtl/>
                    </w:rPr>
                    <w:t>ברת כספים</w:t>
                  </w:r>
                  <w:r w:rsidR="00FB5AD7">
                    <w:rPr>
                      <w:rFonts w:cs="Miriam" w:hint="cs"/>
                      <w:sz w:val="18"/>
                      <w:szCs w:val="18"/>
                      <w:rtl/>
                    </w:rPr>
                    <w:t xml:space="preserve"> </w:t>
                  </w:r>
                  <w:r>
                    <w:rPr>
                      <w:rFonts w:cs="Miriam"/>
                      <w:sz w:val="18"/>
                      <w:szCs w:val="18"/>
                      <w:rtl/>
                    </w:rPr>
                    <w:t>בי</w:t>
                  </w:r>
                  <w:r>
                    <w:rPr>
                      <w:rFonts w:cs="Miriam" w:hint="cs"/>
                      <w:sz w:val="18"/>
                      <w:szCs w:val="18"/>
                      <w:rtl/>
                    </w:rPr>
                    <w:t>ן קרנות</w:t>
                  </w:r>
                  <w:r w:rsidR="00FB5AD7">
                    <w:rPr>
                      <w:rFonts w:cs="Miriam" w:hint="cs"/>
                      <w:noProof/>
                      <w:sz w:val="18"/>
                      <w:szCs w:val="18"/>
                      <w:rtl/>
                    </w:rPr>
                    <w:t xml:space="preserve"> </w:t>
                  </w:r>
                  <w:r>
                    <w:rPr>
                      <w:rFonts w:cs="Miriam"/>
                      <w:sz w:val="18"/>
                      <w:szCs w:val="18"/>
                      <w:rtl/>
                    </w:rPr>
                    <w:t>הש</w:t>
                  </w:r>
                  <w:r>
                    <w:rPr>
                      <w:rFonts w:cs="Miriam" w:hint="cs"/>
                      <w:sz w:val="18"/>
                      <w:szCs w:val="18"/>
                      <w:rtl/>
                    </w:rPr>
                    <w:t>תלמות</w:t>
                  </w:r>
                </w:p>
              </w:txbxContent>
            </v:textbox>
            <w10:anchorlock/>
          </v:rect>
        </w:pict>
      </w:r>
      <w:r w:rsidRPr="00FB5AD7">
        <w:rPr>
          <w:rStyle w:val="big-number"/>
          <w:rFonts w:cs="Miriam"/>
          <w:rtl/>
        </w:rPr>
        <w:t>1</w:t>
      </w:r>
      <w:r w:rsidRPr="00FB5AD7">
        <w:rPr>
          <w:rStyle w:val="default"/>
          <w:rFonts w:cs="FrankRuehl"/>
          <w:rtl/>
        </w:rPr>
        <w:t>.</w:t>
      </w:r>
      <w:r w:rsidRPr="00FB5AD7">
        <w:rPr>
          <w:rStyle w:val="default"/>
          <w:rFonts w:cs="FrankRuehl"/>
          <w:rtl/>
        </w:rPr>
        <w:tab/>
        <w:t>העביר מעביד סכומים מקרן השתלמות אחת לקרן השתלמות אחרת, תהא ההעברה פטורה ממס אם הוכח להנחת דעת נציב מס הכנסה כי תנאי הפרשת הכספים והתנאים לפטור בעת משיכת הכספים, בקרן אשר הכספים הועברו אליה, אין בהם כדי להיטיב לעומת התנאים בקרן שממנה הועברו הכספים.</w:t>
      </w:r>
    </w:p>
    <w:p w:rsidR="00413CBC" w:rsidRPr="00FB5AD7" w:rsidRDefault="00413CBC">
      <w:pPr>
        <w:pStyle w:val="P00"/>
        <w:spacing w:before="72"/>
        <w:ind w:left="0" w:right="1134"/>
        <w:rPr>
          <w:rStyle w:val="default"/>
          <w:rFonts w:cs="FrankRuehl"/>
          <w:rtl/>
        </w:rPr>
      </w:pPr>
      <w:bookmarkStart w:id="1" w:name="Seif2"/>
      <w:bookmarkEnd w:id="1"/>
      <w:r w:rsidRPr="00FB5AD7">
        <w:rPr>
          <w:rFonts w:cs="Miriam"/>
          <w:lang w:val="he-IL"/>
        </w:rPr>
        <w:pict>
          <v:rect id="_x0000_s1027" style="position:absolute;left:0;text-align:left;margin-left:464.5pt;margin-top:8.05pt;width:75.05pt;height:15.45pt;z-index:251658240" o:allowincell="f" filled="f" stroked="f" strokecolor="lime" strokeweight=".25pt">
            <v:textbox inset="0,0,0,0">
              <w:txbxContent>
                <w:p w:rsidR="00413CBC" w:rsidRDefault="00413CBC">
                  <w:pPr>
                    <w:spacing w:line="160" w:lineRule="exac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sidRPr="00FB5AD7">
        <w:rPr>
          <w:rStyle w:val="big-number"/>
          <w:rFonts w:cs="Miriam"/>
          <w:rtl/>
        </w:rPr>
        <w:t>2</w:t>
      </w:r>
      <w:r w:rsidRPr="00FB5AD7">
        <w:rPr>
          <w:rStyle w:val="default"/>
          <w:rFonts w:cs="FrankRuehl"/>
          <w:rtl/>
        </w:rPr>
        <w:t>.</w:t>
      </w:r>
      <w:r w:rsidRPr="00FB5AD7">
        <w:rPr>
          <w:rStyle w:val="default"/>
          <w:rFonts w:cs="FrankRuehl"/>
          <w:rtl/>
        </w:rPr>
        <w:tab/>
        <w:t>תחולתו של סעיף 1 לגבי העברות שבוצעו בשנת המס 1991 או לאחר מכן.</w:t>
      </w:r>
    </w:p>
    <w:p w:rsidR="00413CBC" w:rsidRDefault="00413CBC">
      <w:pPr>
        <w:pStyle w:val="P00"/>
        <w:spacing w:before="72"/>
        <w:ind w:left="0" w:right="1134"/>
        <w:rPr>
          <w:rStyle w:val="default"/>
          <w:rFonts w:cs="FrankRuehl" w:hint="cs"/>
          <w:rtl/>
        </w:rPr>
      </w:pPr>
    </w:p>
    <w:p w:rsidR="00FB5AD7" w:rsidRPr="00FB5AD7" w:rsidRDefault="00FB5AD7">
      <w:pPr>
        <w:pStyle w:val="P00"/>
        <w:spacing w:before="72"/>
        <w:ind w:left="0" w:right="1134"/>
        <w:rPr>
          <w:rStyle w:val="default"/>
          <w:rFonts w:cs="FrankRuehl" w:hint="cs"/>
          <w:rtl/>
        </w:rPr>
      </w:pPr>
    </w:p>
    <w:p w:rsidR="00413CBC" w:rsidRDefault="00413CBC">
      <w:pPr>
        <w:pStyle w:val="sig-0"/>
        <w:ind w:left="0" w:right="1134"/>
        <w:rPr>
          <w:rFonts w:cs="FrankRuehl"/>
          <w:sz w:val="26"/>
          <w:rtl/>
        </w:rPr>
      </w:pPr>
      <w:r>
        <w:rPr>
          <w:rFonts w:cs="FrankRuehl"/>
          <w:sz w:val="26"/>
          <w:rtl/>
        </w:rPr>
        <w:t>י"</w:t>
      </w:r>
      <w:r>
        <w:rPr>
          <w:rFonts w:cs="FrankRuehl" w:hint="cs"/>
          <w:sz w:val="26"/>
          <w:rtl/>
        </w:rPr>
        <w:t>ג בסיון תשנ"א (26 במאי 1991)</w:t>
      </w:r>
      <w:r>
        <w:rPr>
          <w:rFonts w:cs="FrankRuehl"/>
          <w:sz w:val="26"/>
          <w:rtl/>
        </w:rPr>
        <w:tab/>
        <w:t>מ</w:t>
      </w:r>
      <w:r>
        <w:rPr>
          <w:rFonts w:cs="FrankRuehl" w:hint="cs"/>
          <w:sz w:val="26"/>
          <w:rtl/>
        </w:rPr>
        <w:t>שה גביש</w:t>
      </w:r>
    </w:p>
    <w:p w:rsidR="00413CBC" w:rsidRDefault="00413CBC">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נ</w:t>
      </w:r>
      <w:r>
        <w:rPr>
          <w:rFonts w:cs="FrankRuehl" w:hint="cs"/>
          <w:sz w:val="22"/>
          <w:rtl/>
        </w:rPr>
        <w:t>ציב מס הכנסה</w:t>
      </w:r>
    </w:p>
    <w:p w:rsidR="00413CBC" w:rsidRPr="00FB5AD7" w:rsidRDefault="00413CBC" w:rsidP="00FB5AD7">
      <w:pPr>
        <w:pStyle w:val="P00"/>
        <w:spacing w:before="72"/>
        <w:ind w:left="0" w:right="1134"/>
        <w:rPr>
          <w:rStyle w:val="default"/>
          <w:rFonts w:cs="FrankRuehl"/>
          <w:rtl/>
        </w:rPr>
      </w:pPr>
    </w:p>
    <w:p w:rsidR="00413CBC" w:rsidRPr="00FB5AD7" w:rsidRDefault="00413CBC" w:rsidP="00FB5AD7">
      <w:pPr>
        <w:pStyle w:val="P00"/>
        <w:spacing w:before="72"/>
        <w:ind w:left="0" w:right="1134"/>
        <w:rPr>
          <w:rStyle w:val="default"/>
          <w:rFonts w:cs="FrankRuehl"/>
          <w:rtl/>
        </w:rPr>
      </w:pPr>
    </w:p>
    <w:p w:rsidR="00413CBC" w:rsidRPr="00FB5AD7" w:rsidRDefault="00413CBC" w:rsidP="00FB5AD7">
      <w:pPr>
        <w:pStyle w:val="P00"/>
        <w:spacing w:before="72"/>
        <w:ind w:left="0" w:right="1134"/>
        <w:rPr>
          <w:rStyle w:val="default"/>
          <w:rFonts w:cs="FrankRuehl"/>
          <w:rtl/>
        </w:rPr>
      </w:pPr>
      <w:bookmarkStart w:id="2" w:name="LawPartEnd"/>
    </w:p>
    <w:bookmarkEnd w:id="2"/>
    <w:p w:rsidR="00413CBC" w:rsidRPr="00FB5AD7" w:rsidRDefault="00413CBC" w:rsidP="00FB5AD7">
      <w:pPr>
        <w:pStyle w:val="P00"/>
        <w:spacing w:before="72"/>
        <w:ind w:left="0" w:right="1134"/>
        <w:rPr>
          <w:rStyle w:val="default"/>
          <w:rFonts w:cs="FrankRuehl"/>
          <w:rtl/>
        </w:rPr>
      </w:pPr>
    </w:p>
    <w:sectPr w:rsidR="00413CBC" w:rsidRPr="00FB5AD7">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C39A3" w:rsidRDefault="007C39A3">
      <w:r>
        <w:separator/>
      </w:r>
    </w:p>
  </w:endnote>
  <w:endnote w:type="continuationSeparator" w:id="0">
    <w:p w:rsidR="007C39A3" w:rsidRDefault="007C3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3CBC" w:rsidRDefault="00413CBC">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rsidR="00413CBC" w:rsidRDefault="00413CBC">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13CBC" w:rsidRDefault="00413CBC">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40892">
      <w:rPr>
        <w:rFonts w:cs="TopType Jerushalmi"/>
        <w:noProof/>
        <w:color w:val="000000"/>
        <w:sz w:val="14"/>
        <w:szCs w:val="14"/>
      </w:rPr>
      <w:t>Z:\000000000000-law\yael\08-10-12\255_225.doc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3CBC" w:rsidRDefault="00413CBC">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E61104">
      <w:rPr>
        <w:rFonts w:hAnsi="FrankRuehl" w:cs="FrankRuehl"/>
        <w:noProof/>
        <w:rtl/>
      </w:rPr>
      <w:t>2</w:t>
    </w:r>
    <w:r>
      <w:rPr>
        <w:rFonts w:hAnsi="FrankRuehl" w:cs="FrankRuehl"/>
        <w:rtl/>
      </w:rPr>
      <w:fldChar w:fldCharType="end"/>
    </w:r>
  </w:p>
  <w:p w:rsidR="00413CBC" w:rsidRDefault="00413CBC">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13CBC" w:rsidRDefault="00413CBC">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40892">
      <w:rPr>
        <w:rFonts w:cs="TopType Jerushalmi"/>
        <w:noProof/>
        <w:color w:val="000000"/>
        <w:sz w:val="14"/>
        <w:szCs w:val="14"/>
      </w:rPr>
      <w:t>Z:\000000000000-law\yael\08-10-12\255_225.doc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C39A3" w:rsidRDefault="007C39A3" w:rsidP="00FB5AD7">
      <w:pPr>
        <w:spacing w:before="60"/>
        <w:ind w:right="1134"/>
      </w:pPr>
      <w:r>
        <w:separator/>
      </w:r>
    </w:p>
  </w:footnote>
  <w:footnote w:type="continuationSeparator" w:id="0">
    <w:p w:rsidR="007C39A3" w:rsidRDefault="007C39A3">
      <w:r>
        <w:continuationSeparator/>
      </w:r>
    </w:p>
  </w:footnote>
  <w:footnote w:id="1">
    <w:p w:rsidR="00FB5AD7" w:rsidRPr="00FB5AD7" w:rsidRDefault="00FB5AD7" w:rsidP="00FB5A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FB5AD7">
        <w:rPr>
          <w:rFonts w:cs="FrankRuehl"/>
          <w:rtl/>
        </w:rPr>
        <w:t xml:space="preserve">* </w:t>
      </w:r>
      <w:r>
        <w:rPr>
          <w:rFonts w:cs="FrankRuehl"/>
          <w:rtl/>
        </w:rPr>
        <w:t>פו</w:t>
      </w:r>
      <w:r>
        <w:rPr>
          <w:rFonts w:cs="FrankRuehl" w:hint="cs"/>
          <w:rtl/>
        </w:rPr>
        <w:t>רס</w:t>
      </w:r>
      <w:r>
        <w:rPr>
          <w:rFonts w:cs="FrankRuehl"/>
          <w:rtl/>
        </w:rPr>
        <w:t>מו</w:t>
      </w:r>
      <w:r>
        <w:rPr>
          <w:rFonts w:cs="FrankRuehl" w:hint="cs"/>
          <w:rtl/>
        </w:rPr>
        <w:t xml:space="preserve"> </w:t>
      </w:r>
      <w:hyperlink r:id="rId1" w:history="1">
        <w:r w:rsidRPr="00A659DA">
          <w:rPr>
            <w:rStyle w:val="Hyperlink"/>
            <w:rFonts w:cs="FrankRuehl" w:hint="cs"/>
            <w:rtl/>
          </w:rPr>
          <w:t>ק"ת תשנ"א מס' 5361</w:t>
        </w:r>
      </w:hyperlink>
      <w:r>
        <w:rPr>
          <w:rFonts w:cs="FrankRuehl" w:hint="cs"/>
          <w:rtl/>
        </w:rPr>
        <w:t xml:space="preserve"> מיום 6.6.1991 עמ' 924.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3CBC" w:rsidRDefault="00413CB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מס הכנסה (הוראות בדבר העברת כספים מקרן השתלמות אחת לקרן השתלמות אחרת), תשנ"א–1991</w:t>
    </w:r>
  </w:p>
  <w:p w:rsidR="00413CBC" w:rsidRDefault="00413CB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13CBC" w:rsidRDefault="00413CB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3CBC" w:rsidRDefault="00413CBC" w:rsidP="00FB5AD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מס הכנסה (הוראות בדבר העברת כספים מקרן השתלמות אחת לקרן השתלמות אחרת), תשנ"א</w:t>
    </w:r>
    <w:r w:rsidR="00FB5AD7">
      <w:rPr>
        <w:rFonts w:hAnsi="FrankRuehl" w:cs="FrankRuehl" w:hint="cs"/>
        <w:color w:val="000000"/>
        <w:sz w:val="28"/>
        <w:szCs w:val="28"/>
        <w:rtl/>
      </w:rPr>
      <w:t>-</w:t>
    </w:r>
    <w:r>
      <w:rPr>
        <w:rFonts w:hAnsi="FrankRuehl" w:cs="FrankRuehl"/>
        <w:color w:val="000000"/>
        <w:sz w:val="28"/>
        <w:szCs w:val="28"/>
        <w:rtl/>
      </w:rPr>
      <w:t>1991</w:t>
    </w:r>
  </w:p>
  <w:p w:rsidR="00413CBC" w:rsidRDefault="00413CB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13CBC" w:rsidRDefault="00413CB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659DA"/>
    <w:rsid w:val="00140892"/>
    <w:rsid w:val="00413CBC"/>
    <w:rsid w:val="007C39A3"/>
    <w:rsid w:val="00A659DA"/>
    <w:rsid w:val="00A65A22"/>
    <w:rsid w:val="00E61104"/>
    <w:rsid w:val="00F41029"/>
    <w:rsid w:val="00FB5AD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E3FDFFF-90F1-4FCF-81EA-E1CFB6A23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paragraph" w:styleId="a5">
    <w:name w:val="footnote text"/>
    <w:basedOn w:val="a"/>
    <w:semiHidden/>
    <w:rsid w:val="00FB5AD7"/>
    <w:rPr>
      <w:sz w:val="20"/>
      <w:szCs w:val="20"/>
    </w:rPr>
  </w:style>
  <w:style w:type="character" w:styleId="a6">
    <w:name w:val="footnote reference"/>
    <w:basedOn w:val="a0"/>
    <w:semiHidden/>
    <w:rsid w:val="00FB5AD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36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958</CharactersWithSpaces>
  <SharedDoc>false</SharedDoc>
  <HLinks>
    <vt:vector size="18" baseType="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7995402</vt:i4>
      </vt:variant>
      <vt:variant>
        <vt:i4>0</vt:i4>
      </vt:variant>
      <vt:variant>
        <vt:i4>0</vt:i4>
      </vt:variant>
      <vt:variant>
        <vt:i4>5</vt:i4>
      </vt:variant>
      <vt:variant>
        <vt:lpwstr>http://www.nevo.co.il/Law_word/law06/TAK-5361.pdf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hofit</dc:creator>
  <cp:keywords/>
  <dc:description/>
  <cp:lastModifiedBy>Shimon Doodkin</cp:lastModifiedBy>
  <cp:revision>2</cp:revision>
  <dcterms:created xsi:type="dcterms:W3CDTF">2023-06-05T19:11:00Z</dcterms:created>
  <dcterms:modified xsi:type="dcterms:W3CDTF">2023-06-05T19:11:00Z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כללי מס הכנסה (הוראות בדבר העברת כספים מקרן השתלמות אחת לקרן השתלמות אחרת), תשנ"א-1991</vt:lpwstr>
  </property>
  <property fmtid="{D5CDD505-2E9C-101B-9397-08002B2CF9AE}" pid="5" name="LAWNUMBER">
    <vt:lpwstr>0225</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כספים</vt:lpwstr>
  </property>
  <property fmtid="{D5CDD505-2E9C-101B-9397-08002B2CF9AE}" pid="9" name="NOSE31">
    <vt:lpwstr/>
  </property>
  <property fmtid="{D5CDD505-2E9C-101B-9397-08002B2CF9AE}" pid="10" name="NOSE41">
    <vt:lpwstr/>
  </property>
  <property fmtid="{D5CDD505-2E9C-101B-9397-08002B2CF9AE}" pid="11" name="NOSE12">
    <vt:lpwstr>מסים</vt:lpwstr>
  </property>
  <property fmtid="{D5CDD505-2E9C-101B-9397-08002B2CF9AE}" pid="12" name="NOSE22">
    <vt:lpwstr>מס הכנסה</vt:lpwstr>
  </property>
  <property fmtid="{D5CDD505-2E9C-101B-9397-08002B2CF9AE}" pid="13" name="NOSE32">
    <vt:lpwstr>קרן השתלמות</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