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0D3" w:rsidRDefault="008A40D3" w:rsidP="008A40D3">
      <w:pPr>
        <w:pStyle w:val="big-header"/>
        <w:ind w:left="0" w:right="1134"/>
        <w:rPr>
          <w:rFonts w:cs="FrankRuehl"/>
          <w:sz w:val="32"/>
        </w:rPr>
      </w:pPr>
      <w:r>
        <w:rPr>
          <w:rFonts w:cs="FrankRuehl" w:hint="cs"/>
          <w:sz w:val="32"/>
          <w:rtl/>
        </w:rPr>
        <w:t>כללי מס הכנסה (המרה לשקלים חדשים של סכומים שמקורם מחוץ לישראל), תשס"ד-2003</w:t>
      </w:r>
    </w:p>
    <w:p w:rsidR="00F91A29" w:rsidRPr="00F91A29" w:rsidRDefault="00F91A29" w:rsidP="00F91A29">
      <w:pPr>
        <w:spacing w:line="320" w:lineRule="auto"/>
        <w:rPr>
          <w:rFonts w:cs="FrankRuehl"/>
          <w:szCs w:val="26"/>
          <w:rtl/>
        </w:rPr>
      </w:pPr>
    </w:p>
    <w:p w:rsidR="00F91A29" w:rsidRDefault="00F91A29" w:rsidP="00F91A29">
      <w:pPr>
        <w:spacing w:line="320" w:lineRule="auto"/>
        <w:rPr>
          <w:rtl/>
        </w:rPr>
      </w:pPr>
    </w:p>
    <w:p w:rsidR="00F91A29" w:rsidRPr="00F91A29" w:rsidRDefault="00F91A29" w:rsidP="00F91A29">
      <w:pPr>
        <w:spacing w:line="320" w:lineRule="auto"/>
        <w:rPr>
          <w:rFonts w:cs="Miriam"/>
          <w:szCs w:val="22"/>
          <w:rtl/>
        </w:rPr>
      </w:pPr>
      <w:r w:rsidRPr="00F91A29">
        <w:rPr>
          <w:rFonts w:cs="Miriam"/>
          <w:szCs w:val="22"/>
          <w:rtl/>
        </w:rPr>
        <w:t>מסים</w:t>
      </w:r>
      <w:r w:rsidRPr="00F91A29">
        <w:rPr>
          <w:rFonts w:cs="FrankRuehl"/>
          <w:szCs w:val="26"/>
          <w:rtl/>
        </w:rPr>
        <w:t xml:space="preserve"> – מס הכנסה – הכנסת חוץ – המרה</w:t>
      </w:r>
    </w:p>
    <w:p w:rsidR="008A40D3" w:rsidRPr="008A40D3" w:rsidRDefault="008A40D3" w:rsidP="008A40D3">
      <w:pPr>
        <w:pStyle w:val="big-header"/>
        <w:ind w:left="0" w:right="1134"/>
        <w:rPr>
          <w:rStyle w:val="default"/>
          <w:rFonts w:cs="FrankRuehl" w:hint="cs"/>
          <w:rtl/>
        </w:rPr>
      </w:pPr>
      <w:r w:rsidRPr="008A40D3">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1 </w:t>
            </w:r>
          </w:p>
        </w:tc>
        <w:tc>
          <w:tcPr>
            <w:tcW w:w="5669" w:type="dxa"/>
          </w:tcPr>
          <w:p w:rsidR="004317B0" w:rsidRPr="004317B0" w:rsidRDefault="004317B0" w:rsidP="004317B0">
            <w:pPr>
              <w:rPr>
                <w:rFonts w:cs="Frankruhel" w:hint="cs"/>
                <w:rtl/>
              </w:rPr>
            </w:pPr>
            <w:r>
              <w:rPr>
                <w:rtl/>
              </w:rPr>
              <w:t>הגדרות</w:t>
            </w:r>
          </w:p>
        </w:tc>
        <w:tc>
          <w:tcPr>
            <w:tcW w:w="567" w:type="dxa"/>
          </w:tcPr>
          <w:p w:rsidR="004317B0" w:rsidRPr="004317B0" w:rsidRDefault="004317B0" w:rsidP="004317B0">
            <w:pPr>
              <w:rPr>
                <w:rStyle w:val="Hyperlink"/>
                <w:rFonts w:hint="cs"/>
                <w:rtl/>
              </w:rPr>
            </w:pPr>
            <w:hyperlink w:anchor="Seif1" w:tooltip="הגדרות"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2 </w:t>
            </w:r>
          </w:p>
        </w:tc>
        <w:tc>
          <w:tcPr>
            <w:tcW w:w="5669" w:type="dxa"/>
          </w:tcPr>
          <w:p w:rsidR="004317B0" w:rsidRPr="004317B0" w:rsidRDefault="004317B0" w:rsidP="004317B0">
            <w:pPr>
              <w:rPr>
                <w:rFonts w:cs="Frankruhel" w:hint="cs"/>
                <w:rtl/>
              </w:rPr>
            </w:pPr>
            <w:r>
              <w:rPr>
                <w:rtl/>
              </w:rPr>
              <w:t>הכנסות והוצאות בעסק או במשלח יד</w:t>
            </w:r>
          </w:p>
        </w:tc>
        <w:tc>
          <w:tcPr>
            <w:tcW w:w="567" w:type="dxa"/>
          </w:tcPr>
          <w:p w:rsidR="004317B0" w:rsidRPr="004317B0" w:rsidRDefault="004317B0" w:rsidP="004317B0">
            <w:pPr>
              <w:rPr>
                <w:rStyle w:val="Hyperlink"/>
                <w:rFonts w:hint="cs"/>
                <w:rtl/>
              </w:rPr>
            </w:pPr>
            <w:hyperlink w:anchor="Seif2" w:tooltip="הכנסות והוצאות בעסק או במשלח יד"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3 </w:t>
            </w:r>
          </w:p>
        </w:tc>
        <w:tc>
          <w:tcPr>
            <w:tcW w:w="5669" w:type="dxa"/>
          </w:tcPr>
          <w:p w:rsidR="004317B0" w:rsidRPr="004317B0" w:rsidRDefault="004317B0" w:rsidP="004317B0">
            <w:pPr>
              <w:rPr>
                <w:rFonts w:cs="Frankruhel" w:hint="cs"/>
                <w:rtl/>
              </w:rPr>
            </w:pPr>
            <w:r>
              <w:rPr>
                <w:rtl/>
              </w:rPr>
              <w:t>הכנסות פסיביות</w:t>
            </w:r>
          </w:p>
        </w:tc>
        <w:tc>
          <w:tcPr>
            <w:tcW w:w="567" w:type="dxa"/>
          </w:tcPr>
          <w:p w:rsidR="004317B0" w:rsidRPr="004317B0" w:rsidRDefault="004317B0" w:rsidP="004317B0">
            <w:pPr>
              <w:rPr>
                <w:rStyle w:val="Hyperlink"/>
                <w:rFonts w:hint="cs"/>
                <w:rtl/>
              </w:rPr>
            </w:pPr>
            <w:hyperlink w:anchor="Seif3" w:tooltip="הכנסות פסיביות"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4 </w:t>
            </w:r>
          </w:p>
        </w:tc>
        <w:tc>
          <w:tcPr>
            <w:tcW w:w="5669" w:type="dxa"/>
          </w:tcPr>
          <w:p w:rsidR="004317B0" w:rsidRPr="004317B0" w:rsidRDefault="004317B0" w:rsidP="004317B0">
            <w:pPr>
              <w:rPr>
                <w:rFonts w:cs="Frankruhel" w:hint="cs"/>
                <w:rtl/>
              </w:rPr>
            </w:pPr>
            <w:r>
              <w:rPr>
                <w:rtl/>
              </w:rPr>
              <w:t>הכנסת חברת משלח יד זרה</w:t>
            </w:r>
          </w:p>
        </w:tc>
        <w:tc>
          <w:tcPr>
            <w:tcW w:w="567" w:type="dxa"/>
          </w:tcPr>
          <w:p w:rsidR="004317B0" w:rsidRPr="004317B0" w:rsidRDefault="004317B0" w:rsidP="004317B0">
            <w:pPr>
              <w:rPr>
                <w:rStyle w:val="Hyperlink"/>
                <w:rFonts w:hint="cs"/>
                <w:rtl/>
              </w:rPr>
            </w:pPr>
            <w:hyperlink w:anchor="Seif4" w:tooltip="הכנסת חברת משלח יד זרה"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5 </w:t>
            </w:r>
          </w:p>
        </w:tc>
        <w:tc>
          <w:tcPr>
            <w:tcW w:w="5669" w:type="dxa"/>
          </w:tcPr>
          <w:p w:rsidR="004317B0" w:rsidRPr="004317B0" w:rsidRDefault="004317B0" w:rsidP="004317B0">
            <w:pPr>
              <w:rPr>
                <w:rFonts w:cs="Frankruhel" w:hint="cs"/>
                <w:rtl/>
              </w:rPr>
            </w:pPr>
            <w:r>
              <w:rPr>
                <w:rtl/>
              </w:rPr>
              <w:t>הכנסה מחברה נשלטת זרה</w:t>
            </w:r>
          </w:p>
        </w:tc>
        <w:tc>
          <w:tcPr>
            <w:tcW w:w="567" w:type="dxa"/>
          </w:tcPr>
          <w:p w:rsidR="004317B0" w:rsidRPr="004317B0" w:rsidRDefault="004317B0" w:rsidP="004317B0">
            <w:pPr>
              <w:rPr>
                <w:rStyle w:val="Hyperlink"/>
                <w:rFonts w:hint="cs"/>
                <w:rtl/>
              </w:rPr>
            </w:pPr>
            <w:hyperlink w:anchor="Seif5" w:tooltip="הכנסה מחברה נשלטת זרה"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6 </w:t>
            </w:r>
          </w:p>
        </w:tc>
        <w:tc>
          <w:tcPr>
            <w:tcW w:w="5669" w:type="dxa"/>
          </w:tcPr>
          <w:p w:rsidR="004317B0" w:rsidRPr="004317B0" w:rsidRDefault="004317B0" w:rsidP="004317B0">
            <w:pPr>
              <w:rPr>
                <w:rFonts w:cs="Frankruhel" w:hint="cs"/>
                <w:rtl/>
              </w:rPr>
            </w:pPr>
            <w:r>
              <w:rPr>
                <w:rtl/>
              </w:rPr>
              <w:t>מסי חוץ</w:t>
            </w:r>
          </w:p>
        </w:tc>
        <w:tc>
          <w:tcPr>
            <w:tcW w:w="567" w:type="dxa"/>
          </w:tcPr>
          <w:p w:rsidR="004317B0" w:rsidRPr="004317B0" w:rsidRDefault="004317B0" w:rsidP="004317B0">
            <w:pPr>
              <w:rPr>
                <w:rStyle w:val="Hyperlink"/>
                <w:rFonts w:hint="cs"/>
                <w:rtl/>
              </w:rPr>
            </w:pPr>
            <w:hyperlink w:anchor="Seif6" w:tooltip="מסי חוץ"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7 </w:t>
            </w:r>
          </w:p>
        </w:tc>
        <w:tc>
          <w:tcPr>
            <w:tcW w:w="5669" w:type="dxa"/>
          </w:tcPr>
          <w:p w:rsidR="004317B0" w:rsidRPr="004317B0" w:rsidRDefault="004317B0" w:rsidP="004317B0">
            <w:pPr>
              <w:rPr>
                <w:rFonts w:cs="Frankruhel" w:hint="cs"/>
                <w:rtl/>
              </w:rPr>
            </w:pPr>
            <w:r>
              <w:rPr>
                <w:rtl/>
              </w:rPr>
              <w:t>רווח הון</w:t>
            </w:r>
          </w:p>
        </w:tc>
        <w:tc>
          <w:tcPr>
            <w:tcW w:w="567" w:type="dxa"/>
          </w:tcPr>
          <w:p w:rsidR="004317B0" w:rsidRPr="004317B0" w:rsidRDefault="004317B0" w:rsidP="004317B0">
            <w:pPr>
              <w:rPr>
                <w:rStyle w:val="Hyperlink"/>
                <w:rFonts w:hint="cs"/>
                <w:rtl/>
              </w:rPr>
            </w:pPr>
            <w:hyperlink w:anchor="Seif7" w:tooltip="רווח הון"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8 </w:t>
            </w:r>
          </w:p>
        </w:tc>
        <w:tc>
          <w:tcPr>
            <w:tcW w:w="5669" w:type="dxa"/>
          </w:tcPr>
          <w:p w:rsidR="004317B0" w:rsidRPr="004317B0" w:rsidRDefault="004317B0" w:rsidP="004317B0">
            <w:pPr>
              <w:rPr>
                <w:rFonts w:cs="Frankruhel" w:hint="cs"/>
                <w:rtl/>
              </w:rPr>
            </w:pPr>
            <w:r>
              <w:rPr>
                <w:rtl/>
              </w:rPr>
              <w:t>הפסד</w:t>
            </w:r>
          </w:p>
        </w:tc>
        <w:tc>
          <w:tcPr>
            <w:tcW w:w="567" w:type="dxa"/>
          </w:tcPr>
          <w:p w:rsidR="004317B0" w:rsidRPr="004317B0" w:rsidRDefault="004317B0" w:rsidP="004317B0">
            <w:pPr>
              <w:rPr>
                <w:rStyle w:val="Hyperlink"/>
                <w:rFonts w:hint="cs"/>
                <w:rtl/>
              </w:rPr>
            </w:pPr>
            <w:hyperlink w:anchor="Seif8" w:tooltip="הפסד"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9 </w:t>
            </w:r>
          </w:p>
        </w:tc>
        <w:tc>
          <w:tcPr>
            <w:tcW w:w="5669" w:type="dxa"/>
          </w:tcPr>
          <w:p w:rsidR="004317B0" w:rsidRPr="004317B0" w:rsidRDefault="004317B0" w:rsidP="004317B0">
            <w:pPr>
              <w:rPr>
                <w:rFonts w:cs="Frankruhel" w:hint="cs"/>
                <w:rtl/>
              </w:rPr>
            </w:pPr>
            <w:r>
              <w:rPr>
                <w:rtl/>
              </w:rPr>
              <w:t>סכומים בשקלים</w:t>
            </w:r>
          </w:p>
        </w:tc>
        <w:tc>
          <w:tcPr>
            <w:tcW w:w="567" w:type="dxa"/>
          </w:tcPr>
          <w:p w:rsidR="004317B0" w:rsidRPr="004317B0" w:rsidRDefault="004317B0" w:rsidP="004317B0">
            <w:pPr>
              <w:rPr>
                <w:rStyle w:val="Hyperlink"/>
                <w:rFonts w:hint="cs"/>
                <w:rtl/>
              </w:rPr>
            </w:pPr>
            <w:hyperlink w:anchor="Seif9" w:tooltip="סכומים בשקלים"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4317B0" w:rsidRPr="004317B0">
        <w:tblPrEx>
          <w:tblCellMar>
            <w:top w:w="0" w:type="dxa"/>
            <w:bottom w:w="0" w:type="dxa"/>
          </w:tblCellMar>
        </w:tblPrEx>
        <w:tc>
          <w:tcPr>
            <w:tcW w:w="1247" w:type="dxa"/>
          </w:tcPr>
          <w:p w:rsidR="004317B0" w:rsidRPr="004317B0" w:rsidRDefault="004317B0" w:rsidP="004317B0">
            <w:pPr>
              <w:rPr>
                <w:rFonts w:cs="Frankruhel" w:hint="cs"/>
                <w:rtl/>
              </w:rPr>
            </w:pPr>
            <w:r>
              <w:rPr>
                <w:rtl/>
              </w:rPr>
              <w:t xml:space="preserve">סעיף 10 </w:t>
            </w:r>
          </w:p>
        </w:tc>
        <w:tc>
          <w:tcPr>
            <w:tcW w:w="5669" w:type="dxa"/>
          </w:tcPr>
          <w:p w:rsidR="004317B0" w:rsidRPr="004317B0" w:rsidRDefault="004317B0" w:rsidP="004317B0">
            <w:pPr>
              <w:rPr>
                <w:rFonts w:cs="Frankruhel" w:hint="cs"/>
                <w:rtl/>
              </w:rPr>
            </w:pPr>
            <w:r>
              <w:rPr>
                <w:rtl/>
              </w:rPr>
              <w:t>תחולה</w:t>
            </w:r>
          </w:p>
        </w:tc>
        <w:tc>
          <w:tcPr>
            <w:tcW w:w="567" w:type="dxa"/>
          </w:tcPr>
          <w:p w:rsidR="004317B0" w:rsidRPr="004317B0" w:rsidRDefault="004317B0" w:rsidP="004317B0">
            <w:pPr>
              <w:rPr>
                <w:rStyle w:val="Hyperlink"/>
                <w:rFonts w:hint="cs"/>
                <w:rtl/>
              </w:rPr>
            </w:pPr>
            <w:hyperlink w:anchor="Seif10" w:tooltip="תחולה" w:history="1">
              <w:r w:rsidRPr="004317B0">
                <w:rPr>
                  <w:rStyle w:val="Hyperlink"/>
                </w:rPr>
                <w:t>Go</w:t>
              </w:r>
            </w:hyperlink>
          </w:p>
        </w:tc>
        <w:tc>
          <w:tcPr>
            <w:tcW w:w="850" w:type="dxa"/>
          </w:tcPr>
          <w:p w:rsidR="004317B0" w:rsidRPr="004317B0" w:rsidRDefault="004317B0" w:rsidP="004317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bl>
    <w:p w:rsidR="008A40D3" w:rsidRPr="008A40D3" w:rsidRDefault="008A40D3" w:rsidP="008A40D3">
      <w:pPr>
        <w:pStyle w:val="big-header"/>
        <w:ind w:left="0" w:right="1134"/>
        <w:rPr>
          <w:rFonts w:cs="FrankRuehl" w:hint="cs"/>
          <w:rtl/>
        </w:rPr>
      </w:pPr>
    </w:p>
    <w:p w:rsidR="000025E5" w:rsidRDefault="008A40D3" w:rsidP="00F91A29">
      <w:pPr>
        <w:pStyle w:val="big-header"/>
        <w:ind w:left="0" w:right="1134"/>
        <w:rPr>
          <w:rFonts w:cs="FrankRuehl" w:hint="cs"/>
          <w:sz w:val="32"/>
          <w:rtl/>
        </w:rPr>
      </w:pPr>
      <w:r w:rsidRPr="008A40D3">
        <w:rPr>
          <w:rFonts w:cs="FrankRuehl"/>
          <w:rtl/>
        </w:rPr>
        <w:br w:type="page"/>
      </w:r>
      <w:r w:rsidR="000025E5">
        <w:rPr>
          <w:rFonts w:cs="FrankRuehl" w:hint="cs"/>
          <w:sz w:val="32"/>
          <w:rtl/>
        </w:rPr>
        <w:lastRenderedPageBreak/>
        <w:t>כללי מס הכנסה (המרה לשקלים חדשים של סכומים שמקורם מחוץ לישראל), תשס"ד-2003</w:t>
      </w:r>
      <w:r w:rsidR="000025E5">
        <w:rPr>
          <w:rStyle w:val="default"/>
          <w:sz w:val="22"/>
          <w:szCs w:val="22"/>
          <w:rtl/>
        </w:rPr>
        <w:footnoteReference w:customMarkFollows="1" w:id="1"/>
        <w:t>*</w:t>
      </w:r>
    </w:p>
    <w:p w:rsidR="000025E5" w:rsidRDefault="000025E5">
      <w:pPr>
        <w:pStyle w:val="P00"/>
        <w:spacing w:before="72"/>
        <w:ind w:left="0" w:right="1134"/>
        <w:rPr>
          <w:rStyle w:val="default"/>
          <w:rFonts w:cs="FrankRuehl" w:hint="cs"/>
          <w:rtl/>
        </w:rPr>
      </w:pPr>
      <w:r>
        <w:rPr>
          <w:rStyle w:val="default"/>
          <w:rFonts w:cs="FrankRuehl" w:hint="cs"/>
          <w:rtl/>
        </w:rPr>
        <w:tab/>
        <w:t xml:space="preserve">בתוקף סמכותי לפי סעיף 240א לפקודת מס הכנסה (להלן </w:t>
      </w:r>
      <w:r>
        <w:rPr>
          <w:rStyle w:val="default"/>
          <w:rFonts w:cs="FrankRuehl"/>
          <w:rtl/>
        </w:rPr>
        <w:t>–</w:t>
      </w:r>
      <w:r>
        <w:rPr>
          <w:rStyle w:val="default"/>
          <w:rFonts w:cs="FrankRuehl" w:hint="cs"/>
          <w:rtl/>
        </w:rPr>
        <w:t xml:space="preserve"> הפקודה), אני קובעת כדלקמן:</w:t>
      </w:r>
    </w:p>
    <w:p w:rsidR="000025E5" w:rsidRDefault="000025E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3.5pt;margin-top:8.05pt;width:75.05pt;height:8.95pt;z-index:251653120" filled="f" stroked="f" strokecolor="lime" strokeweight=".25pt">
            <v:textbox style="mso-next-textbox:#_x0000_s1026" inset="1mm,0,1mm,0">
              <w:txbxContent>
                <w:p w:rsidR="000025E5" w:rsidRDefault="000025E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בכללים אלה </w:t>
      </w:r>
      <w:r>
        <w:rPr>
          <w:rStyle w:val="default"/>
          <w:rFonts w:cs="FrankRuehl"/>
          <w:rtl/>
        </w:rPr>
        <w:t>–</w:t>
      </w:r>
    </w:p>
    <w:p w:rsidR="000025E5" w:rsidRDefault="000025E5">
      <w:pPr>
        <w:pStyle w:val="P00"/>
        <w:spacing w:before="72"/>
        <w:ind w:left="0" w:right="1134"/>
        <w:rPr>
          <w:rStyle w:val="default"/>
          <w:rFonts w:cs="FrankRuehl" w:hint="cs"/>
          <w:rtl/>
        </w:rPr>
      </w:pPr>
      <w:r>
        <w:rPr>
          <w:rStyle w:val="default"/>
          <w:rFonts w:cs="FrankRuehl" w:hint="cs"/>
          <w:rtl/>
        </w:rPr>
        <w:tab/>
        <w:t xml:space="preserve">"הכנסת חוץ" ו"מסי חוץ" </w:t>
      </w:r>
      <w:r>
        <w:rPr>
          <w:rStyle w:val="default"/>
          <w:rFonts w:cs="FrankRuehl"/>
          <w:rtl/>
        </w:rPr>
        <w:t>–</w:t>
      </w:r>
      <w:r>
        <w:rPr>
          <w:rStyle w:val="default"/>
          <w:rFonts w:cs="FrankRuehl" w:hint="cs"/>
          <w:rtl/>
        </w:rPr>
        <w:t xml:space="preserve"> כהגדרתם בסעיף 199 לפקודה;</w:t>
      </w:r>
    </w:p>
    <w:p w:rsidR="000025E5" w:rsidRDefault="000025E5">
      <w:pPr>
        <w:pStyle w:val="P00"/>
        <w:spacing w:before="72"/>
        <w:ind w:left="0" w:right="1134"/>
        <w:rPr>
          <w:rStyle w:val="default"/>
          <w:rFonts w:cs="FrankRuehl" w:hint="cs"/>
          <w:rtl/>
        </w:rPr>
      </w:pPr>
      <w:r>
        <w:rPr>
          <w:rStyle w:val="default"/>
          <w:rFonts w:cs="FrankRuehl" w:hint="cs"/>
          <w:rtl/>
        </w:rPr>
        <w:tab/>
        <w:t xml:space="preserve">"הכנסה פסיבית" </w:t>
      </w:r>
      <w:r>
        <w:rPr>
          <w:rStyle w:val="default"/>
          <w:rFonts w:cs="FrankRuehl"/>
          <w:rtl/>
        </w:rPr>
        <w:t>–</w:t>
      </w:r>
      <w:r>
        <w:rPr>
          <w:rStyle w:val="default"/>
          <w:rFonts w:cs="FrankRuehl" w:hint="cs"/>
          <w:rtl/>
        </w:rPr>
        <w:t xml:space="preserve"> כל אתח מההכנסות לפי סעיפים 2(4) עד (7) לפקודה שהיא הכנסת חוץ, או הוצאות בשלן וכן הכנסת חוץ לפי סעיף 2א לפקודה, למעט הכנסה או הוצאה שאילו הופקה או שנצמחה בישראל היתה מחשבת לפי דיני המס בישראל כהכנסה מעסק או ממשלח יד;</w:t>
      </w:r>
    </w:p>
    <w:p w:rsidR="000025E5" w:rsidRDefault="000025E5">
      <w:pPr>
        <w:pStyle w:val="P00"/>
        <w:spacing w:before="72"/>
        <w:ind w:left="0" w:right="1134"/>
        <w:rPr>
          <w:rStyle w:val="default"/>
          <w:rFonts w:cs="FrankRuehl" w:hint="cs"/>
          <w:rtl/>
        </w:rPr>
      </w:pPr>
      <w:r>
        <w:rPr>
          <w:rStyle w:val="default"/>
          <w:rFonts w:cs="FrankRuehl" w:hint="cs"/>
          <w:rtl/>
        </w:rPr>
        <w:tab/>
        <w:t xml:space="preserve">"יום רכישה", "מחיר מקורי", "מכירה", "נכס" ו"תמורה" </w:t>
      </w:r>
      <w:r>
        <w:rPr>
          <w:rStyle w:val="default"/>
          <w:rFonts w:cs="FrankRuehl"/>
          <w:rtl/>
        </w:rPr>
        <w:t>–</w:t>
      </w:r>
      <w:r>
        <w:rPr>
          <w:rStyle w:val="default"/>
          <w:rFonts w:cs="FrankRuehl" w:hint="cs"/>
          <w:rtl/>
        </w:rPr>
        <w:t xml:space="preserve"> כהגדרתם לפי חלק ה3 לפקודה;</w:t>
      </w:r>
    </w:p>
    <w:p w:rsidR="000025E5" w:rsidRDefault="000025E5">
      <w:pPr>
        <w:pStyle w:val="P00"/>
        <w:spacing w:before="72"/>
        <w:ind w:left="0" w:right="1134"/>
        <w:rPr>
          <w:rStyle w:val="default"/>
          <w:rFonts w:cs="FrankRuehl" w:hint="cs"/>
          <w:rtl/>
        </w:rPr>
      </w:pPr>
      <w:r>
        <w:rPr>
          <w:rStyle w:val="default"/>
          <w:rFonts w:cs="FrankRuehl" w:hint="cs"/>
          <w:rtl/>
        </w:rPr>
        <w:tab/>
        <w:t xml:space="preserve">"מדינה גומלת" </w:t>
      </w:r>
      <w:r>
        <w:rPr>
          <w:rStyle w:val="default"/>
          <w:rFonts w:cs="FrankRuehl"/>
          <w:rtl/>
        </w:rPr>
        <w:t>–</w:t>
      </w:r>
      <w:r>
        <w:rPr>
          <w:rStyle w:val="default"/>
          <w:rFonts w:cs="FrankRuehl" w:hint="cs"/>
          <w:rtl/>
        </w:rPr>
        <w:t xml:space="preserve"> כמשמעותה בסעיף 196 לפקודה;</w:t>
      </w:r>
    </w:p>
    <w:p w:rsidR="000025E5" w:rsidRDefault="000025E5">
      <w:pPr>
        <w:pStyle w:val="P00"/>
        <w:spacing w:before="72"/>
        <w:ind w:left="0" w:right="1134"/>
        <w:rPr>
          <w:rStyle w:val="default"/>
          <w:rFonts w:cs="FrankRuehl" w:hint="cs"/>
          <w:rtl/>
        </w:rPr>
      </w:pPr>
      <w:r>
        <w:rPr>
          <w:rStyle w:val="default"/>
          <w:rFonts w:cs="FrankRuehl" w:hint="cs"/>
          <w:rtl/>
        </w:rPr>
        <w:tab/>
        <w:t xml:space="preserve">"מטבע" </w:t>
      </w:r>
      <w:r>
        <w:rPr>
          <w:rStyle w:val="default"/>
          <w:rFonts w:cs="FrankRuehl"/>
          <w:rtl/>
        </w:rPr>
        <w:t>–</w:t>
      </w:r>
      <w:r>
        <w:rPr>
          <w:rStyle w:val="default"/>
          <w:rFonts w:cs="FrankRuehl" w:hint="cs"/>
          <w:rtl/>
        </w:rPr>
        <w:t xml:space="preserve"> מטבע חוץ שבו מבוצעת העסקה, מתקבלת ההכנסה, משולמת ההוצאה, נרכש או נמכר נכס, או משולם מס, לפי הענין;</w:t>
      </w:r>
    </w:p>
    <w:p w:rsidR="000025E5" w:rsidRDefault="000025E5">
      <w:pPr>
        <w:pStyle w:val="P00"/>
        <w:spacing w:before="72"/>
        <w:ind w:left="0" w:right="1134"/>
        <w:rPr>
          <w:rStyle w:val="default"/>
          <w:rFonts w:cs="FrankRuehl" w:hint="cs"/>
          <w:rtl/>
        </w:rPr>
      </w:pPr>
      <w:r>
        <w:rPr>
          <w:rStyle w:val="default"/>
          <w:rFonts w:cs="FrankRuehl" w:hint="cs"/>
          <w:rtl/>
        </w:rPr>
        <w:tab/>
        <w:t xml:space="preserve">"שערו היציג של המטבע" ליום כלשהו </w:t>
      </w:r>
      <w:r>
        <w:rPr>
          <w:rStyle w:val="default"/>
          <w:rFonts w:cs="FrankRuehl"/>
          <w:rtl/>
        </w:rPr>
        <w:t>–</w:t>
      </w:r>
      <w:r>
        <w:rPr>
          <w:rStyle w:val="default"/>
          <w:rFonts w:cs="FrankRuehl" w:hint="cs"/>
          <w:rtl/>
        </w:rPr>
        <w:t xml:space="preserve"> שערו היציג של מטבע חוץ, בשקלים חדשים, כפי שפרסם בנק ישראל באותו יום, ואם לא פרסם שער באותו יום </w:t>
      </w:r>
      <w:r>
        <w:rPr>
          <w:rStyle w:val="default"/>
          <w:rFonts w:cs="FrankRuehl"/>
          <w:rtl/>
        </w:rPr>
        <w:t>–</w:t>
      </w:r>
      <w:r>
        <w:rPr>
          <w:rStyle w:val="default"/>
          <w:rFonts w:cs="FrankRuehl" w:hint="cs"/>
          <w:rtl/>
        </w:rPr>
        <w:t xml:space="preserve"> השער האחרון שפרסם לפני אותו יום; ואולם אם בנק ישראל אינו מפרסם שער לאותו מטבע, יחושב שערו לפי שער ההמרה של אותו מטבע לדולר של ארה"ב;</w:t>
      </w:r>
    </w:p>
    <w:p w:rsidR="000025E5" w:rsidRDefault="000025E5">
      <w:pPr>
        <w:pStyle w:val="P00"/>
        <w:spacing w:before="72"/>
        <w:ind w:left="0" w:right="1134"/>
        <w:rPr>
          <w:rStyle w:val="default"/>
          <w:rFonts w:cs="FrankRuehl" w:hint="cs"/>
          <w:rtl/>
        </w:rPr>
      </w:pPr>
      <w:r>
        <w:rPr>
          <w:rStyle w:val="default"/>
          <w:rFonts w:cs="FrankRuehl" w:hint="cs"/>
          <w:rtl/>
        </w:rPr>
        <w:tab/>
        <w:t xml:space="preserve">"תום שנת המס" </w:t>
      </w:r>
      <w:r>
        <w:rPr>
          <w:rStyle w:val="default"/>
          <w:rFonts w:cs="FrankRuehl"/>
          <w:rtl/>
        </w:rPr>
        <w:t>–</w:t>
      </w:r>
      <w:r>
        <w:rPr>
          <w:rStyle w:val="default"/>
          <w:rFonts w:cs="FrankRuehl" w:hint="cs"/>
          <w:rtl/>
        </w:rPr>
        <w:t xml:space="preserve"> היום האחרון של שנת המס.</w:t>
      </w:r>
    </w:p>
    <w:p w:rsidR="000025E5" w:rsidRDefault="000025E5">
      <w:pPr>
        <w:pStyle w:val="P00"/>
        <w:spacing w:before="72"/>
        <w:ind w:left="0" w:right="1134"/>
        <w:rPr>
          <w:rStyle w:val="default"/>
          <w:rFonts w:cs="FrankRuehl" w:hint="cs"/>
          <w:rtl/>
        </w:rPr>
      </w:pPr>
      <w:bookmarkStart w:id="1" w:name="Seif2"/>
      <w:bookmarkEnd w:id="1"/>
      <w:r>
        <w:rPr>
          <w:rFonts w:cs="Miriam"/>
          <w:lang w:val="he-IL"/>
        </w:rPr>
        <w:pict>
          <v:rect id="_x0000_s1059" style="position:absolute;left:0;text-align:left;margin-left:464.35pt;margin-top:8.05pt;width:75.05pt;height:22.9pt;z-index:251654144" o:allowincell="f" filled="f" stroked="f" strokecolor="lime" strokeweight=".25pt">
            <v:textbox style="mso-next-textbox:#_x0000_s1059" inset="1mm,0,1mm,0">
              <w:txbxContent>
                <w:p w:rsidR="000025E5" w:rsidRDefault="000025E5">
                  <w:pPr>
                    <w:spacing w:line="160" w:lineRule="exact"/>
                    <w:rPr>
                      <w:rFonts w:cs="Miriam" w:hint="cs"/>
                      <w:noProof/>
                      <w:sz w:val="18"/>
                      <w:szCs w:val="18"/>
                      <w:rtl/>
                    </w:rPr>
                  </w:pPr>
                  <w:r>
                    <w:rPr>
                      <w:rFonts w:cs="Miriam" w:hint="cs"/>
                      <w:sz w:val="18"/>
                      <w:szCs w:val="18"/>
                      <w:rtl/>
                    </w:rPr>
                    <w:t>הכנסות והוצאות בעסק או במשלח יד</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הכנסה לפי סעיף 2(1) לפקודה שהיא הכנסת חוץ או הוצאה בשל הכנסה כאמור, לרבות הוצאה בשל רכישת מלאי, תתורגם לשקלים חדשים לפי שערו היציד של המטבע במועד שבו הופקה, נצמחה או הוצאה ובמועד שבו התקבלה או שולמה.</w:t>
      </w:r>
    </w:p>
    <w:p w:rsidR="000025E5" w:rsidRDefault="000025E5">
      <w:pPr>
        <w:pStyle w:val="P00"/>
        <w:spacing w:before="72"/>
        <w:ind w:left="0" w:right="1134"/>
        <w:rPr>
          <w:rStyle w:val="default"/>
          <w:rFonts w:cs="FrankRuehl" w:hint="cs"/>
          <w:rtl/>
        </w:rPr>
      </w:pPr>
      <w:bookmarkStart w:id="2" w:name="Seif3"/>
      <w:bookmarkEnd w:id="2"/>
      <w:r>
        <w:rPr>
          <w:rFonts w:cs="Miriam"/>
          <w:lang w:val="he-IL"/>
        </w:rPr>
        <w:pict>
          <v:rect id="_x0000_s1061" style="position:absolute;left:0;text-align:left;margin-left:463.5pt;margin-top:8.05pt;width:75.05pt;height:15.55pt;z-index:251655168" filled="f" stroked="f" strokecolor="lime" strokeweight=".25pt">
            <v:textbox style="mso-next-textbox:#_x0000_s1061" inset="1mm,0,1mm,0">
              <w:txbxContent>
                <w:p w:rsidR="000025E5" w:rsidRDefault="000025E5">
                  <w:pPr>
                    <w:spacing w:line="160" w:lineRule="exact"/>
                    <w:rPr>
                      <w:rFonts w:cs="Miriam" w:hint="cs"/>
                      <w:noProof/>
                      <w:sz w:val="18"/>
                      <w:szCs w:val="18"/>
                      <w:rtl/>
                    </w:rPr>
                  </w:pPr>
                  <w:r>
                    <w:rPr>
                      <w:rFonts w:cs="Miriam" w:hint="cs"/>
                      <w:sz w:val="18"/>
                      <w:szCs w:val="18"/>
                      <w:rtl/>
                    </w:rPr>
                    <w:t>הכנסות פסיביות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3E7452">
        <w:rPr>
          <w:rStyle w:val="default"/>
          <w:rFonts w:cs="FrankRuehl" w:hint="cs"/>
          <w:rtl/>
        </w:rPr>
        <w:t>(א)</w:t>
      </w:r>
      <w:r w:rsidR="003E7452">
        <w:rPr>
          <w:rStyle w:val="default"/>
          <w:rFonts w:cs="FrankRuehl" w:hint="cs"/>
          <w:rtl/>
        </w:rPr>
        <w:tab/>
        <w:t>הכנסה פסיבית, תתורגם</w:t>
      </w:r>
      <w:r>
        <w:rPr>
          <w:rStyle w:val="default"/>
          <w:rFonts w:cs="FrankRuehl" w:hint="cs"/>
          <w:rtl/>
        </w:rPr>
        <w:t xml:space="preserve"> לשקלים חדשים לפי שערו היציג של המטבע, ביום שבו שולמה ההכנסה או שהתקבלה, לפי הענין.</w:t>
      </w:r>
    </w:p>
    <w:p w:rsidR="000025E5" w:rsidRDefault="000025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בהכנסה כאמור בסעיף קטן (א) שהיא הכנסה או הוצאה מריבית או מהפרשי הצמדה, יתורגמו לשקלים חדשים גם הסכומים שבשלם התקבלה אותה הכנסה או הוצאה, ההוצאה (בסעיף זה </w:t>
      </w:r>
      <w:r>
        <w:rPr>
          <w:rStyle w:val="default"/>
          <w:rFonts w:cs="FrankRuehl"/>
          <w:rtl/>
        </w:rPr>
        <w:t>–</w:t>
      </w:r>
      <w:r>
        <w:rPr>
          <w:rStyle w:val="default"/>
          <w:rFonts w:cs="FrankRuehl" w:hint="cs"/>
          <w:rtl/>
        </w:rPr>
        <w:t xml:space="preserve"> ההשקעה), בכל אחד ממועדים אלה:</w:t>
      </w:r>
    </w:p>
    <w:p w:rsidR="000025E5" w:rsidRDefault="000025E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במועד ההשקעה;</w:t>
      </w:r>
    </w:p>
    <w:p w:rsidR="000025E5" w:rsidRDefault="000025E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בתום כל שנת מס או במועד מימוש ההשקעה, לפי המוקדם.</w:t>
      </w:r>
    </w:p>
    <w:p w:rsidR="000025E5" w:rsidRDefault="000025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שולמה ההכנסה הפסיבית או התקבלה לאחר שנת המס שבה דווחה, תתורגם ההכנסה לשקלים חדשים לפי שערו היציג של המטבע בתום שנת המס שבה דווחה וביום התשלום.</w:t>
      </w:r>
    </w:p>
    <w:p w:rsidR="000025E5" w:rsidRDefault="000025E5">
      <w:pPr>
        <w:pStyle w:val="P00"/>
        <w:spacing w:before="72"/>
        <w:ind w:left="0" w:right="1134"/>
        <w:rPr>
          <w:rStyle w:val="default"/>
          <w:rFonts w:cs="FrankRuehl" w:hint="cs"/>
          <w:rtl/>
        </w:rPr>
      </w:pPr>
      <w:bookmarkStart w:id="3" w:name="Seif4"/>
      <w:bookmarkEnd w:id="3"/>
      <w:r>
        <w:rPr>
          <w:rFonts w:cs="Miriam"/>
          <w:lang w:val="he-IL"/>
        </w:rPr>
        <w:pict>
          <v:rect id="_x0000_s1062" style="position:absolute;left:0;text-align:left;margin-left:463.5pt;margin-top:8.05pt;width:75.05pt;height:21.65pt;z-index:251656192" filled="f" stroked="f" strokecolor="lime" strokeweight=".25pt">
            <v:textbox style="mso-next-textbox:#_x0000_s1062" inset="1mm,0,1mm,0">
              <w:txbxContent>
                <w:p w:rsidR="000025E5" w:rsidRDefault="000025E5">
                  <w:pPr>
                    <w:spacing w:line="160" w:lineRule="exact"/>
                    <w:rPr>
                      <w:rFonts w:cs="Miriam" w:hint="cs"/>
                      <w:noProof/>
                      <w:sz w:val="18"/>
                      <w:szCs w:val="18"/>
                      <w:rtl/>
                    </w:rPr>
                  </w:pPr>
                  <w:r>
                    <w:rPr>
                      <w:rFonts w:cs="Miriam" w:hint="cs"/>
                      <w:sz w:val="18"/>
                      <w:szCs w:val="18"/>
                      <w:rtl/>
                    </w:rPr>
                    <w:t>הכנסת חברת משלח יד זרה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הכנסתה החייבת וכן הפסדיה, של חברת משלח יד זרה, כהגדרתה בסעיף 5(5)(ה) לפקודה, אשר מקורם מפעילות במשלח היד המיוחד, תתורגם לשקלים חדשים לפי שערו היציג של המטבע בתום שנת המס שלה, ולא יחולו עליה הוראות סעיפים 8 ו-9.</w:t>
      </w:r>
    </w:p>
    <w:p w:rsidR="000025E5" w:rsidRDefault="000025E5">
      <w:pPr>
        <w:pStyle w:val="P00"/>
        <w:spacing w:before="72"/>
        <w:ind w:left="0" w:right="1134"/>
        <w:rPr>
          <w:rStyle w:val="default"/>
          <w:rFonts w:cs="FrankRuehl" w:hint="cs"/>
          <w:rtl/>
        </w:rPr>
      </w:pPr>
      <w:bookmarkStart w:id="4" w:name="Seif5"/>
      <w:bookmarkEnd w:id="4"/>
      <w:r>
        <w:rPr>
          <w:rFonts w:cs="Miriam"/>
          <w:lang w:val="he-IL"/>
        </w:rPr>
        <w:pict>
          <v:rect id="_x0000_s1063" style="position:absolute;left:0;text-align:left;margin-left:463.5pt;margin-top:8.05pt;width:75.05pt;height:20.7pt;z-index:251657216" filled="f" stroked="f" strokecolor="lime" strokeweight=".25pt">
            <v:textbox style="mso-next-textbox:#_x0000_s1063" inset="1mm,0,1mm,0">
              <w:txbxContent>
                <w:p w:rsidR="000025E5" w:rsidRDefault="000025E5">
                  <w:pPr>
                    <w:spacing w:line="160" w:lineRule="exact"/>
                    <w:rPr>
                      <w:rFonts w:cs="Miriam" w:hint="cs"/>
                      <w:noProof/>
                      <w:sz w:val="18"/>
                      <w:szCs w:val="18"/>
                      <w:rtl/>
                    </w:rPr>
                  </w:pPr>
                  <w:r>
                    <w:rPr>
                      <w:rFonts w:cs="Miriam" w:hint="cs"/>
                      <w:sz w:val="18"/>
                      <w:szCs w:val="18"/>
                      <w:rtl/>
                    </w:rPr>
                    <w:t>הכנסה מחברה נשלטת זרה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רווחים שלא שולמו, כהגדרתם בסעיף 75ב(א)(12) לפקודה, והזיכוי בשל מס כאמור בסעיף 75ב(ג), יתורגמו לשקלים חדשים לפי שערו היציג של המטבע בתום תקופת השומה של החברה הנשלטת הזרה.</w:t>
      </w:r>
    </w:p>
    <w:p w:rsidR="000025E5" w:rsidRDefault="000025E5">
      <w:pPr>
        <w:pStyle w:val="P00"/>
        <w:spacing w:before="72"/>
        <w:ind w:left="0" w:right="1134"/>
        <w:rPr>
          <w:rStyle w:val="default"/>
          <w:rFonts w:cs="FrankRuehl" w:hint="cs"/>
          <w:rtl/>
        </w:rPr>
      </w:pPr>
      <w:bookmarkStart w:id="5" w:name="Seif6"/>
      <w:bookmarkEnd w:id="5"/>
      <w:r>
        <w:rPr>
          <w:rFonts w:cs="Miriam"/>
          <w:lang w:val="he-IL"/>
        </w:rPr>
        <w:pict>
          <v:rect id="_x0000_s1064" style="position:absolute;left:0;text-align:left;margin-left:463.5pt;margin-top:8.05pt;width:75.05pt;height:8.95pt;z-index:251658240" filled="f" stroked="f" strokecolor="lime" strokeweight=".25pt">
            <v:textbox style="mso-next-textbox:#_x0000_s1064" inset="1mm,0,1mm,0">
              <w:txbxContent>
                <w:p w:rsidR="000025E5" w:rsidRDefault="000025E5">
                  <w:pPr>
                    <w:spacing w:line="160" w:lineRule="exact"/>
                    <w:rPr>
                      <w:rFonts w:cs="Miriam" w:hint="cs"/>
                      <w:noProof/>
                      <w:sz w:val="18"/>
                      <w:szCs w:val="18"/>
                      <w:rtl/>
                    </w:rPr>
                  </w:pPr>
                  <w:r>
                    <w:rPr>
                      <w:rFonts w:cs="Miriam" w:hint="cs"/>
                      <w:sz w:val="18"/>
                      <w:szCs w:val="18"/>
                      <w:rtl/>
                    </w:rPr>
                    <w:t>מסי חוץ</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מסי חוץ ששולמו במדינת החוץ יתורגמו לשקלים חדשים לפי שערו היציג של המטבע, אם שולמו </w:t>
      </w:r>
      <w:r>
        <w:rPr>
          <w:rStyle w:val="default"/>
          <w:rFonts w:cs="FrankRuehl"/>
          <w:rtl/>
        </w:rPr>
        <w:t>–</w:t>
      </w:r>
    </w:p>
    <w:p w:rsidR="000025E5" w:rsidRDefault="000025E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במהלך שנת המס שבה היא חייבת במס בישראל, או לפניה </w:t>
      </w:r>
      <w:r>
        <w:rPr>
          <w:rStyle w:val="default"/>
          <w:rFonts w:cs="FrankRuehl"/>
          <w:rtl/>
        </w:rPr>
        <w:t>–</w:t>
      </w:r>
      <w:r>
        <w:rPr>
          <w:rStyle w:val="default"/>
          <w:rFonts w:cs="FrankRuehl" w:hint="cs"/>
          <w:rtl/>
        </w:rPr>
        <w:t xml:space="preserve"> ביום התשלום;</w:t>
      </w:r>
    </w:p>
    <w:p w:rsidR="000025E5" w:rsidRDefault="000025E5">
      <w:pPr>
        <w:pStyle w:val="P00"/>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t xml:space="preserve">לאחר שנת המס שבה היתה הכנסת החוץ חייבת במס בישראל, אך לא יאוחר מעשרים וארבעה חודשים מתום שנת המס </w:t>
      </w:r>
      <w:r>
        <w:rPr>
          <w:rStyle w:val="default"/>
          <w:rFonts w:cs="FrankRuehl"/>
          <w:rtl/>
        </w:rPr>
        <w:t>–</w:t>
      </w:r>
      <w:r>
        <w:rPr>
          <w:rStyle w:val="default"/>
          <w:rFonts w:cs="FrankRuehl" w:hint="cs"/>
          <w:rtl/>
        </w:rPr>
        <w:t xml:space="preserve"> בתום שנת המס שבה היתה ההכנסה חייבת במס בישראל;</w:t>
      </w:r>
    </w:p>
    <w:p w:rsidR="000025E5" w:rsidRDefault="000025E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לאחר שחלפו עשרים וארבעה חודשים מתום שנת המס שבה היתה הכנסת החוץ חייבת במס בישראל </w:t>
      </w:r>
      <w:r>
        <w:rPr>
          <w:rStyle w:val="default"/>
          <w:rFonts w:cs="FrankRuehl"/>
          <w:rtl/>
        </w:rPr>
        <w:t>–</w:t>
      </w:r>
      <w:r>
        <w:rPr>
          <w:rStyle w:val="default"/>
          <w:rFonts w:cs="FrankRuehl" w:hint="cs"/>
          <w:rtl/>
        </w:rPr>
        <w:t xml:space="preserve"> ביום התשלום.</w:t>
      </w:r>
    </w:p>
    <w:p w:rsidR="000025E5" w:rsidRDefault="000025E5">
      <w:pPr>
        <w:pStyle w:val="P00"/>
        <w:spacing w:before="72"/>
        <w:ind w:left="0" w:right="1134"/>
        <w:rPr>
          <w:rStyle w:val="default"/>
          <w:rFonts w:cs="FrankRuehl" w:hint="cs"/>
          <w:rtl/>
        </w:rPr>
      </w:pPr>
      <w:bookmarkStart w:id="6" w:name="Seif7"/>
      <w:bookmarkEnd w:id="6"/>
      <w:r>
        <w:rPr>
          <w:rFonts w:cs="Miriam"/>
          <w:lang w:val="he-IL"/>
        </w:rPr>
        <w:pict>
          <v:rect id="_x0000_s1065" style="position:absolute;left:0;text-align:left;margin-left:463.5pt;margin-top:8.05pt;width:75.05pt;height:8.95pt;z-index:251659264" filled="f" stroked="f" strokecolor="lime" strokeweight=".25pt">
            <v:textbox style="mso-next-textbox:#_x0000_s1065" inset="1mm,0,1mm,0">
              <w:txbxContent>
                <w:p w:rsidR="000025E5" w:rsidRDefault="000025E5">
                  <w:pPr>
                    <w:spacing w:line="160" w:lineRule="exact"/>
                    <w:rPr>
                      <w:rFonts w:cs="Miriam" w:hint="cs"/>
                      <w:noProof/>
                      <w:sz w:val="18"/>
                      <w:szCs w:val="18"/>
                      <w:rtl/>
                    </w:rPr>
                  </w:pPr>
                  <w:r>
                    <w:rPr>
                      <w:rFonts w:cs="Miriam" w:hint="cs"/>
                      <w:sz w:val="18"/>
                      <w:szCs w:val="18"/>
                      <w:rtl/>
                    </w:rPr>
                    <w:t>רווח הון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לענין חישוב רווח ההון והפחת יחולו הוראות אלה:</w:t>
      </w:r>
    </w:p>
    <w:p w:rsidR="000025E5" w:rsidRDefault="000025E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מחירו המקורי של נכס, יתורגם לשקלים חדשים לפי שערו היציג של המטבע ביום הרכישה או במועד התשלום, לפי המוקדם;</w:t>
      </w:r>
    </w:p>
    <w:p w:rsidR="000025E5" w:rsidRDefault="000025E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תמורה תתורגם לשקלים חדשים, לפי שערו היציג של המטבע ביום המכירה של הנכס או ביום קבלת התשלום, לפי המוקדם.</w:t>
      </w:r>
    </w:p>
    <w:p w:rsidR="000025E5" w:rsidRDefault="000025E5">
      <w:pPr>
        <w:pStyle w:val="P00"/>
        <w:spacing w:before="72"/>
        <w:ind w:left="0" w:right="1134"/>
        <w:rPr>
          <w:rStyle w:val="default"/>
          <w:rFonts w:cs="FrankRuehl" w:hint="cs"/>
          <w:rtl/>
        </w:rPr>
      </w:pPr>
      <w:bookmarkStart w:id="7" w:name="Seif8"/>
      <w:bookmarkEnd w:id="7"/>
      <w:r>
        <w:rPr>
          <w:rFonts w:cs="Miriam"/>
          <w:lang w:val="he-IL"/>
        </w:rPr>
        <w:pict>
          <v:rect id="_x0000_s1066" style="position:absolute;left:0;text-align:left;margin-left:463.5pt;margin-top:8.05pt;width:75.05pt;height:17.75pt;z-index:251660288" filled="f" stroked="f" strokecolor="lime" strokeweight=".25pt">
            <v:textbox style="mso-next-textbox:#_x0000_s1066" inset="1mm,0,1mm,0">
              <w:txbxContent>
                <w:p w:rsidR="000025E5" w:rsidRDefault="000025E5">
                  <w:pPr>
                    <w:spacing w:line="160" w:lineRule="exact"/>
                    <w:rPr>
                      <w:rFonts w:cs="Miriam" w:hint="cs"/>
                      <w:noProof/>
                      <w:sz w:val="18"/>
                      <w:szCs w:val="18"/>
                      <w:rtl/>
                    </w:rPr>
                  </w:pPr>
                  <w:r>
                    <w:rPr>
                      <w:rFonts w:cs="Miriam" w:hint="cs"/>
                      <w:sz w:val="18"/>
                      <w:szCs w:val="18"/>
                      <w:rtl/>
                    </w:rPr>
                    <w:t>הפסד</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הפסד בשקלים חדשים שהיה לאדם מחוץ לישראל, שנוצר לאחר תרגום ההכנסה וההוצאה על פי כללים אלה, וניתן להעבירו לשנות המס הבאות, לא יתורגם למטבע חוץ ויועבר לשנים הבאות בשקלים חדשים.</w:t>
      </w:r>
    </w:p>
    <w:p w:rsidR="000025E5" w:rsidRDefault="000025E5">
      <w:pPr>
        <w:pStyle w:val="P00"/>
        <w:spacing w:before="72"/>
        <w:ind w:left="0" w:right="1134"/>
        <w:rPr>
          <w:rStyle w:val="default"/>
          <w:rFonts w:cs="FrankRuehl" w:hint="cs"/>
          <w:rtl/>
        </w:rPr>
      </w:pPr>
      <w:bookmarkStart w:id="8" w:name="Seif9"/>
      <w:bookmarkEnd w:id="8"/>
      <w:r>
        <w:rPr>
          <w:rFonts w:cs="Miriam"/>
          <w:lang w:val="he-IL"/>
        </w:rPr>
        <w:pict>
          <v:rect id="_x0000_s1067" style="position:absolute;left:0;text-align:left;margin-left:463.5pt;margin-top:8.05pt;width:75.05pt;height:8.95pt;z-index:251661312" filled="f" stroked="f" strokecolor="lime" strokeweight=".25pt">
            <v:textbox style="mso-next-textbox:#_x0000_s1067" inset="1mm,0,1mm,0">
              <w:txbxContent>
                <w:p w:rsidR="000025E5" w:rsidRDefault="000025E5">
                  <w:pPr>
                    <w:spacing w:line="160" w:lineRule="exact"/>
                    <w:rPr>
                      <w:rFonts w:cs="Miriam" w:hint="cs"/>
                      <w:noProof/>
                      <w:sz w:val="18"/>
                      <w:szCs w:val="18"/>
                      <w:rtl/>
                    </w:rPr>
                  </w:pPr>
                  <w:r>
                    <w:rPr>
                      <w:rFonts w:cs="Miriam" w:hint="cs"/>
                      <w:sz w:val="18"/>
                      <w:szCs w:val="18"/>
                      <w:rtl/>
                    </w:rPr>
                    <w:t>סכומים בשקלים</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הכנסות או הוצאות ששולמו או שהתקבלו בשקלים חדשים, לפי הענין, לא יתורגמו למטבע חוץ ויובאו בחשבו, לענין חישוב ההכנסה החייבת, בשקלים חדשים.</w:t>
      </w:r>
    </w:p>
    <w:p w:rsidR="000025E5" w:rsidRDefault="000025E5">
      <w:pPr>
        <w:pStyle w:val="P00"/>
        <w:spacing w:before="72"/>
        <w:ind w:left="0" w:right="1134"/>
        <w:rPr>
          <w:rStyle w:val="default"/>
          <w:rFonts w:cs="FrankRuehl" w:hint="cs"/>
          <w:rtl/>
        </w:rPr>
      </w:pPr>
      <w:bookmarkStart w:id="9" w:name="Seif10"/>
      <w:bookmarkEnd w:id="9"/>
      <w:r>
        <w:rPr>
          <w:rFonts w:cs="Miriam"/>
          <w:lang w:val="he-IL"/>
        </w:rPr>
        <w:pict>
          <v:rect id="_x0000_s1068" style="position:absolute;left:0;text-align:left;margin-left:463.5pt;margin-top:8.05pt;width:75.05pt;height:8.95pt;z-index:251662336" filled="f" stroked="f" strokecolor="lime" strokeweight=".25pt">
            <v:textbox style="mso-next-textbox:#_x0000_s1068" inset="1mm,0,1mm,0">
              <w:txbxContent>
                <w:p w:rsidR="000025E5" w:rsidRDefault="000025E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כללים אלה יחולו על דוחות שיש להגישם לשנת המס 2003, ואילך.</w:t>
      </w:r>
    </w:p>
    <w:p w:rsidR="000025E5" w:rsidRDefault="000025E5">
      <w:pPr>
        <w:pStyle w:val="P00"/>
        <w:spacing w:before="72"/>
        <w:ind w:left="0" w:right="1134"/>
        <w:rPr>
          <w:rStyle w:val="default"/>
          <w:rFonts w:cs="FrankRuehl" w:hint="cs"/>
          <w:rtl/>
        </w:rPr>
      </w:pPr>
    </w:p>
    <w:p w:rsidR="000025E5" w:rsidRPr="008A40D3" w:rsidRDefault="000025E5" w:rsidP="008A40D3">
      <w:pPr>
        <w:pStyle w:val="P00"/>
        <w:spacing w:before="72"/>
        <w:ind w:left="0" w:right="1134"/>
        <w:rPr>
          <w:rStyle w:val="default"/>
          <w:rFonts w:cs="FrankRuehl" w:hint="cs"/>
          <w:rtl/>
        </w:rPr>
      </w:pPr>
    </w:p>
    <w:p w:rsidR="000025E5" w:rsidRDefault="000025E5">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ח' בכסלו התשס"ד (3 בדצמבר 2003)</w:t>
      </w:r>
    </w:p>
    <w:p w:rsidR="000025E5" w:rsidRDefault="000025E5">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ab/>
        <w:t>טל ירון-אלדר</w:t>
      </w:r>
    </w:p>
    <w:p w:rsidR="000025E5" w:rsidRDefault="000025E5">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נציבת מס הכנסה</w:t>
      </w:r>
    </w:p>
    <w:p w:rsidR="000025E5" w:rsidRPr="008A40D3" w:rsidRDefault="000025E5" w:rsidP="008A40D3">
      <w:pPr>
        <w:pStyle w:val="P00"/>
        <w:spacing w:before="72"/>
        <w:ind w:left="0" w:right="1134"/>
        <w:rPr>
          <w:rStyle w:val="default"/>
          <w:rFonts w:cs="FrankRuehl" w:hint="cs"/>
          <w:rtl/>
        </w:rPr>
      </w:pPr>
    </w:p>
    <w:p w:rsidR="008A40D3" w:rsidRPr="008A40D3" w:rsidRDefault="008A40D3" w:rsidP="008A40D3">
      <w:pPr>
        <w:pStyle w:val="P00"/>
        <w:spacing w:before="72"/>
        <w:ind w:left="0" w:right="1134"/>
        <w:rPr>
          <w:rStyle w:val="default"/>
          <w:rFonts w:cs="FrankRuehl" w:hint="cs"/>
          <w:rtl/>
        </w:rPr>
      </w:pPr>
    </w:p>
    <w:p w:rsidR="008A40D3" w:rsidRPr="008A40D3" w:rsidRDefault="008A40D3" w:rsidP="008A40D3">
      <w:pPr>
        <w:pStyle w:val="P00"/>
        <w:spacing w:before="72"/>
        <w:ind w:left="0" w:right="1134"/>
        <w:rPr>
          <w:rStyle w:val="default"/>
          <w:rFonts w:cs="FrankRuehl" w:hint="cs"/>
          <w:rtl/>
        </w:rPr>
      </w:pPr>
    </w:p>
    <w:sectPr w:rsidR="008A40D3" w:rsidRPr="008A40D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16C0" w:rsidRDefault="000016C0">
      <w:r>
        <w:separator/>
      </w:r>
    </w:p>
  </w:endnote>
  <w:endnote w:type="continuationSeparator" w:id="0">
    <w:p w:rsidR="000016C0" w:rsidRDefault="0000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5E5" w:rsidRDefault="000025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025E5" w:rsidRDefault="000025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025E5" w:rsidRDefault="000025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17B0">
      <w:rPr>
        <w:rFonts w:cs="TopType Jerushalmi"/>
        <w:noProof/>
        <w:color w:val="000000"/>
        <w:sz w:val="14"/>
        <w:szCs w:val="14"/>
      </w:rPr>
      <w:t>Z:\000000000000-law\yael\08-10-12\999_233.doc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5E5" w:rsidRDefault="000025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7452">
      <w:rPr>
        <w:rFonts w:hAnsi="FrankRuehl" w:cs="FrankRuehl"/>
        <w:noProof/>
        <w:sz w:val="24"/>
        <w:szCs w:val="24"/>
        <w:rtl/>
      </w:rPr>
      <w:t>2</w:t>
    </w:r>
    <w:r>
      <w:rPr>
        <w:rFonts w:hAnsi="FrankRuehl" w:cs="FrankRuehl"/>
        <w:sz w:val="24"/>
        <w:szCs w:val="24"/>
        <w:rtl/>
      </w:rPr>
      <w:fldChar w:fldCharType="end"/>
    </w:r>
  </w:p>
  <w:p w:rsidR="000025E5" w:rsidRDefault="000025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025E5" w:rsidRDefault="000025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17B0">
      <w:rPr>
        <w:rFonts w:cs="TopType Jerushalmi"/>
        <w:noProof/>
        <w:color w:val="000000"/>
        <w:sz w:val="14"/>
        <w:szCs w:val="14"/>
      </w:rPr>
      <w:t>Z:\000000000000-law\yael\08-10-12\999_233.doc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16C0" w:rsidRDefault="000016C0" w:rsidP="008A40D3">
      <w:pPr>
        <w:spacing w:before="60"/>
        <w:ind w:right="1134"/>
      </w:pPr>
      <w:r>
        <w:separator/>
      </w:r>
    </w:p>
  </w:footnote>
  <w:footnote w:type="continuationSeparator" w:id="0">
    <w:p w:rsidR="000016C0" w:rsidRDefault="000016C0">
      <w:r>
        <w:continuationSeparator/>
      </w:r>
    </w:p>
  </w:footnote>
  <w:footnote w:id="1">
    <w:p w:rsidR="000025E5" w:rsidRDefault="000025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B44EA">
          <w:rPr>
            <w:rStyle w:val="Hyperlink"/>
            <w:rFonts w:cs="FrankRuehl" w:hint="cs"/>
            <w:rtl/>
          </w:rPr>
          <w:t>ק"ת תשס"ד מס' 6280</w:t>
        </w:r>
      </w:hyperlink>
      <w:r>
        <w:rPr>
          <w:rFonts w:cs="FrankRuehl" w:hint="cs"/>
          <w:rtl/>
        </w:rPr>
        <w:t xml:space="preserve"> מיום 28.12.2003 עמ' 104.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5E5" w:rsidRDefault="000025E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025E5" w:rsidRDefault="000025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25E5" w:rsidRDefault="000025E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5E5" w:rsidRDefault="000025E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כללי מס הכנסה (המרה לשקלים חדשים של סכומים שמקורם מחוץ לישראל), </w:t>
    </w:r>
    <w:r>
      <w:rPr>
        <w:rFonts w:hAnsi="FrankRuehl" w:cs="FrankRuehl"/>
        <w:color w:val="000000"/>
        <w:sz w:val="28"/>
        <w:szCs w:val="28"/>
        <w:rtl/>
      </w:rPr>
      <w:br/>
    </w:r>
    <w:r>
      <w:rPr>
        <w:rFonts w:hAnsi="FrankRuehl" w:cs="FrankRuehl" w:hint="cs"/>
        <w:color w:val="000000"/>
        <w:sz w:val="28"/>
        <w:szCs w:val="28"/>
        <w:rtl/>
      </w:rPr>
      <w:t>תשס"ד-2003</w:t>
    </w:r>
  </w:p>
  <w:p w:rsidR="000025E5" w:rsidRDefault="000025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25E5" w:rsidRDefault="000025E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9597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44EA"/>
    <w:rsid w:val="000016C0"/>
    <w:rsid w:val="000025E5"/>
    <w:rsid w:val="001C06F3"/>
    <w:rsid w:val="003E7452"/>
    <w:rsid w:val="004317B0"/>
    <w:rsid w:val="00486B3B"/>
    <w:rsid w:val="005B44EA"/>
    <w:rsid w:val="00815C75"/>
    <w:rsid w:val="0082252E"/>
    <w:rsid w:val="008A40D3"/>
    <w:rsid w:val="00BC7AFB"/>
    <w:rsid w:val="00E005DA"/>
    <w:rsid w:val="00F91A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90A22A88-1BE6-4D79-992D-BFB363EF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4280</CharactersWithSpaces>
  <SharedDoc>false</SharedDoc>
  <HLinks>
    <vt:vector size="66" baseType="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7798794</vt:i4>
      </vt:variant>
      <vt:variant>
        <vt:i4>0</vt:i4>
      </vt:variant>
      <vt:variant>
        <vt:i4>0</vt:i4>
      </vt:variant>
      <vt:variant>
        <vt:i4>5</vt:i4>
      </vt:variant>
      <vt:variant>
        <vt:lpwstr>http://www.nevo.co.il/Law_word/law06/TAK-6280.pdf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מס הכנסה (המרה לשקלים חדשים של סכומים שמקורם מחוץ לישראל), תשס"ד-2003</vt:lpwstr>
  </property>
  <property fmtid="{D5CDD505-2E9C-101B-9397-08002B2CF9AE}" pid="4" name="LAWNUMBER">
    <vt:lpwstr>0233</vt:lpwstr>
  </property>
  <property fmtid="{D5CDD505-2E9C-101B-9397-08002B2CF9AE}" pid="5" name="TYPE">
    <vt:lpwstr>01</vt:lpwstr>
  </property>
  <property fmtid="{D5CDD505-2E9C-101B-9397-08002B2CF9AE}" pid="6" name="CHNAME">
    <vt:lpwstr>מס הכנסה</vt:lpwstr>
  </property>
  <property fmtid="{D5CDD505-2E9C-101B-9397-08002B2CF9AE}" pid="7" name="MEKOR_NAME1">
    <vt:lpwstr>פקודת מס הכנסה </vt:lpwstr>
  </property>
  <property fmtid="{D5CDD505-2E9C-101B-9397-08002B2CF9AE}" pid="8" name="MEKOR_SAIF1">
    <vt:lpwstr>240אX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הכנסת חוץ</vt:lpwstr>
  </property>
  <property fmtid="{D5CDD505-2E9C-101B-9397-08002B2CF9AE}" pid="12" name="NOSE41">
    <vt:lpwstr>המרה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