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2DF1" w14:textId="77777777" w:rsidR="00CE7161" w:rsidRDefault="00CE7161" w:rsidP="00DD3D9D">
      <w:pPr>
        <w:pStyle w:val="big-header"/>
        <w:ind w:left="0" w:right="1134"/>
        <w:rPr>
          <w:rFonts w:cs="FrankRuehl"/>
          <w:sz w:val="32"/>
        </w:rPr>
      </w:pPr>
      <w:r>
        <w:rPr>
          <w:rFonts w:cs="FrankRuehl"/>
          <w:sz w:val="32"/>
          <w:rtl/>
        </w:rPr>
        <w:t>כללי מס הכנסה (השוואת הון על פי דו"ח שהגיש יהלומן), תשמ"ו</w:t>
      </w:r>
      <w:r w:rsidR="00DD3D9D">
        <w:rPr>
          <w:rFonts w:cs="FrankRuehl" w:hint="cs"/>
          <w:sz w:val="32"/>
          <w:rtl/>
        </w:rPr>
        <w:t>-</w:t>
      </w:r>
      <w:r>
        <w:rPr>
          <w:rFonts w:cs="FrankRuehl"/>
          <w:sz w:val="32"/>
          <w:rtl/>
        </w:rPr>
        <w:t>1986</w:t>
      </w:r>
    </w:p>
    <w:p w14:paraId="71E65EEC" w14:textId="77777777" w:rsidR="00C03C81" w:rsidRPr="00C03C81" w:rsidRDefault="00C03C81" w:rsidP="00C03C81">
      <w:pPr>
        <w:spacing w:line="320" w:lineRule="auto"/>
        <w:rPr>
          <w:rFonts w:cs="FrankRuehl"/>
          <w:szCs w:val="26"/>
          <w:rtl/>
        </w:rPr>
      </w:pPr>
    </w:p>
    <w:p w14:paraId="2DD484EA" w14:textId="77777777" w:rsidR="00BA6115" w:rsidRDefault="00BA6115" w:rsidP="00BA6115">
      <w:pPr>
        <w:spacing w:line="320" w:lineRule="auto"/>
        <w:rPr>
          <w:rtl/>
        </w:rPr>
      </w:pPr>
    </w:p>
    <w:p w14:paraId="4CFBBE2D" w14:textId="77777777" w:rsidR="00BA6115" w:rsidRDefault="00BA6115" w:rsidP="00BA6115">
      <w:pPr>
        <w:spacing w:line="320" w:lineRule="auto"/>
        <w:rPr>
          <w:rFonts w:cs="FrankRuehl"/>
          <w:szCs w:val="26"/>
          <w:rtl/>
        </w:rPr>
      </w:pPr>
      <w:r w:rsidRPr="00BA6115">
        <w:rPr>
          <w:rFonts w:cs="Miriam"/>
          <w:szCs w:val="22"/>
          <w:rtl/>
        </w:rPr>
        <w:t>מסים</w:t>
      </w:r>
      <w:r w:rsidRPr="00BA6115">
        <w:rPr>
          <w:rFonts w:cs="FrankRuehl"/>
          <w:szCs w:val="26"/>
          <w:rtl/>
        </w:rPr>
        <w:t xml:space="preserve"> – מס הכנסה – דו"חות</w:t>
      </w:r>
    </w:p>
    <w:p w14:paraId="70BBB4E3" w14:textId="77777777" w:rsidR="00C03C81" w:rsidRPr="00BA6115" w:rsidRDefault="00BA6115" w:rsidP="00BA6115">
      <w:pPr>
        <w:spacing w:line="320" w:lineRule="auto"/>
        <w:rPr>
          <w:rFonts w:cs="Miriam"/>
          <w:szCs w:val="22"/>
          <w:rtl/>
        </w:rPr>
      </w:pPr>
      <w:r w:rsidRPr="00BA6115">
        <w:rPr>
          <w:rFonts w:cs="Miriam"/>
          <w:szCs w:val="22"/>
          <w:rtl/>
        </w:rPr>
        <w:t>מסים</w:t>
      </w:r>
      <w:r w:rsidRPr="00BA6115">
        <w:rPr>
          <w:rFonts w:cs="FrankRuehl"/>
          <w:szCs w:val="26"/>
          <w:rtl/>
        </w:rPr>
        <w:t xml:space="preserve"> – מס הכנסה – יהלומנים</w:t>
      </w:r>
    </w:p>
    <w:p w14:paraId="6C1761EC" w14:textId="77777777" w:rsidR="00CE7161" w:rsidRDefault="00CE716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921DE" w:rsidRPr="002921DE" w14:paraId="4519114E" w14:textId="77777777">
        <w:tblPrEx>
          <w:tblCellMar>
            <w:top w:w="0" w:type="dxa"/>
            <w:bottom w:w="0" w:type="dxa"/>
          </w:tblCellMar>
        </w:tblPrEx>
        <w:tc>
          <w:tcPr>
            <w:tcW w:w="1247" w:type="dxa"/>
          </w:tcPr>
          <w:p w14:paraId="58148582" w14:textId="77777777" w:rsidR="002921DE" w:rsidRPr="002921DE" w:rsidRDefault="002921DE" w:rsidP="002921DE">
            <w:pPr>
              <w:rPr>
                <w:rFonts w:cs="Frankruhel"/>
                <w:rtl/>
              </w:rPr>
            </w:pPr>
            <w:r>
              <w:rPr>
                <w:rtl/>
              </w:rPr>
              <w:t xml:space="preserve">סעיף 1 </w:t>
            </w:r>
          </w:p>
        </w:tc>
        <w:tc>
          <w:tcPr>
            <w:tcW w:w="5669" w:type="dxa"/>
          </w:tcPr>
          <w:p w14:paraId="26529FEC" w14:textId="77777777" w:rsidR="002921DE" w:rsidRPr="002921DE" w:rsidRDefault="002921DE" w:rsidP="002921DE">
            <w:pPr>
              <w:rPr>
                <w:rFonts w:cs="Frankruhel"/>
                <w:rtl/>
              </w:rPr>
            </w:pPr>
            <w:r>
              <w:rPr>
                <w:rtl/>
              </w:rPr>
              <w:t>פרשנות</w:t>
            </w:r>
          </w:p>
        </w:tc>
        <w:tc>
          <w:tcPr>
            <w:tcW w:w="567" w:type="dxa"/>
          </w:tcPr>
          <w:p w14:paraId="4ACDF674" w14:textId="77777777" w:rsidR="002921DE" w:rsidRPr="002921DE" w:rsidRDefault="002921DE" w:rsidP="002921DE">
            <w:pPr>
              <w:rPr>
                <w:rStyle w:val="Hyperlink"/>
                <w:rtl/>
              </w:rPr>
            </w:pPr>
            <w:hyperlink w:anchor="Seif1" w:tooltip="פרשנות" w:history="1">
              <w:r w:rsidRPr="002921DE">
                <w:rPr>
                  <w:rStyle w:val="Hyperlink"/>
                </w:rPr>
                <w:t>Go</w:t>
              </w:r>
            </w:hyperlink>
          </w:p>
        </w:tc>
        <w:tc>
          <w:tcPr>
            <w:tcW w:w="850" w:type="dxa"/>
          </w:tcPr>
          <w:p w14:paraId="5A749230" w14:textId="77777777" w:rsidR="002921DE" w:rsidRPr="002921DE" w:rsidRDefault="002921DE" w:rsidP="002921D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921DE" w:rsidRPr="002921DE" w14:paraId="414AF1D8" w14:textId="77777777">
        <w:tblPrEx>
          <w:tblCellMar>
            <w:top w:w="0" w:type="dxa"/>
            <w:bottom w:w="0" w:type="dxa"/>
          </w:tblCellMar>
        </w:tblPrEx>
        <w:tc>
          <w:tcPr>
            <w:tcW w:w="1247" w:type="dxa"/>
          </w:tcPr>
          <w:p w14:paraId="6DB9BD51" w14:textId="77777777" w:rsidR="002921DE" w:rsidRPr="002921DE" w:rsidRDefault="002921DE" w:rsidP="002921DE">
            <w:pPr>
              <w:rPr>
                <w:rFonts w:cs="Frankruhel"/>
                <w:rtl/>
              </w:rPr>
            </w:pPr>
            <w:r>
              <w:rPr>
                <w:rtl/>
              </w:rPr>
              <w:t xml:space="preserve">סעיף 2 </w:t>
            </w:r>
          </w:p>
        </w:tc>
        <w:tc>
          <w:tcPr>
            <w:tcW w:w="5669" w:type="dxa"/>
          </w:tcPr>
          <w:p w14:paraId="09A0C06B" w14:textId="77777777" w:rsidR="002921DE" w:rsidRPr="002921DE" w:rsidRDefault="002921DE" w:rsidP="002921DE">
            <w:pPr>
              <w:rPr>
                <w:rFonts w:cs="Frankruhel"/>
                <w:rtl/>
              </w:rPr>
            </w:pPr>
            <w:r>
              <w:rPr>
                <w:rtl/>
              </w:rPr>
              <w:t>תרגום לדולרים לצורך השוואת הון</w:t>
            </w:r>
          </w:p>
        </w:tc>
        <w:tc>
          <w:tcPr>
            <w:tcW w:w="567" w:type="dxa"/>
          </w:tcPr>
          <w:p w14:paraId="7702833D" w14:textId="77777777" w:rsidR="002921DE" w:rsidRPr="002921DE" w:rsidRDefault="002921DE" w:rsidP="002921DE">
            <w:pPr>
              <w:rPr>
                <w:rStyle w:val="Hyperlink"/>
                <w:rtl/>
              </w:rPr>
            </w:pPr>
            <w:hyperlink w:anchor="Seif2" w:tooltip="תרגום לדולרים לצורך השוואת הון" w:history="1">
              <w:r w:rsidRPr="002921DE">
                <w:rPr>
                  <w:rStyle w:val="Hyperlink"/>
                </w:rPr>
                <w:t>Go</w:t>
              </w:r>
            </w:hyperlink>
          </w:p>
        </w:tc>
        <w:tc>
          <w:tcPr>
            <w:tcW w:w="850" w:type="dxa"/>
          </w:tcPr>
          <w:p w14:paraId="3671A81B" w14:textId="77777777" w:rsidR="002921DE" w:rsidRPr="002921DE" w:rsidRDefault="002921DE" w:rsidP="002921DE">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14:paraId="732CC3BB" w14:textId="77777777" w:rsidR="00CE7161" w:rsidRDefault="00CE7161">
      <w:pPr>
        <w:pStyle w:val="big-header"/>
        <w:ind w:left="0" w:right="1134"/>
        <w:rPr>
          <w:rFonts w:cs="FrankRuehl"/>
          <w:sz w:val="32"/>
          <w:rtl/>
        </w:rPr>
      </w:pPr>
    </w:p>
    <w:p w14:paraId="175DDC17" w14:textId="77777777" w:rsidR="00CE7161" w:rsidRDefault="00CE7161" w:rsidP="00C03C81">
      <w:pPr>
        <w:pStyle w:val="big-header"/>
        <w:ind w:left="0" w:right="1134"/>
        <w:rPr>
          <w:rStyle w:val="default"/>
          <w:rFonts w:hint="cs"/>
          <w:rtl/>
        </w:rPr>
      </w:pPr>
      <w:r>
        <w:rPr>
          <w:rtl/>
        </w:rPr>
        <w:br w:type="page"/>
      </w:r>
      <w:r>
        <w:rPr>
          <w:rFonts w:cs="FrankRuehl"/>
          <w:sz w:val="32"/>
          <w:rtl/>
        </w:rPr>
        <w:lastRenderedPageBreak/>
        <w:t>כל</w:t>
      </w:r>
      <w:r>
        <w:rPr>
          <w:rFonts w:cs="FrankRuehl" w:hint="cs"/>
          <w:sz w:val="32"/>
          <w:rtl/>
        </w:rPr>
        <w:t>לי מס הכנסה (השוואת הון על פי דו"ח שהגיש יהלומן), תשמ"ו</w:t>
      </w:r>
      <w:r w:rsidR="00DD3D9D">
        <w:rPr>
          <w:rFonts w:cs="FrankRuehl" w:hint="cs"/>
          <w:sz w:val="32"/>
          <w:rtl/>
        </w:rPr>
        <w:t>-</w:t>
      </w:r>
      <w:r>
        <w:rPr>
          <w:rFonts w:cs="FrankRuehl"/>
          <w:sz w:val="32"/>
          <w:rtl/>
        </w:rPr>
        <w:t>1986</w:t>
      </w:r>
      <w:r w:rsidR="00DD3D9D">
        <w:rPr>
          <w:rStyle w:val="a6"/>
          <w:rFonts w:cs="FrankRuehl"/>
          <w:sz w:val="32"/>
          <w:rtl/>
        </w:rPr>
        <w:footnoteReference w:customMarkFollows="1" w:id="1"/>
        <w:t>*</w:t>
      </w:r>
    </w:p>
    <w:p w14:paraId="06D11B47" w14:textId="77777777" w:rsidR="00CE7161" w:rsidRPr="00DD3D9D" w:rsidRDefault="00CE7161" w:rsidP="00DD3D9D">
      <w:pPr>
        <w:pStyle w:val="P00"/>
        <w:spacing w:before="72"/>
        <w:ind w:left="0" w:right="1134"/>
        <w:rPr>
          <w:rStyle w:val="default"/>
          <w:rFonts w:cs="FrankRuehl"/>
          <w:rtl/>
        </w:rPr>
      </w:pPr>
      <w:r w:rsidRPr="00DD3D9D">
        <w:rPr>
          <w:rFonts w:cs="FrankRuehl"/>
          <w:sz w:val="26"/>
          <w:rtl/>
        </w:rPr>
        <w:tab/>
      </w:r>
      <w:r w:rsidRPr="00DD3D9D">
        <w:rPr>
          <w:rStyle w:val="default"/>
          <w:rFonts w:cs="FrankRuehl"/>
          <w:rtl/>
        </w:rPr>
        <w:t>בתוקף סמכותי לפי תקנה 10 לתקנות מס הכנסה (כללים בדבר ניהול פנקסי חשבונות של יהלומן וקביעת הכנסתו החייבת), תשמ"א</w:t>
      </w:r>
      <w:r w:rsidR="00DD3D9D">
        <w:rPr>
          <w:rStyle w:val="default"/>
          <w:rFonts w:cs="FrankRuehl" w:hint="cs"/>
          <w:rtl/>
        </w:rPr>
        <w:t>-</w:t>
      </w:r>
      <w:r w:rsidRPr="00DD3D9D">
        <w:rPr>
          <w:rStyle w:val="default"/>
          <w:rFonts w:cs="FrankRuehl"/>
          <w:rtl/>
        </w:rPr>
        <w:t xml:space="preserve">1980 (להלן </w:t>
      </w:r>
      <w:r w:rsidR="00DD3D9D">
        <w:rPr>
          <w:rStyle w:val="default"/>
          <w:rFonts w:hint="cs"/>
          <w:rtl/>
        </w:rPr>
        <w:t>-</w:t>
      </w:r>
      <w:r w:rsidRPr="00DD3D9D">
        <w:rPr>
          <w:rStyle w:val="default"/>
          <w:rFonts w:cs="FrankRuehl"/>
          <w:rtl/>
        </w:rPr>
        <w:t xml:space="preserve"> התקנות), אני קובע כללים אלה:</w:t>
      </w:r>
    </w:p>
    <w:p w14:paraId="1F1019C2" w14:textId="77777777" w:rsidR="00CE7161" w:rsidRPr="00DD3D9D" w:rsidRDefault="00CE7161" w:rsidP="00DD3D9D">
      <w:pPr>
        <w:pStyle w:val="P00"/>
        <w:spacing w:before="72"/>
        <w:ind w:left="0" w:right="1134"/>
        <w:rPr>
          <w:rStyle w:val="default"/>
          <w:rFonts w:cs="FrankRuehl"/>
          <w:rtl/>
        </w:rPr>
      </w:pPr>
      <w:bookmarkStart w:id="0" w:name="Seif1"/>
      <w:bookmarkEnd w:id="0"/>
      <w:r w:rsidRPr="00DD3D9D">
        <w:rPr>
          <w:rFonts w:cs="Miriam"/>
          <w:lang w:val="he-IL"/>
        </w:rPr>
        <w:pict w14:anchorId="26370639">
          <v:rect id="_x0000_s1026" style="position:absolute;left:0;text-align:left;margin-left:464.5pt;margin-top:8.05pt;width:75.05pt;height:13.35pt;z-index:251657216" o:allowincell="f" filled="f" stroked="f" strokecolor="lime" strokeweight=".25pt">
            <v:textbox style="mso-next-textbox:#_x0000_s1026" inset="0,0,0,0">
              <w:txbxContent>
                <w:p w14:paraId="1AC783B4" w14:textId="77777777" w:rsidR="00CE7161" w:rsidRDefault="00CE7161">
                  <w:pPr>
                    <w:spacing w:line="160" w:lineRule="exact"/>
                    <w:rPr>
                      <w:rFonts w:cs="Miriam"/>
                      <w:noProof/>
                      <w:sz w:val="18"/>
                      <w:szCs w:val="18"/>
                      <w:rtl/>
                    </w:rPr>
                  </w:pPr>
                  <w:r>
                    <w:rPr>
                      <w:rFonts w:cs="Miriam"/>
                      <w:sz w:val="18"/>
                      <w:szCs w:val="18"/>
                      <w:rtl/>
                    </w:rPr>
                    <w:t>פר</w:t>
                  </w:r>
                  <w:r>
                    <w:rPr>
                      <w:rFonts w:cs="Miriam" w:hint="cs"/>
                      <w:sz w:val="18"/>
                      <w:szCs w:val="18"/>
                      <w:rtl/>
                    </w:rPr>
                    <w:t>שנות</w:t>
                  </w:r>
                </w:p>
              </w:txbxContent>
            </v:textbox>
            <w10:anchorlock/>
          </v:rect>
        </w:pict>
      </w:r>
      <w:r w:rsidRPr="00DD3D9D">
        <w:rPr>
          <w:rStyle w:val="big-number"/>
          <w:rFonts w:cs="Miriam"/>
          <w:rtl/>
        </w:rPr>
        <w:t>1</w:t>
      </w:r>
      <w:r w:rsidRPr="00DD3D9D">
        <w:rPr>
          <w:rStyle w:val="default"/>
          <w:rFonts w:cs="FrankRuehl"/>
          <w:rtl/>
        </w:rPr>
        <w:t>.</w:t>
      </w:r>
      <w:r w:rsidRPr="00DD3D9D">
        <w:rPr>
          <w:rStyle w:val="default"/>
          <w:rFonts w:cs="FrankRuehl"/>
          <w:rtl/>
        </w:rPr>
        <w:tab/>
        <w:t>(א)</w:t>
      </w:r>
      <w:r w:rsidRPr="00DD3D9D">
        <w:rPr>
          <w:rStyle w:val="default"/>
          <w:rFonts w:cs="FrankRuehl"/>
          <w:rtl/>
        </w:rPr>
        <w:tab/>
        <w:t xml:space="preserve">בכללים אלה, "הצהרת הון" </w:t>
      </w:r>
      <w:r w:rsidR="00DD3D9D">
        <w:rPr>
          <w:rStyle w:val="default"/>
          <w:rFonts w:hint="cs"/>
          <w:rtl/>
        </w:rPr>
        <w:t>-</w:t>
      </w:r>
      <w:r w:rsidRPr="00DD3D9D">
        <w:rPr>
          <w:rStyle w:val="default"/>
          <w:rFonts w:cs="FrankRuehl"/>
          <w:rtl/>
        </w:rPr>
        <w:t xml:space="preserve"> דו"ח לפי סעיף 135 לפקודת מס הכנסה (להלן </w:t>
      </w:r>
      <w:r w:rsidR="00DD3D9D">
        <w:rPr>
          <w:rStyle w:val="default"/>
          <w:rFonts w:hint="cs"/>
          <w:rtl/>
        </w:rPr>
        <w:t>-</w:t>
      </w:r>
      <w:r w:rsidRPr="00DD3D9D">
        <w:rPr>
          <w:rStyle w:val="default"/>
          <w:rFonts w:cs="FrankRuehl"/>
          <w:rtl/>
        </w:rPr>
        <w:t xml:space="preserve"> הפקודה) בדבר הון ונכסים.</w:t>
      </w:r>
    </w:p>
    <w:p w14:paraId="47B8EC56" w14:textId="77777777" w:rsidR="00CE7161" w:rsidRPr="00DD3D9D" w:rsidRDefault="00CE7161">
      <w:pPr>
        <w:pStyle w:val="P00"/>
        <w:spacing w:before="72"/>
        <w:ind w:left="0" w:right="1134"/>
        <w:rPr>
          <w:rStyle w:val="default"/>
          <w:rFonts w:cs="FrankRuehl"/>
          <w:rtl/>
        </w:rPr>
      </w:pPr>
      <w:r w:rsidRPr="00DD3D9D">
        <w:rPr>
          <w:rFonts w:cs="FrankRuehl"/>
          <w:sz w:val="26"/>
          <w:rtl/>
        </w:rPr>
        <w:tab/>
      </w:r>
      <w:r w:rsidRPr="00DD3D9D">
        <w:rPr>
          <w:rStyle w:val="default"/>
          <w:rFonts w:cs="FrankRuehl"/>
          <w:rtl/>
        </w:rPr>
        <w:t>(ב)</w:t>
      </w:r>
      <w:r w:rsidRPr="00DD3D9D">
        <w:rPr>
          <w:rStyle w:val="default"/>
          <w:rFonts w:cs="FrankRuehl"/>
          <w:rtl/>
        </w:rPr>
        <w:tab/>
        <w:t>לכל מונח בכללים אלה תבוא המשמעות שיש לו בפקודה או בתקנות, זולת אם יש לו בכללים אלה הוראה מפורשת אחרת.</w:t>
      </w:r>
    </w:p>
    <w:p w14:paraId="1C4F7650" w14:textId="77777777" w:rsidR="00CE7161" w:rsidRPr="00DD3D9D" w:rsidRDefault="00CE7161" w:rsidP="00DD3D9D">
      <w:pPr>
        <w:pStyle w:val="P00"/>
        <w:spacing w:before="72"/>
        <w:ind w:left="0" w:right="1134"/>
        <w:rPr>
          <w:rStyle w:val="default"/>
          <w:rFonts w:cs="FrankRuehl"/>
          <w:rtl/>
        </w:rPr>
      </w:pPr>
      <w:bookmarkStart w:id="1" w:name="Seif2"/>
      <w:bookmarkEnd w:id="1"/>
      <w:r w:rsidRPr="00DD3D9D">
        <w:rPr>
          <w:rFonts w:cs="Miriam"/>
          <w:lang w:val="he-IL"/>
        </w:rPr>
        <w:pict w14:anchorId="27F691A6">
          <v:rect id="_x0000_s1027" style="position:absolute;left:0;text-align:left;margin-left:464.5pt;margin-top:8.05pt;width:75.05pt;height:24pt;z-index:251658240" o:allowincell="f" filled="f" stroked="f" strokecolor="lime" strokeweight=".25pt">
            <v:textbox style="mso-next-textbox:#_x0000_s1027" inset="0,0,0,0">
              <w:txbxContent>
                <w:p w14:paraId="6BAD4B1F" w14:textId="77777777" w:rsidR="00CE7161" w:rsidRDefault="00CE7161" w:rsidP="00DD3D9D">
                  <w:pPr>
                    <w:spacing w:line="160" w:lineRule="exact"/>
                    <w:rPr>
                      <w:rFonts w:cs="Miriam"/>
                      <w:noProof/>
                      <w:sz w:val="18"/>
                      <w:szCs w:val="18"/>
                      <w:rtl/>
                    </w:rPr>
                  </w:pPr>
                  <w:r>
                    <w:rPr>
                      <w:rFonts w:cs="Miriam"/>
                      <w:sz w:val="18"/>
                      <w:szCs w:val="18"/>
                      <w:rtl/>
                    </w:rPr>
                    <w:t>תר</w:t>
                  </w:r>
                  <w:r>
                    <w:rPr>
                      <w:rFonts w:cs="Miriam" w:hint="cs"/>
                      <w:sz w:val="18"/>
                      <w:szCs w:val="18"/>
                      <w:rtl/>
                    </w:rPr>
                    <w:t>גום לדולרים</w:t>
                  </w:r>
                  <w:r w:rsidR="00DD3D9D">
                    <w:rPr>
                      <w:rFonts w:cs="Miriam" w:hint="cs"/>
                      <w:sz w:val="18"/>
                      <w:szCs w:val="18"/>
                      <w:rtl/>
                    </w:rPr>
                    <w:t xml:space="preserve"> </w:t>
                  </w:r>
                  <w:r>
                    <w:rPr>
                      <w:rFonts w:cs="Miriam"/>
                      <w:sz w:val="18"/>
                      <w:szCs w:val="18"/>
                      <w:rtl/>
                    </w:rPr>
                    <w:t>לצ</w:t>
                  </w:r>
                  <w:r>
                    <w:rPr>
                      <w:rFonts w:cs="Miriam" w:hint="cs"/>
                      <w:sz w:val="18"/>
                      <w:szCs w:val="18"/>
                      <w:rtl/>
                    </w:rPr>
                    <w:t>ורך השוואת</w:t>
                  </w:r>
                  <w:r w:rsidR="00DD3D9D">
                    <w:rPr>
                      <w:rFonts w:cs="Miriam" w:hint="cs"/>
                      <w:sz w:val="18"/>
                      <w:szCs w:val="18"/>
                      <w:rtl/>
                    </w:rPr>
                    <w:t xml:space="preserve"> </w:t>
                  </w:r>
                  <w:r>
                    <w:rPr>
                      <w:rFonts w:cs="Miriam"/>
                      <w:sz w:val="18"/>
                      <w:szCs w:val="18"/>
                      <w:rtl/>
                    </w:rPr>
                    <w:t>הו</w:t>
                  </w:r>
                  <w:r>
                    <w:rPr>
                      <w:rFonts w:cs="Miriam" w:hint="cs"/>
                      <w:sz w:val="18"/>
                      <w:szCs w:val="18"/>
                      <w:rtl/>
                    </w:rPr>
                    <w:t>ן</w:t>
                  </w:r>
                </w:p>
              </w:txbxContent>
            </v:textbox>
            <w10:anchorlock/>
          </v:rect>
        </w:pict>
      </w:r>
      <w:r w:rsidRPr="00DD3D9D">
        <w:rPr>
          <w:rStyle w:val="big-number"/>
          <w:rFonts w:cs="Miriam"/>
          <w:rtl/>
        </w:rPr>
        <w:t>2</w:t>
      </w:r>
      <w:r w:rsidRPr="00DD3D9D">
        <w:rPr>
          <w:rStyle w:val="default"/>
          <w:rFonts w:cs="FrankRuehl"/>
          <w:rtl/>
        </w:rPr>
        <w:t>.</w:t>
      </w:r>
      <w:r w:rsidRPr="00DD3D9D">
        <w:rPr>
          <w:rStyle w:val="default"/>
          <w:rFonts w:cs="FrankRuehl"/>
          <w:rtl/>
        </w:rPr>
        <w:tab/>
        <w:t>(א)</w:t>
      </w:r>
      <w:r w:rsidRPr="00DD3D9D">
        <w:rPr>
          <w:rStyle w:val="default"/>
          <w:rFonts w:cs="FrankRuehl"/>
          <w:rtl/>
        </w:rPr>
        <w:tab/>
        <w:t xml:space="preserve">סכומי הנכסים וההתחייבויות הכלולים בהצהרת ההון הראשונה שהגיש יהלומן ליום 31 במרס 1979 או לאחריו (להלן </w:t>
      </w:r>
      <w:r w:rsidR="00DD3D9D">
        <w:rPr>
          <w:rStyle w:val="default"/>
          <w:rFonts w:hint="cs"/>
          <w:rtl/>
        </w:rPr>
        <w:t>-</w:t>
      </w:r>
      <w:r w:rsidRPr="00DD3D9D">
        <w:rPr>
          <w:rStyle w:val="default"/>
          <w:rFonts w:cs="FrankRuehl"/>
          <w:rtl/>
        </w:rPr>
        <w:t xml:space="preserve"> הצהרת ההון הבסיסית) יתורגמו לדולרים לצורך השוואת ההון לפי שער הדולר ליום הצהרה.</w:t>
      </w:r>
    </w:p>
    <w:p w14:paraId="2F7A9116" w14:textId="77777777" w:rsidR="00CE7161" w:rsidRPr="00DD3D9D" w:rsidRDefault="00CE7161">
      <w:pPr>
        <w:pStyle w:val="P00"/>
        <w:spacing w:before="72"/>
        <w:ind w:left="0" w:right="1134"/>
        <w:rPr>
          <w:rStyle w:val="default"/>
          <w:rFonts w:cs="FrankRuehl"/>
          <w:rtl/>
        </w:rPr>
      </w:pPr>
      <w:r w:rsidRPr="00DD3D9D">
        <w:rPr>
          <w:rFonts w:cs="FrankRuehl"/>
          <w:sz w:val="26"/>
          <w:rtl/>
        </w:rPr>
        <w:tab/>
      </w:r>
      <w:r w:rsidRPr="00DD3D9D">
        <w:rPr>
          <w:rStyle w:val="default"/>
          <w:rFonts w:cs="FrankRuehl"/>
          <w:rtl/>
        </w:rPr>
        <w:t>(ב)</w:t>
      </w:r>
      <w:r w:rsidRPr="00DD3D9D">
        <w:rPr>
          <w:rStyle w:val="default"/>
          <w:rFonts w:cs="FrankRuehl"/>
          <w:rtl/>
        </w:rPr>
        <w:tab/>
        <w:t>סכומי הנכסים, יתרות החייבים והזכאים, המקורות המגדילים את ההון והשימושים המקטינים את ההון, שנרכשו, נוספו, נוצרו, או נגרעו, לפי הענין, בתקופה שבין המועד שאליו מתייחסת הצהרת ההון הבסיסית לבין המועד שאליו מתייחסת הצהרת ההון הנוספת, יתורגמו לצורך ההשוואה לפי שער הדולר במועד הרכישה, ההוספה, ההיווצרות או הגריעה, לפי הענין; לא ציין היהלומן את המועד האמור, יקבע אותו פקיד השומה לפי מיטב שפיטתו.</w:t>
      </w:r>
    </w:p>
    <w:p w14:paraId="0C1CD169" w14:textId="77777777" w:rsidR="00CE7161" w:rsidRDefault="00CE7161">
      <w:pPr>
        <w:pStyle w:val="P00"/>
        <w:spacing w:before="72"/>
        <w:ind w:left="0" w:right="1134"/>
        <w:rPr>
          <w:rStyle w:val="default"/>
          <w:rFonts w:cs="FrankRuehl" w:hint="cs"/>
          <w:rtl/>
        </w:rPr>
      </w:pPr>
    </w:p>
    <w:p w14:paraId="489A6982" w14:textId="77777777" w:rsidR="00DD3D9D" w:rsidRPr="00DD3D9D" w:rsidRDefault="00DD3D9D">
      <w:pPr>
        <w:pStyle w:val="P00"/>
        <w:spacing w:before="72"/>
        <w:ind w:left="0" w:right="1134"/>
        <w:rPr>
          <w:rStyle w:val="default"/>
          <w:rFonts w:cs="FrankRuehl" w:hint="cs"/>
          <w:rtl/>
        </w:rPr>
      </w:pPr>
    </w:p>
    <w:p w14:paraId="66CE7B30" w14:textId="77777777" w:rsidR="00CE7161" w:rsidRDefault="00CE7161">
      <w:pPr>
        <w:pStyle w:val="sig-0"/>
        <w:ind w:left="0" w:right="1134"/>
        <w:rPr>
          <w:rFonts w:cs="FrankRuehl"/>
          <w:sz w:val="26"/>
          <w:rtl/>
        </w:rPr>
      </w:pPr>
      <w:r>
        <w:rPr>
          <w:rFonts w:cs="FrankRuehl"/>
          <w:sz w:val="26"/>
          <w:rtl/>
        </w:rPr>
        <w:t xml:space="preserve">ז' </w:t>
      </w:r>
      <w:r>
        <w:rPr>
          <w:rFonts w:cs="FrankRuehl" w:hint="cs"/>
          <w:sz w:val="26"/>
          <w:rtl/>
        </w:rPr>
        <w:t>בשבט תשמ"ו (17 בינואר 1986)</w:t>
      </w:r>
      <w:r>
        <w:rPr>
          <w:rFonts w:cs="FrankRuehl"/>
          <w:sz w:val="26"/>
          <w:rtl/>
        </w:rPr>
        <w:tab/>
        <w:t>י</w:t>
      </w:r>
      <w:r>
        <w:rPr>
          <w:rFonts w:cs="FrankRuehl" w:hint="cs"/>
          <w:sz w:val="26"/>
          <w:rtl/>
        </w:rPr>
        <w:t>איר רבינוביץ</w:t>
      </w:r>
    </w:p>
    <w:p w14:paraId="1A58CDE9" w14:textId="77777777" w:rsidR="00CE7161" w:rsidRDefault="00CE7161">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נ</w:t>
      </w:r>
      <w:r>
        <w:rPr>
          <w:rFonts w:cs="FrankRuehl" w:hint="cs"/>
          <w:sz w:val="22"/>
          <w:rtl/>
        </w:rPr>
        <w:t>ציב מס הכנסה</w:t>
      </w:r>
    </w:p>
    <w:p w14:paraId="5BE02594" w14:textId="77777777" w:rsidR="00DD3D9D" w:rsidRPr="00DD3D9D" w:rsidRDefault="00DD3D9D" w:rsidP="00DD3D9D">
      <w:pPr>
        <w:pStyle w:val="P00"/>
        <w:spacing w:before="72"/>
        <w:ind w:left="0" w:right="1134"/>
        <w:rPr>
          <w:rStyle w:val="default"/>
          <w:rFonts w:cs="FrankRuehl" w:hint="cs"/>
          <w:rtl/>
        </w:rPr>
      </w:pPr>
    </w:p>
    <w:p w14:paraId="410E98F9" w14:textId="77777777" w:rsidR="00DD3D9D" w:rsidRPr="00DD3D9D" w:rsidRDefault="00DD3D9D" w:rsidP="00DD3D9D">
      <w:pPr>
        <w:pStyle w:val="P00"/>
        <w:spacing w:before="72"/>
        <w:ind w:left="0" w:right="1134"/>
        <w:rPr>
          <w:rStyle w:val="default"/>
          <w:rFonts w:cs="FrankRuehl"/>
          <w:rtl/>
        </w:rPr>
      </w:pPr>
    </w:p>
    <w:p w14:paraId="680F6C1C" w14:textId="77777777" w:rsidR="00CE7161" w:rsidRPr="00DD3D9D" w:rsidRDefault="00CE7161" w:rsidP="00DD3D9D">
      <w:pPr>
        <w:pStyle w:val="P00"/>
        <w:spacing w:before="72"/>
        <w:ind w:left="0" w:right="1134"/>
        <w:rPr>
          <w:rStyle w:val="default"/>
          <w:rFonts w:cs="FrankRuehl"/>
          <w:rtl/>
        </w:rPr>
      </w:pPr>
      <w:bookmarkStart w:id="2" w:name="LawPartEnd"/>
    </w:p>
    <w:bookmarkEnd w:id="2"/>
    <w:p w14:paraId="32B35E57" w14:textId="77777777" w:rsidR="00CE7161" w:rsidRPr="00DD3D9D" w:rsidRDefault="00CE7161" w:rsidP="00DD3D9D">
      <w:pPr>
        <w:pStyle w:val="P00"/>
        <w:spacing w:before="72"/>
        <w:ind w:left="0" w:right="1134"/>
        <w:rPr>
          <w:rStyle w:val="default"/>
          <w:rFonts w:cs="FrankRuehl"/>
          <w:rtl/>
        </w:rPr>
      </w:pPr>
    </w:p>
    <w:sectPr w:rsidR="00CE7161" w:rsidRPr="00DD3D9D">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D4DD0" w14:textId="77777777" w:rsidR="006745F0" w:rsidRDefault="006745F0">
      <w:r>
        <w:separator/>
      </w:r>
    </w:p>
  </w:endnote>
  <w:endnote w:type="continuationSeparator" w:id="0">
    <w:p w14:paraId="53EDB5B4" w14:textId="77777777" w:rsidR="006745F0" w:rsidRDefault="00674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8841" w14:textId="77777777" w:rsidR="00CE7161" w:rsidRDefault="00CE7161">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0C4C1B54" w14:textId="77777777" w:rsidR="00CE7161" w:rsidRDefault="00CE7161">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C126B4" w14:textId="77777777" w:rsidR="00CE7161" w:rsidRDefault="00CE7161">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921DE">
      <w:rPr>
        <w:rFonts w:cs="TopType Jerushalmi"/>
        <w:noProof/>
        <w:color w:val="000000"/>
        <w:sz w:val="14"/>
        <w:szCs w:val="14"/>
      </w:rPr>
      <w:t>Z:\000000000000-law\yael\08-10-12\255_194.doc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C644C" w14:textId="77777777" w:rsidR="00CE7161" w:rsidRDefault="00CE7161">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BA6115">
      <w:rPr>
        <w:rFonts w:hAnsi="FrankRuehl" w:cs="FrankRuehl"/>
        <w:noProof/>
        <w:rtl/>
      </w:rPr>
      <w:t>1</w:t>
    </w:r>
    <w:r>
      <w:rPr>
        <w:rFonts w:hAnsi="FrankRuehl" w:cs="FrankRuehl"/>
        <w:rtl/>
      </w:rPr>
      <w:fldChar w:fldCharType="end"/>
    </w:r>
  </w:p>
  <w:p w14:paraId="68607DAA" w14:textId="77777777" w:rsidR="00CE7161" w:rsidRDefault="00CE7161">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C1DC97" w14:textId="77777777" w:rsidR="00CE7161" w:rsidRDefault="00CE7161">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921DE">
      <w:rPr>
        <w:rFonts w:cs="TopType Jerushalmi"/>
        <w:noProof/>
        <w:color w:val="000000"/>
        <w:sz w:val="14"/>
        <w:szCs w:val="14"/>
      </w:rPr>
      <w:t>Z:\000000000000-law\yael\08-10-12\255_194.doc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E5815" w14:textId="77777777" w:rsidR="006745F0" w:rsidRDefault="006745F0" w:rsidP="00DD3D9D">
      <w:pPr>
        <w:spacing w:before="60"/>
        <w:ind w:right="1134"/>
      </w:pPr>
      <w:r>
        <w:separator/>
      </w:r>
    </w:p>
  </w:footnote>
  <w:footnote w:type="continuationSeparator" w:id="0">
    <w:p w14:paraId="724BB5E6" w14:textId="77777777" w:rsidR="006745F0" w:rsidRDefault="006745F0">
      <w:r>
        <w:continuationSeparator/>
      </w:r>
    </w:p>
  </w:footnote>
  <w:footnote w:id="1">
    <w:p w14:paraId="0BB2392C" w14:textId="77777777" w:rsidR="00DD3D9D" w:rsidRPr="00DD3D9D" w:rsidRDefault="00DD3D9D" w:rsidP="00DD3D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DD3D9D">
        <w:rPr>
          <w:rFonts w:cs="FrankRuehl"/>
          <w:rtl/>
        </w:rPr>
        <w:t xml:space="preserve">* </w:t>
      </w:r>
      <w:r>
        <w:rPr>
          <w:rFonts w:cs="FrankRuehl"/>
          <w:rtl/>
        </w:rPr>
        <w:t>פו</w:t>
      </w:r>
      <w:r>
        <w:rPr>
          <w:rFonts w:cs="FrankRuehl" w:hint="cs"/>
          <w:rtl/>
        </w:rPr>
        <w:t xml:space="preserve">רסמו </w:t>
      </w:r>
      <w:hyperlink r:id="rId1" w:history="1">
        <w:r w:rsidRPr="007C08FC">
          <w:rPr>
            <w:rStyle w:val="Hyperlink"/>
            <w:rFonts w:cs="FrankRuehl" w:hint="cs"/>
            <w:rtl/>
          </w:rPr>
          <w:t>ק"ת תשמ"ו מס' 4911</w:t>
        </w:r>
      </w:hyperlink>
      <w:r>
        <w:rPr>
          <w:rFonts w:cs="FrankRuehl" w:hint="cs"/>
          <w:rtl/>
        </w:rPr>
        <w:t xml:space="preserve"> מיום 9.3.1986 עמ' 616.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E44B3" w14:textId="77777777" w:rsidR="00CE7161" w:rsidRDefault="00CE716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(השוואת הון על פי דו"ח שהגיש יהלומן), תשמ"ו–1986</w:t>
    </w:r>
  </w:p>
  <w:p w14:paraId="56FE6117" w14:textId="77777777" w:rsidR="00CE7161" w:rsidRDefault="00CE716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DF95EE" w14:textId="77777777" w:rsidR="00CE7161" w:rsidRDefault="00CE716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808C" w14:textId="77777777" w:rsidR="00CE7161" w:rsidRDefault="00CE7161" w:rsidP="00DD3D9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(השוואת הון על פי דו"ח שהגיש יהלומן), תשמ"ו</w:t>
    </w:r>
    <w:r w:rsidR="00DD3D9D">
      <w:rPr>
        <w:rFonts w:hAnsi="FrankRuehl" w:cs="FrankRuehl" w:hint="cs"/>
        <w:color w:val="000000"/>
        <w:sz w:val="28"/>
        <w:szCs w:val="28"/>
        <w:rtl/>
      </w:rPr>
      <w:t>-</w:t>
    </w:r>
    <w:r>
      <w:rPr>
        <w:rFonts w:hAnsi="FrankRuehl" w:cs="FrankRuehl"/>
        <w:color w:val="000000"/>
        <w:sz w:val="28"/>
        <w:szCs w:val="28"/>
        <w:rtl/>
      </w:rPr>
      <w:t>1986</w:t>
    </w:r>
  </w:p>
  <w:p w14:paraId="6D9D3C0B" w14:textId="77777777" w:rsidR="00CE7161" w:rsidRDefault="00CE716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15733F" w14:textId="77777777" w:rsidR="00CE7161" w:rsidRDefault="00CE716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08FC"/>
    <w:rsid w:val="00166F14"/>
    <w:rsid w:val="002921DE"/>
    <w:rsid w:val="005723B6"/>
    <w:rsid w:val="006745F0"/>
    <w:rsid w:val="007C08FC"/>
    <w:rsid w:val="00BA6115"/>
    <w:rsid w:val="00C03C81"/>
    <w:rsid w:val="00CE7161"/>
    <w:rsid w:val="00DD3D9D"/>
    <w:rsid w:val="00FA02F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839DCFB"/>
  <w15:chartTrackingRefBased/>
  <w15:docId w15:val="{0D449D1C-62C8-4AC1-A7B6-AED3DB8D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DD3D9D"/>
    <w:rPr>
      <w:sz w:val="20"/>
      <w:szCs w:val="20"/>
    </w:rPr>
  </w:style>
  <w:style w:type="character" w:styleId="a6">
    <w:name w:val="footnote reference"/>
    <w:basedOn w:val="a0"/>
    <w:semiHidden/>
    <w:rsid w:val="00DD3D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9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1412</CharactersWithSpaces>
  <SharedDoc>false</SharedDoc>
  <HLinks>
    <vt:vector size="18" baseType="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8126464</vt:i4>
      </vt:variant>
      <vt:variant>
        <vt:i4>0</vt:i4>
      </vt:variant>
      <vt:variant>
        <vt:i4>0</vt:i4>
      </vt:variant>
      <vt:variant>
        <vt:i4>5</vt:i4>
      </vt:variant>
      <vt:variant>
        <vt:lpwstr>http://www.nevo.co.il/Law_word/law06/TAK-4911.pdf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כללי מס הכנסה (השוואת הון על פי דו"ח שהגיש יהלומן), תשמ"ו-1986</vt:lpwstr>
  </property>
  <property fmtid="{D5CDD505-2E9C-101B-9397-08002B2CF9AE}" pid="5" name="LAWNUMBER">
    <vt:lpwstr>0194</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דו"חות</vt:lpwstr>
  </property>
  <property fmtid="{D5CDD505-2E9C-101B-9397-08002B2CF9AE}" pid="10" name="NOSE41">
    <vt:lpwstr/>
  </property>
  <property fmtid="{D5CDD505-2E9C-101B-9397-08002B2CF9AE}" pid="11" name="NOSE12">
    <vt:lpwstr>מסים</vt:lpwstr>
  </property>
  <property fmtid="{D5CDD505-2E9C-101B-9397-08002B2CF9AE}" pid="12" name="NOSE22">
    <vt:lpwstr>מס הכנסה</vt:lpwstr>
  </property>
  <property fmtid="{D5CDD505-2E9C-101B-9397-08002B2CF9AE}" pid="13" name="NOSE32">
    <vt:lpwstr>יהלומנים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