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F34" w14:textId="77777777" w:rsidR="00E07159" w:rsidRDefault="00E07159" w:rsidP="00251E3A">
      <w:pPr>
        <w:pStyle w:val="big-header"/>
        <w:ind w:left="0" w:right="1134"/>
        <w:rPr>
          <w:rFonts w:cs="FrankRuehl"/>
          <w:sz w:val="32"/>
        </w:rPr>
      </w:pPr>
      <w:r>
        <w:rPr>
          <w:rFonts w:cs="FrankRuehl"/>
          <w:sz w:val="32"/>
          <w:rtl/>
        </w:rPr>
        <w:t>כללי מס הכנסה (מניעת כפל מס עקב שלילת הטבות במיזוג), תשנ"ה</w:t>
      </w:r>
      <w:r w:rsidR="00251E3A">
        <w:rPr>
          <w:rFonts w:cs="FrankRuehl" w:hint="cs"/>
          <w:sz w:val="32"/>
          <w:rtl/>
        </w:rPr>
        <w:t>-</w:t>
      </w:r>
      <w:r>
        <w:rPr>
          <w:rFonts w:cs="FrankRuehl"/>
          <w:sz w:val="32"/>
          <w:rtl/>
        </w:rPr>
        <w:t>1995</w:t>
      </w:r>
    </w:p>
    <w:p w14:paraId="4D8E6AF3" w14:textId="77777777" w:rsidR="0096560D" w:rsidRPr="0096560D" w:rsidRDefault="0096560D" w:rsidP="0096560D">
      <w:pPr>
        <w:spacing w:line="320" w:lineRule="auto"/>
        <w:rPr>
          <w:rFonts w:cs="FrankRuehl"/>
          <w:szCs w:val="26"/>
          <w:rtl/>
        </w:rPr>
      </w:pPr>
    </w:p>
    <w:p w14:paraId="6BA9DD0B" w14:textId="77777777" w:rsidR="0096560D" w:rsidRDefault="0096560D" w:rsidP="0096560D">
      <w:pPr>
        <w:spacing w:line="320" w:lineRule="auto"/>
        <w:rPr>
          <w:rtl/>
        </w:rPr>
      </w:pPr>
    </w:p>
    <w:p w14:paraId="6E91D6FE" w14:textId="77777777" w:rsidR="0096560D" w:rsidRDefault="0096560D" w:rsidP="0096560D">
      <w:pPr>
        <w:spacing w:line="320" w:lineRule="auto"/>
        <w:rPr>
          <w:rFonts w:cs="FrankRuehl"/>
          <w:szCs w:val="26"/>
          <w:rtl/>
        </w:rPr>
      </w:pPr>
      <w:r w:rsidRPr="0096560D">
        <w:rPr>
          <w:rFonts w:cs="Miriam"/>
          <w:szCs w:val="22"/>
          <w:rtl/>
        </w:rPr>
        <w:t>מסים</w:t>
      </w:r>
      <w:r w:rsidRPr="0096560D">
        <w:rPr>
          <w:rFonts w:cs="FrankRuehl"/>
          <w:szCs w:val="26"/>
          <w:rtl/>
        </w:rPr>
        <w:t xml:space="preserve"> – מס הכנסה – מניעת כפל מס – בעת מיזוג</w:t>
      </w:r>
    </w:p>
    <w:p w14:paraId="6BF1D2F8" w14:textId="77777777" w:rsidR="0096560D" w:rsidRDefault="0096560D" w:rsidP="0096560D">
      <w:pPr>
        <w:spacing w:line="320" w:lineRule="auto"/>
        <w:rPr>
          <w:rFonts w:cs="FrankRuehl"/>
          <w:szCs w:val="26"/>
          <w:rtl/>
        </w:rPr>
      </w:pPr>
      <w:r w:rsidRPr="0096560D">
        <w:rPr>
          <w:rFonts w:cs="Miriam"/>
          <w:szCs w:val="22"/>
          <w:rtl/>
        </w:rPr>
        <w:t>מסים</w:t>
      </w:r>
      <w:r w:rsidRPr="0096560D">
        <w:rPr>
          <w:rFonts w:cs="FrankRuehl"/>
          <w:szCs w:val="26"/>
          <w:rtl/>
        </w:rPr>
        <w:t xml:space="preserve"> – מס הכנסה – חברות – מיזוג</w:t>
      </w:r>
    </w:p>
    <w:p w14:paraId="3737684F" w14:textId="77777777" w:rsidR="0057212B" w:rsidRPr="0096560D" w:rsidRDefault="0096560D" w:rsidP="0096560D">
      <w:pPr>
        <w:spacing w:line="320" w:lineRule="auto"/>
        <w:rPr>
          <w:rFonts w:cs="Miriam"/>
          <w:szCs w:val="22"/>
          <w:rtl/>
        </w:rPr>
      </w:pPr>
      <w:r w:rsidRPr="0096560D">
        <w:rPr>
          <w:rFonts w:cs="Miriam"/>
          <w:szCs w:val="22"/>
          <w:rtl/>
        </w:rPr>
        <w:t>משפט פרטי וכלכלה</w:t>
      </w:r>
      <w:r w:rsidRPr="0096560D">
        <w:rPr>
          <w:rFonts w:cs="FrankRuehl"/>
          <w:szCs w:val="26"/>
          <w:rtl/>
        </w:rPr>
        <w:t xml:space="preserve"> – תאגידים וניירות ערך – חברות – מיזוג</w:t>
      </w:r>
    </w:p>
    <w:p w14:paraId="63A96E0C" w14:textId="77777777" w:rsidR="0057212B" w:rsidRDefault="0057212B" w:rsidP="0057212B">
      <w:pPr>
        <w:spacing w:line="320" w:lineRule="auto"/>
        <w:rPr>
          <w:rtl/>
        </w:rPr>
      </w:pPr>
    </w:p>
    <w:p w14:paraId="75EFA9E8" w14:textId="77777777" w:rsidR="00E07159" w:rsidRDefault="00E071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2CE9" w:rsidRPr="006F2CE9" w14:paraId="64F5284D" w14:textId="77777777">
        <w:tblPrEx>
          <w:tblCellMar>
            <w:top w:w="0" w:type="dxa"/>
            <w:bottom w:w="0" w:type="dxa"/>
          </w:tblCellMar>
        </w:tblPrEx>
        <w:tc>
          <w:tcPr>
            <w:tcW w:w="1247" w:type="dxa"/>
          </w:tcPr>
          <w:p w14:paraId="06562A89" w14:textId="77777777" w:rsidR="006F2CE9" w:rsidRPr="006F2CE9" w:rsidRDefault="006F2CE9" w:rsidP="006F2CE9">
            <w:pPr>
              <w:rPr>
                <w:rFonts w:cs="Frankruhel"/>
                <w:rtl/>
              </w:rPr>
            </w:pPr>
            <w:r>
              <w:rPr>
                <w:rtl/>
              </w:rPr>
              <w:t xml:space="preserve">סעיף 1 </w:t>
            </w:r>
          </w:p>
        </w:tc>
        <w:tc>
          <w:tcPr>
            <w:tcW w:w="5669" w:type="dxa"/>
          </w:tcPr>
          <w:p w14:paraId="32AA89FC" w14:textId="77777777" w:rsidR="006F2CE9" w:rsidRPr="006F2CE9" w:rsidRDefault="006F2CE9" w:rsidP="006F2CE9">
            <w:pPr>
              <w:rPr>
                <w:rFonts w:cs="Frankruhel"/>
                <w:rtl/>
              </w:rPr>
            </w:pPr>
            <w:r>
              <w:rPr>
                <w:rtl/>
              </w:rPr>
              <w:t>מיסוי לאחר שלילת ההטבות</w:t>
            </w:r>
          </w:p>
        </w:tc>
        <w:tc>
          <w:tcPr>
            <w:tcW w:w="567" w:type="dxa"/>
          </w:tcPr>
          <w:p w14:paraId="537C5593" w14:textId="77777777" w:rsidR="006F2CE9" w:rsidRPr="006F2CE9" w:rsidRDefault="006F2CE9" w:rsidP="006F2CE9">
            <w:pPr>
              <w:rPr>
                <w:rStyle w:val="Hyperlink"/>
                <w:rtl/>
              </w:rPr>
            </w:pPr>
            <w:hyperlink w:anchor="Seif1" w:tooltip="מיסוי לאחר שלילת ההטבות" w:history="1">
              <w:r w:rsidRPr="006F2CE9">
                <w:rPr>
                  <w:rStyle w:val="Hyperlink"/>
                </w:rPr>
                <w:t>Go</w:t>
              </w:r>
            </w:hyperlink>
          </w:p>
        </w:tc>
        <w:tc>
          <w:tcPr>
            <w:tcW w:w="850" w:type="dxa"/>
          </w:tcPr>
          <w:p w14:paraId="63EBB7C0" w14:textId="77777777" w:rsidR="006F2CE9" w:rsidRPr="006F2CE9" w:rsidRDefault="006F2CE9" w:rsidP="006F2C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2CE9" w:rsidRPr="006F2CE9" w14:paraId="7E884AAC" w14:textId="77777777">
        <w:tblPrEx>
          <w:tblCellMar>
            <w:top w:w="0" w:type="dxa"/>
            <w:bottom w:w="0" w:type="dxa"/>
          </w:tblCellMar>
        </w:tblPrEx>
        <w:tc>
          <w:tcPr>
            <w:tcW w:w="1247" w:type="dxa"/>
          </w:tcPr>
          <w:p w14:paraId="2C17ECDD" w14:textId="77777777" w:rsidR="006F2CE9" w:rsidRPr="006F2CE9" w:rsidRDefault="006F2CE9" w:rsidP="006F2CE9">
            <w:pPr>
              <w:rPr>
                <w:rFonts w:cs="Frankruhel"/>
                <w:rtl/>
              </w:rPr>
            </w:pPr>
            <w:r>
              <w:rPr>
                <w:rtl/>
              </w:rPr>
              <w:t xml:space="preserve">סעיף 2 </w:t>
            </w:r>
          </w:p>
        </w:tc>
        <w:tc>
          <w:tcPr>
            <w:tcW w:w="5669" w:type="dxa"/>
          </w:tcPr>
          <w:p w14:paraId="2CE69A6D" w14:textId="77777777" w:rsidR="006F2CE9" w:rsidRPr="006F2CE9" w:rsidRDefault="006F2CE9" w:rsidP="006F2CE9">
            <w:pPr>
              <w:rPr>
                <w:rFonts w:cs="Frankruhel"/>
                <w:rtl/>
              </w:rPr>
            </w:pPr>
            <w:r>
              <w:rPr>
                <w:rtl/>
              </w:rPr>
              <w:t>בחירת הנישום</w:t>
            </w:r>
          </w:p>
        </w:tc>
        <w:tc>
          <w:tcPr>
            <w:tcW w:w="567" w:type="dxa"/>
          </w:tcPr>
          <w:p w14:paraId="25BF0DA8" w14:textId="77777777" w:rsidR="006F2CE9" w:rsidRPr="006F2CE9" w:rsidRDefault="006F2CE9" w:rsidP="006F2CE9">
            <w:pPr>
              <w:rPr>
                <w:rStyle w:val="Hyperlink"/>
                <w:rtl/>
              </w:rPr>
            </w:pPr>
            <w:hyperlink w:anchor="Seif2" w:tooltip="בחירת הנישום" w:history="1">
              <w:r w:rsidRPr="006F2CE9">
                <w:rPr>
                  <w:rStyle w:val="Hyperlink"/>
                </w:rPr>
                <w:t>Go</w:t>
              </w:r>
            </w:hyperlink>
          </w:p>
        </w:tc>
        <w:tc>
          <w:tcPr>
            <w:tcW w:w="850" w:type="dxa"/>
          </w:tcPr>
          <w:p w14:paraId="2D7BB981" w14:textId="77777777" w:rsidR="006F2CE9" w:rsidRPr="006F2CE9" w:rsidRDefault="006F2CE9" w:rsidP="006F2C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2CE9" w:rsidRPr="006F2CE9" w14:paraId="2DC527E5" w14:textId="77777777">
        <w:tblPrEx>
          <w:tblCellMar>
            <w:top w:w="0" w:type="dxa"/>
            <w:bottom w:w="0" w:type="dxa"/>
          </w:tblCellMar>
        </w:tblPrEx>
        <w:tc>
          <w:tcPr>
            <w:tcW w:w="1247" w:type="dxa"/>
          </w:tcPr>
          <w:p w14:paraId="4DA5AD42" w14:textId="77777777" w:rsidR="006F2CE9" w:rsidRPr="006F2CE9" w:rsidRDefault="006F2CE9" w:rsidP="006F2CE9">
            <w:pPr>
              <w:rPr>
                <w:rFonts w:cs="Frankruhel"/>
                <w:rtl/>
              </w:rPr>
            </w:pPr>
            <w:r>
              <w:rPr>
                <w:rtl/>
              </w:rPr>
              <w:t xml:space="preserve">סעיף 3 </w:t>
            </w:r>
          </w:p>
        </w:tc>
        <w:tc>
          <w:tcPr>
            <w:tcW w:w="5669" w:type="dxa"/>
          </w:tcPr>
          <w:p w14:paraId="67F491B8" w14:textId="77777777" w:rsidR="006F2CE9" w:rsidRPr="006F2CE9" w:rsidRDefault="006F2CE9" w:rsidP="006F2CE9">
            <w:pPr>
              <w:rPr>
                <w:rFonts w:cs="Frankruhel"/>
                <w:rtl/>
              </w:rPr>
            </w:pPr>
            <w:r>
              <w:rPr>
                <w:rtl/>
              </w:rPr>
              <w:t>הגשת דו"חות מתוקנים</w:t>
            </w:r>
          </w:p>
        </w:tc>
        <w:tc>
          <w:tcPr>
            <w:tcW w:w="567" w:type="dxa"/>
          </w:tcPr>
          <w:p w14:paraId="2C872A65" w14:textId="77777777" w:rsidR="006F2CE9" w:rsidRPr="006F2CE9" w:rsidRDefault="006F2CE9" w:rsidP="006F2CE9">
            <w:pPr>
              <w:rPr>
                <w:rStyle w:val="Hyperlink"/>
                <w:rtl/>
              </w:rPr>
            </w:pPr>
            <w:hyperlink w:anchor="Seif3" w:tooltip="הגשת דוחות מתוקנים" w:history="1">
              <w:r w:rsidRPr="006F2CE9">
                <w:rPr>
                  <w:rStyle w:val="Hyperlink"/>
                </w:rPr>
                <w:t>Go</w:t>
              </w:r>
            </w:hyperlink>
          </w:p>
        </w:tc>
        <w:tc>
          <w:tcPr>
            <w:tcW w:w="850" w:type="dxa"/>
          </w:tcPr>
          <w:p w14:paraId="58722368" w14:textId="77777777" w:rsidR="006F2CE9" w:rsidRPr="006F2CE9" w:rsidRDefault="006F2CE9" w:rsidP="006F2C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F2CE9" w:rsidRPr="006F2CE9" w14:paraId="4FA6BF65" w14:textId="77777777">
        <w:tblPrEx>
          <w:tblCellMar>
            <w:top w:w="0" w:type="dxa"/>
            <w:bottom w:w="0" w:type="dxa"/>
          </w:tblCellMar>
        </w:tblPrEx>
        <w:tc>
          <w:tcPr>
            <w:tcW w:w="1247" w:type="dxa"/>
          </w:tcPr>
          <w:p w14:paraId="7F98513B" w14:textId="77777777" w:rsidR="006F2CE9" w:rsidRPr="006F2CE9" w:rsidRDefault="006F2CE9" w:rsidP="006F2CE9">
            <w:pPr>
              <w:rPr>
                <w:rFonts w:cs="Frankruhel"/>
                <w:rtl/>
              </w:rPr>
            </w:pPr>
            <w:r>
              <w:rPr>
                <w:rtl/>
              </w:rPr>
              <w:t xml:space="preserve">סעיף 4 </w:t>
            </w:r>
          </w:p>
        </w:tc>
        <w:tc>
          <w:tcPr>
            <w:tcW w:w="5669" w:type="dxa"/>
          </w:tcPr>
          <w:p w14:paraId="11714ADC" w14:textId="77777777" w:rsidR="006F2CE9" w:rsidRPr="006F2CE9" w:rsidRDefault="006F2CE9" w:rsidP="006F2CE9">
            <w:pPr>
              <w:rPr>
                <w:rFonts w:cs="Frankruhel"/>
                <w:rtl/>
              </w:rPr>
            </w:pPr>
            <w:r>
              <w:rPr>
                <w:rtl/>
              </w:rPr>
              <w:t>תחולה</w:t>
            </w:r>
          </w:p>
        </w:tc>
        <w:tc>
          <w:tcPr>
            <w:tcW w:w="567" w:type="dxa"/>
          </w:tcPr>
          <w:p w14:paraId="4251884D" w14:textId="77777777" w:rsidR="006F2CE9" w:rsidRPr="006F2CE9" w:rsidRDefault="006F2CE9" w:rsidP="006F2CE9">
            <w:pPr>
              <w:rPr>
                <w:rStyle w:val="Hyperlink"/>
                <w:rtl/>
              </w:rPr>
            </w:pPr>
            <w:hyperlink w:anchor="Seif4" w:tooltip="תחולה" w:history="1">
              <w:r w:rsidRPr="006F2CE9">
                <w:rPr>
                  <w:rStyle w:val="Hyperlink"/>
                </w:rPr>
                <w:t>Go</w:t>
              </w:r>
            </w:hyperlink>
          </w:p>
        </w:tc>
        <w:tc>
          <w:tcPr>
            <w:tcW w:w="850" w:type="dxa"/>
          </w:tcPr>
          <w:p w14:paraId="4CE6DC85" w14:textId="77777777" w:rsidR="006F2CE9" w:rsidRPr="006F2CE9" w:rsidRDefault="006F2CE9" w:rsidP="006F2CE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B0960CE" w14:textId="77777777" w:rsidR="00E07159" w:rsidRDefault="00E07159">
      <w:pPr>
        <w:pStyle w:val="big-header"/>
        <w:ind w:left="0" w:right="1134"/>
        <w:rPr>
          <w:rFonts w:cs="FrankRuehl"/>
          <w:sz w:val="32"/>
          <w:rtl/>
        </w:rPr>
      </w:pPr>
    </w:p>
    <w:p w14:paraId="41D393E1" w14:textId="77777777" w:rsidR="00E07159" w:rsidRDefault="00E07159" w:rsidP="0057212B">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(מניעת כפל מס עקב שלילת הטבות במיזוג), תשנ"ה</w:t>
      </w:r>
      <w:r w:rsidR="00251E3A">
        <w:rPr>
          <w:rFonts w:cs="FrankRuehl" w:hint="cs"/>
          <w:sz w:val="32"/>
          <w:rtl/>
        </w:rPr>
        <w:t>-</w:t>
      </w:r>
      <w:r>
        <w:rPr>
          <w:rFonts w:cs="FrankRuehl"/>
          <w:sz w:val="32"/>
          <w:rtl/>
        </w:rPr>
        <w:t>1995</w:t>
      </w:r>
      <w:r w:rsidR="00251E3A">
        <w:rPr>
          <w:rStyle w:val="a6"/>
          <w:rFonts w:cs="FrankRuehl"/>
          <w:sz w:val="32"/>
          <w:rtl/>
        </w:rPr>
        <w:footnoteReference w:customMarkFollows="1" w:id="1"/>
        <w:t>*</w:t>
      </w:r>
    </w:p>
    <w:p w14:paraId="6CDCFECB" w14:textId="77777777" w:rsidR="00E07159" w:rsidRPr="006F2B65" w:rsidRDefault="00E07159" w:rsidP="00251E3A">
      <w:pPr>
        <w:pStyle w:val="P00"/>
        <w:spacing w:before="72"/>
        <w:ind w:left="0" w:right="1134"/>
        <w:rPr>
          <w:rStyle w:val="default"/>
          <w:rFonts w:cs="FrankRuehl"/>
          <w:rtl/>
        </w:rPr>
      </w:pPr>
      <w:r w:rsidRPr="006F2B65">
        <w:rPr>
          <w:rFonts w:cs="FrankRuehl"/>
          <w:sz w:val="26"/>
          <w:rtl/>
        </w:rPr>
        <w:tab/>
      </w:r>
      <w:r w:rsidRPr="006F2B65">
        <w:rPr>
          <w:rStyle w:val="default"/>
          <w:rFonts w:cs="FrankRuehl"/>
          <w:rtl/>
        </w:rPr>
        <w:t xml:space="preserve">בתוקף סמכותי לפי סעיף 103י(א) לפקודת מס הכנסה (להלן </w:t>
      </w:r>
      <w:r w:rsidR="00251E3A">
        <w:rPr>
          <w:rStyle w:val="default"/>
          <w:rFonts w:cs="FrankRuehl" w:hint="cs"/>
          <w:rtl/>
        </w:rPr>
        <w:t>-</w:t>
      </w:r>
      <w:r w:rsidRPr="006F2B65">
        <w:rPr>
          <w:rStyle w:val="default"/>
          <w:rFonts w:cs="FrankRuehl"/>
          <w:rtl/>
        </w:rPr>
        <w:t xml:space="preserve"> הפקודה), אני קובע כללים אלה:</w:t>
      </w:r>
    </w:p>
    <w:p w14:paraId="7527ACB3" w14:textId="77777777" w:rsidR="00E07159" w:rsidRPr="006F2B65" w:rsidRDefault="00E07159">
      <w:pPr>
        <w:pStyle w:val="P00"/>
        <w:spacing w:before="72"/>
        <w:ind w:left="0" w:right="1134"/>
        <w:rPr>
          <w:rStyle w:val="default"/>
          <w:rFonts w:cs="FrankRuehl"/>
          <w:rtl/>
        </w:rPr>
      </w:pPr>
      <w:bookmarkStart w:id="0" w:name="Seif1"/>
      <w:bookmarkEnd w:id="0"/>
      <w:r w:rsidRPr="00251E3A">
        <w:rPr>
          <w:rFonts w:cs="Miriam"/>
          <w:lang w:val="he-IL"/>
        </w:rPr>
        <w:pict w14:anchorId="581F9AD4">
          <v:rect id="_x0000_s1026" style="position:absolute;left:0;text-align:left;margin-left:464.5pt;margin-top:8.05pt;width:75.05pt;height:21.25pt;z-index:251656192" o:allowincell="f" filled="f" stroked="f" strokecolor="lime" strokeweight=".25pt">
            <v:textbox inset="0,0,0,0">
              <w:txbxContent>
                <w:p w14:paraId="22BEE6ED" w14:textId="77777777" w:rsidR="00E07159" w:rsidRDefault="00E07159" w:rsidP="00251E3A">
                  <w:pPr>
                    <w:spacing w:line="160" w:lineRule="exact"/>
                    <w:rPr>
                      <w:rFonts w:cs="Miriam"/>
                      <w:noProof/>
                      <w:sz w:val="18"/>
                      <w:szCs w:val="18"/>
                      <w:rtl/>
                    </w:rPr>
                  </w:pPr>
                  <w:r>
                    <w:rPr>
                      <w:rFonts w:cs="Miriam"/>
                      <w:sz w:val="18"/>
                      <w:szCs w:val="18"/>
                      <w:rtl/>
                    </w:rPr>
                    <w:t>מי</w:t>
                  </w:r>
                  <w:r>
                    <w:rPr>
                      <w:rFonts w:cs="Miriam" w:hint="cs"/>
                      <w:sz w:val="18"/>
                      <w:szCs w:val="18"/>
                      <w:rtl/>
                    </w:rPr>
                    <w:t>סוי לאחר</w:t>
                  </w:r>
                  <w:r w:rsidR="00251E3A">
                    <w:rPr>
                      <w:rFonts w:cs="Miriam" w:hint="cs"/>
                      <w:sz w:val="18"/>
                      <w:szCs w:val="18"/>
                      <w:rtl/>
                    </w:rPr>
                    <w:t xml:space="preserve"> </w:t>
                  </w:r>
                  <w:r>
                    <w:rPr>
                      <w:rFonts w:cs="Miriam"/>
                      <w:sz w:val="18"/>
                      <w:szCs w:val="18"/>
                      <w:rtl/>
                    </w:rPr>
                    <w:t>של</w:t>
                  </w:r>
                  <w:r>
                    <w:rPr>
                      <w:rFonts w:cs="Miriam" w:hint="cs"/>
                      <w:sz w:val="18"/>
                      <w:szCs w:val="18"/>
                      <w:rtl/>
                    </w:rPr>
                    <w:t>ילת ההטבות</w:t>
                  </w:r>
                </w:p>
              </w:txbxContent>
            </v:textbox>
            <w10:anchorlock/>
          </v:rect>
        </w:pict>
      </w:r>
      <w:r w:rsidRPr="00251E3A">
        <w:rPr>
          <w:rStyle w:val="big-number"/>
          <w:rFonts w:cs="Miriam"/>
          <w:rtl/>
        </w:rPr>
        <w:t>1</w:t>
      </w:r>
      <w:r w:rsidRPr="00251E3A">
        <w:rPr>
          <w:rStyle w:val="default"/>
          <w:rFonts w:cs="FrankRuehl"/>
          <w:rtl/>
        </w:rPr>
        <w:t>.</w:t>
      </w:r>
      <w:r w:rsidRPr="00251E3A">
        <w:rPr>
          <w:rStyle w:val="default"/>
          <w:rFonts w:cs="FrankRuehl"/>
          <w:rtl/>
        </w:rPr>
        <w:tab/>
      </w:r>
      <w:r w:rsidRPr="006F2B65">
        <w:rPr>
          <w:rStyle w:val="default"/>
          <w:rFonts w:cs="FrankRuehl"/>
          <w:rtl/>
        </w:rPr>
        <w:t>בוטלו ההטבות כאמור בסעיף 103י לפקודה, לא יחולו הוראות הפרק השני בחלק ה2 לפקודה, למעט סעיף 103י, ויראו את האירועים הבאים כאילו חלו במועד המיזוג בסדר המפורט להלן:</w:t>
      </w:r>
    </w:p>
    <w:p w14:paraId="0E195215" w14:textId="77777777" w:rsidR="00E07159" w:rsidRPr="006F2B65" w:rsidRDefault="00E07159" w:rsidP="00251E3A">
      <w:pPr>
        <w:pStyle w:val="P11"/>
        <w:spacing w:before="72"/>
        <w:ind w:left="624" w:right="1134"/>
        <w:rPr>
          <w:rStyle w:val="default"/>
          <w:rFonts w:cs="FrankRuehl"/>
          <w:rtl/>
        </w:rPr>
      </w:pPr>
      <w:r w:rsidRPr="006F2B65">
        <w:rPr>
          <w:rStyle w:val="default"/>
          <w:rFonts w:cs="FrankRuehl"/>
          <w:rtl/>
        </w:rPr>
        <w:t>(1)</w:t>
      </w:r>
      <w:r w:rsidRPr="006F2B65">
        <w:rPr>
          <w:rStyle w:val="default"/>
          <w:rFonts w:cs="FrankRuehl"/>
          <w:rtl/>
        </w:rPr>
        <w:tab/>
        <w:t xml:space="preserve">החברה המעבירה מכרה את נכסיה כמשמעותם בסעיף 103 לפקודה (להלן </w:t>
      </w:r>
      <w:r w:rsidR="00251E3A">
        <w:rPr>
          <w:rStyle w:val="default"/>
          <w:rFonts w:cs="FrankRuehl" w:hint="cs"/>
          <w:rtl/>
        </w:rPr>
        <w:t>-</w:t>
      </w:r>
      <w:r w:rsidRPr="006F2B65">
        <w:rPr>
          <w:rStyle w:val="default"/>
          <w:rFonts w:cs="FrankRuehl"/>
          <w:rtl/>
        </w:rPr>
        <w:t xml:space="preserve"> נכסים), לחברה הקולטת תמורת המחאת התחייבות החברה המעבירה לחברה הקולטת ומניות החברה הקולטת, אותן קיבלה בעקבות המיזוג (להלן </w:t>
      </w:r>
      <w:r w:rsidR="00251E3A">
        <w:rPr>
          <w:rStyle w:val="default"/>
          <w:rFonts w:cs="FrankRuehl" w:hint="cs"/>
          <w:rtl/>
        </w:rPr>
        <w:t>-</w:t>
      </w:r>
      <w:r w:rsidRPr="006F2B65">
        <w:rPr>
          <w:rStyle w:val="default"/>
          <w:rFonts w:cs="FrankRuehl"/>
          <w:rtl/>
        </w:rPr>
        <w:t xml:space="preserve"> המניות);</w:t>
      </w:r>
    </w:p>
    <w:p w14:paraId="7C6E9743" w14:textId="77777777" w:rsidR="00E07159" w:rsidRPr="006F2B65" w:rsidRDefault="00E07159" w:rsidP="00251E3A">
      <w:pPr>
        <w:pStyle w:val="P11"/>
        <w:spacing w:before="72"/>
        <w:ind w:left="624" w:right="1134"/>
        <w:rPr>
          <w:rStyle w:val="default"/>
          <w:rFonts w:cs="FrankRuehl"/>
          <w:rtl/>
        </w:rPr>
      </w:pPr>
      <w:r w:rsidRPr="006F2B65">
        <w:rPr>
          <w:rStyle w:val="default"/>
          <w:rFonts w:cs="FrankRuehl"/>
          <w:rtl/>
        </w:rPr>
        <w:t>(2)</w:t>
      </w:r>
      <w:r w:rsidRPr="006F2B65">
        <w:rPr>
          <w:rStyle w:val="default"/>
          <w:rFonts w:cs="FrankRuehl"/>
          <w:rtl/>
        </w:rPr>
        <w:tab/>
        <w:t>החברה המעבירה נתפרקה ובעלי הזכויות בה קיבלו את המניות.</w:t>
      </w:r>
    </w:p>
    <w:p w14:paraId="39ADE8EA" w14:textId="77777777" w:rsidR="00E07159" w:rsidRPr="006F2B65" w:rsidRDefault="00E07159">
      <w:pPr>
        <w:pStyle w:val="P00"/>
        <w:spacing w:before="72"/>
        <w:ind w:left="0" w:right="1134"/>
        <w:rPr>
          <w:rStyle w:val="default"/>
          <w:rFonts w:cs="FrankRuehl"/>
          <w:rtl/>
        </w:rPr>
      </w:pPr>
      <w:bookmarkStart w:id="1" w:name="Seif2"/>
      <w:bookmarkEnd w:id="1"/>
      <w:r w:rsidRPr="00251E3A">
        <w:rPr>
          <w:rFonts w:cs="Miriam"/>
          <w:lang w:val="he-IL"/>
        </w:rPr>
        <w:pict w14:anchorId="4F839653">
          <v:rect id="_x0000_s1027" style="position:absolute;left:0;text-align:left;margin-left:464.5pt;margin-top:8.05pt;width:75.05pt;height:11.55pt;z-index:251657216" o:allowincell="f" filled="f" stroked="f" strokecolor="lime" strokeweight=".25pt">
            <v:textbox inset="0,0,0,0">
              <w:txbxContent>
                <w:p w14:paraId="75E045CE" w14:textId="77777777" w:rsidR="00E07159" w:rsidRDefault="00E07159">
                  <w:pPr>
                    <w:spacing w:line="160" w:lineRule="exact"/>
                    <w:rPr>
                      <w:rFonts w:cs="Miriam"/>
                      <w:noProof/>
                      <w:sz w:val="18"/>
                      <w:szCs w:val="18"/>
                      <w:rtl/>
                    </w:rPr>
                  </w:pPr>
                  <w:r>
                    <w:rPr>
                      <w:rFonts w:cs="Miriam"/>
                      <w:sz w:val="18"/>
                      <w:szCs w:val="18"/>
                      <w:rtl/>
                    </w:rPr>
                    <w:t>בח</w:t>
                  </w:r>
                  <w:r>
                    <w:rPr>
                      <w:rFonts w:cs="Miriam" w:hint="cs"/>
                      <w:sz w:val="18"/>
                      <w:szCs w:val="18"/>
                      <w:rtl/>
                    </w:rPr>
                    <w:t>ירת הנישום</w:t>
                  </w:r>
                </w:p>
              </w:txbxContent>
            </v:textbox>
            <w10:anchorlock/>
          </v:rect>
        </w:pict>
      </w:r>
      <w:r w:rsidRPr="00251E3A">
        <w:rPr>
          <w:rStyle w:val="big-number"/>
          <w:rFonts w:cs="Miriam"/>
          <w:rtl/>
        </w:rPr>
        <w:t>2</w:t>
      </w:r>
      <w:r w:rsidRPr="00251E3A">
        <w:rPr>
          <w:rStyle w:val="default"/>
          <w:rFonts w:cs="FrankRuehl"/>
          <w:rtl/>
        </w:rPr>
        <w:t>.</w:t>
      </w:r>
      <w:r w:rsidRPr="00251E3A">
        <w:rPr>
          <w:rStyle w:val="default"/>
          <w:rFonts w:cs="FrankRuehl"/>
          <w:rtl/>
        </w:rPr>
        <w:tab/>
      </w:r>
      <w:r w:rsidRPr="006F2B65">
        <w:rPr>
          <w:rStyle w:val="default"/>
          <w:rFonts w:cs="FrankRuehl"/>
          <w:rtl/>
        </w:rPr>
        <w:t>המנויים בסעיף 103י(ג)(1) ו-(2) לפקודה רשאים כולם יחד להודיע, בכתב, לפקיד השומה, תוך שישים ימים מיום שקיבלו דרישה לפי סעיף 103י(ב), כי במקום האירועים הקבועים בסעיף 1(1) ו-(2) חלו האירועים הבאים בסדר המפורט להלן:</w:t>
      </w:r>
    </w:p>
    <w:p w14:paraId="5FCD3159" w14:textId="77777777" w:rsidR="00E07159" w:rsidRPr="006F2B65" w:rsidRDefault="00E07159" w:rsidP="00251E3A">
      <w:pPr>
        <w:pStyle w:val="P11"/>
        <w:spacing w:before="72"/>
        <w:ind w:left="624" w:right="1134"/>
        <w:rPr>
          <w:rStyle w:val="default"/>
          <w:rFonts w:cs="FrankRuehl"/>
          <w:rtl/>
        </w:rPr>
      </w:pPr>
      <w:r w:rsidRPr="006F2B65">
        <w:rPr>
          <w:rStyle w:val="default"/>
          <w:rFonts w:cs="FrankRuehl"/>
          <w:rtl/>
        </w:rPr>
        <w:t>(1)</w:t>
      </w:r>
      <w:r w:rsidRPr="006F2B65">
        <w:rPr>
          <w:rStyle w:val="default"/>
          <w:rFonts w:cs="FrankRuehl"/>
          <w:rtl/>
        </w:rPr>
        <w:tab/>
        <w:t>החברה המעבירה נתפרקה ונכסיה והתחייבויותיה הועברו לבעלי הזכויות בה;</w:t>
      </w:r>
    </w:p>
    <w:p w14:paraId="5DEB0317" w14:textId="77777777" w:rsidR="00E07159" w:rsidRPr="006F2B65" w:rsidRDefault="00E07159">
      <w:pPr>
        <w:pStyle w:val="P11"/>
        <w:spacing w:before="72"/>
        <w:ind w:left="624" w:right="1134"/>
        <w:rPr>
          <w:rStyle w:val="default"/>
          <w:rFonts w:cs="FrankRuehl"/>
          <w:rtl/>
        </w:rPr>
      </w:pPr>
      <w:r w:rsidRPr="006F2B65">
        <w:rPr>
          <w:rStyle w:val="default"/>
          <w:rFonts w:cs="FrankRuehl"/>
          <w:rtl/>
        </w:rPr>
        <w:t>(2)</w:t>
      </w:r>
      <w:r w:rsidRPr="006F2B65">
        <w:rPr>
          <w:rStyle w:val="default"/>
          <w:rFonts w:cs="FrankRuehl"/>
          <w:rtl/>
        </w:rPr>
        <w:tab/>
        <w:t>מי שהיו בעלי הזכויות בחברה המעבירה מכרו את הנכסים לחברה הקולטת תמורת המחאת התחייבויות כאמור בפסקה (1) לחברה הקולטת, בתוספת מניות החברה הקולטת.</w:t>
      </w:r>
    </w:p>
    <w:p w14:paraId="1BE26871" w14:textId="77777777" w:rsidR="00E07159" w:rsidRPr="006F2B65" w:rsidRDefault="00E07159">
      <w:pPr>
        <w:pStyle w:val="P00"/>
        <w:spacing w:before="72"/>
        <w:ind w:left="0" w:right="1134"/>
        <w:rPr>
          <w:rStyle w:val="default"/>
          <w:rFonts w:cs="FrankRuehl"/>
          <w:rtl/>
        </w:rPr>
      </w:pPr>
      <w:bookmarkStart w:id="2" w:name="Seif3"/>
      <w:bookmarkEnd w:id="2"/>
      <w:r w:rsidRPr="00251E3A">
        <w:rPr>
          <w:rFonts w:cs="Miriam"/>
          <w:lang w:val="he-IL"/>
        </w:rPr>
        <w:pict w14:anchorId="062AC9CB">
          <v:rect id="_x0000_s1028" style="position:absolute;left:0;text-align:left;margin-left:464.5pt;margin-top:8.05pt;width:75.05pt;height:18.75pt;z-index:251658240" o:allowincell="f" filled="f" stroked="f" strokecolor="lime" strokeweight=".25pt">
            <v:textbox inset="0,0,0,0">
              <w:txbxContent>
                <w:p w14:paraId="14EC4651" w14:textId="77777777" w:rsidR="00E07159" w:rsidRDefault="00E07159" w:rsidP="00251E3A">
                  <w:pPr>
                    <w:spacing w:line="160" w:lineRule="exact"/>
                    <w:rPr>
                      <w:rFonts w:cs="Miriam"/>
                      <w:noProof/>
                      <w:sz w:val="18"/>
                      <w:szCs w:val="18"/>
                      <w:rtl/>
                    </w:rPr>
                  </w:pPr>
                  <w:r>
                    <w:rPr>
                      <w:rFonts w:cs="Miriam"/>
                      <w:sz w:val="18"/>
                      <w:szCs w:val="18"/>
                      <w:rtl/>
                    </w:rPr>
                    <w:t>הג</w:t>
                  </w:r>
                  <w:r>
                    <w:rPr>
                      <w:rFonts w:cs="Miriam" w:hint="cs"/>
                      <w:sz w:val="18"/>
                      <w:szCs w:val="18"/>
                      <w:rtl/>
                    </w:rPr>
                    <w:t>שת דו"חות</w:t>
                  </w:r>
                  <w:r w:rsidR="00251E3A">
                    <w:rPr>
                      <w:rFonts w:cs="Miriam" w:hint="cs"/>
                      <w:sz w:val="18"/>
                      <w:szCs w:val="18"/>
                      <w:rtl/>
                    </w:rPr>
                    <w:t xml:space="preserve"> </w:t>
                  </w:r>
                  <w:r>
                    <w:rPr>
                      <w:rFonts w:cs="Miriam"/>
                      <w:sz w:val="18"/>
                      <w:szCs w:val="18"/>
                      <w:rtl/>
                    </w:rPr>
                    <w:t>מת</w:t>
                  </w:r>
                  <w:r>
                    <w:rPr>
                      <w:rFonts w:cs="Miriam" w:hint="cs"/>
                      <w:sz w:val="18"/>
                      <w:szCs w:val="18"/>
                      <w:rtl/>
                    </w:rPr>
                    <w:t>וקנים</w:t>
                  </w:r>
                </w:p>
              </w:txbxContent>
            </v:textbox>
            <w10:anchorlock/>
          </v:rect>
        </w:pict>
      </w:r>
      <w:r w:rsidRPr="00251E3A">
        <w:rPr>
          <w:rStyle w:val="big-number"/>
          <w:rFonts w:cs="Miriam"/>
          <w:rtl/>
        </w:rPr>
        <w:t>3</w:t>
      </w:r>
      <w:r w:rsidRPr="00251E3A">
        <w:rPr>
          <w:rStyle w:val="default"/>
          <w:rFonts w:cs="FrankRuehl"/>
          <w:rtl/>
        </w:rPr>
        <w:t>.</w:t>
      </w:r>
      <w:r w:rsidRPr="00251E3A">
        <w:rPr>
          <w:rStyle w:val="default"/>
          <w:rFonts w:cs="FrankRuehl"/>
          <w:rtl/>
        </w:rPr>
        <w:tab/>
      </w:r>
      <w:r w:rsidRPr="006F2B65">
        <w:rPr>
          <w:rStyle w:val="default"/>
          <w:rFonts w:cs="FrankRuehl"/>
          <w:rtl/>
        </w:rPr>
        <w:t>נשללו ההטבות כאמור בסעיף 103י לפקודה, יגישו המנויים בסעיף 103י(ג) לפקודה דו"חות מתוקנים לפי סעיף 131 לפקודה על הכנסותיהם החל במועד המיזוג ועל הכנסות החברה המעבירה לשנת המס שבה חל מועד המיזוג.</w:t>
      </w:r>
    </w:p>
    <w:p w14:paraId="57CD7DC8" w14:textId="77777777" w:rsidR="00E07159" w:rsidRPr="006F2B65" w:rsidRDefault="00E07159">
      <w:pPr>
        <w:pStyle w:val="P00"/>
        <w:spacing w:before="72"/>
        <w:ind w:left="0" w:right="1134"/>
        <w:rPr>
          <w:rStyle w:val="default"/>
          <w:rFonts w:cs="FrankRuehl"/>
          <w:rtl/>
        </w:rPr>
      </w:pPr>
      <w:bookmarkStart w:id="3" w:name="Seif4"/>
      <w:bookmarkEnd w:id="3"/>
      <w:r w:rsidRPr="00251E3A">
        <w:rPr>
          <w:rFonts w:cs="Miriam"/>
          <w:lang w:val="he-IL"/>
        </w:rPr>
        <w:pict w14:anchorId="328C29D8">
          <v:rect id="_x0000_s1029" style="position:absolute;left:0;text-align:left;margin-left:464.5pt;margin-top:8.05pt;width:75.05pt;height:18.15pt;z-index:251659264" o:allowincell="f" filled="f" stroked="f" strokecolor="lime" strokeweight=".25pt">
            <v:textbox inset="0,0,0,0">
              <w:txbxContent>
                <w:p w14:paraId="39F945CA" w14:textId="77777777" w:rsidR="00E07159" w:rsidRDefault="00E07159">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251E3A">
        <w:rPr>
          <w:rStyle w:val="big-number"/>
          <w:rFonts w:cs="Miriam"/>
          <w:rtl/>
        </w:rPr>
        <w:t>4</w:t>
      </w:r>
      <w:r w:rsidRPr="00251E3A">
        <w:rPr>
          <w:rStyle w:val="default"/>
          <w:rFonts w:cs="FrankRuehl"/>
          <w:rtl/>
        </w:rPr>
        <w:t>.</w:t>
      </w:r>
      <w:r w:rsidRPr="00251E3A">
        <w:rPr>
          <w:rStyle w:val="default"/>
          <w:rFonts w:cs="FrankRuehl"/>
          <w:rtl/>
        </w:rPr>
        <w:tab/>
      </w:r>
      <w:r w:rsidRPr="006F2B65">
        <w:rPr>
          <w:rStyle w:val="default"/>
          <w:rFonts w:cs="FrankRuehl"/>
          <w:rtl/>
        </w:rPr>
        <w:t>תחולתם של כללים אלה לגבי מיזוג שמועדו החל ביום י"ז בטבת תשנ"ד (31 בדצמבר 1993).</w:t>
      </w:r>
    </w:p>
    <w:p w14:paraId="015F4D7B" w14:textId="77777777" w:rsidR="00E07159" w:rsidRDefault="00E07159" w:rsidP="00251E3A">
      <w:pPr>
        <w:pStyle w:val="P00"/>
        <w:spacing w:before="72"/>
        <w:ind w:left="0" w:right="1134"/>
        <w:rPr>
          <w:rStyle w:val="default"/>
          <w:rFonts w:cs="FrankRuehl" w:hint="cs"/>
          <w:rtl/>
        </w:rPr>
      </w:pPr>
    </w:p>
    <w:p w14:paraId="402C29C5" w14:textId="77777777" w:rsidR="00251E3A" w:rsidRPr="00251E3A" w:rsidRDefault="00251E3A" w:rsidP="00251E3A">
      <w:pPr>
        <w:pStyle w:val="P00"/>
        <w:spacing w:before="72"/>
        <w:ind w:left="0" w:right="1134"/>
        <w:rPr>
          <w:rStyle w:val="default"/>
          <w:rFonts w:cs="FrankRuehl" w:hint="cs"/>
          <w:rtl/>
        </w:rPr>
      </w:pPr>
    </w:p>
    <w:p w14:paraId="794B4C59" w14:textId="77777777" w:rsidR="00E07159" w:rsidRPr="00251E3A" w:rsidRDefault="00E07159">
      <w:pPr>
        <w:pStyle w:val="sig-1"/>
        <w:widowControl/>
        <w:ind w:left="0" w:right="1134"/>
        <w:rPr>
          <w:rStyle w:val="default"/>
          <w:rFonts w:cs="FrankRuehl"/>
          <w:rtl/>
        </w:rPr>
      </w:pPr>
      <w:r w:rsidRPr="00251E3A">
        <w:rPr>
          <w:rStyle w:val="default"/>
          <w:rFonts w:cs="FrankRuehl"/>
          <w:rtl/>
        </w:rPr>
        <w:t>כ"ח באדר א' תשנ"ה (28 בפברואר 1995)</w:t>
      </w:r>
      <w:r w:rsidRPr="00251E3A">
        <w:rPr>
          <w:rStyle w:val="default"/>
          <w:rFonts w:cs="FrankRuehl"/>
          <w:rtl/>
        </w:rPr>
        <w:tab/>
        <w:t>דורון לוי</w:t>
      </w:r>
    </w:p>
    <w:p w14:paraId="58BCD935" w14:textId="77777777" w:rsidR="00E07159" w:rsidRDefault="00E07159">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14:paraId="5FE5AF3A" w14:textId="77777777" w:rsidR="00251E3A" w:rsidRPr="00251E3A" w:rsidRDefault="00251E3A" w:rsidP="00251E3A">
      <w:pPr>
        <w:pStyle w:val="P00"/>
        <w:spacing w:before="72"/>
        <w:ind w:left="0" w:right="1134"/>
        <w:rPr>
          <w:rStyle w:val="default"/>
          <w:rFonts w:cs="FrankRuehl" w:hint="cs"/>
          <w:rtl/>
        </w:rPr>
      </w:pPr>
    </w:p>
    <w:p w14:paraId="09803045" w14:textId="77777777" w:rsidR="00251E3A" w:rsidRPr="00251E3A" w:rsidRDefault="00251E3A" w:rsidP="00251E3A">
      <w:pPr>
        <w:pStyle w:val="P00"/>
        <w:spacing w:before="72"/>
        <w:ind w:left="0" w:right="1134"/>
        <w:rPr>
          <w:rStyle w:val="default"/>
          <w:rFonts w:cs="FrankRuehl"/>
          <w:rtl/>
        </w:rPr>
      </w:pPr>
    </w:p>
    <w:p w14:paraId="15C885A2" w14:textId="77777777" w:rsidR="00E07159" w:rsidRPr="00251E3A" w:rsidRDefault="00E07159" w:rsidP="00251E3A">
      <w:pPr>
        <w:pStyle w:val="P00"/>
        <w:spacing w:before="72"/>
        <w:ind w:left="0" w:right="1134"/>
        <w:rPr>
          <w:rStyle w:val="default"/>
          <w:rFonts w:cs="FrankRuehl"/>
          <w:rtl/>
        </w:rPr>
      </w:pPr>
      <w:bookmarkStart w:id="4" w:name="LawPartEnd"/>
    </w:p>
    <w:bookmarkEnd w:id="4"/>
    <w:p w14:paraId="48BB6507" w14:textId="77777777" w:rsidR="00E07159" w:rsidRPr="00251E3A" w:rsidRDefault="00E07159" w:rsidP="00251E3A">
      <w:pPr>
        <w:pStyle w:val="P00"/>
        <w:spacing w:before="72"/>
        <w:ind w:left="0" w:right="1134"/>
        <w:rPr>
          <w:rStyle w:val="default"/>
          <w:rFonts w:cs="FrankRuehl"/>
          <w:rtl/>
        </w:rPr>
      </w:pPr>
    </w:p>
    <w:sectPr w:rsidR="00E07159" w:rsidRPr="00251E3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D3A0" w14:textId="77777777" w:rsidR="00D907D7" w:rsidRDefault="00D907D7">
      <w:r>
        <w:separator/>
      </w:r>
    </w:p>
  </w:endnote>
  <w:endnote w:type="continuationSeparator" w:id="0">
    <w:p w14:paraId="7D00B684" w14:textId="77777777" w:rsidR="00D907D7" w:rsidRDefault="00D9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F5C6" w14:textId="77777777" w:rsidR="00E07159" w:rsidRDefault="00E0715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A8997C6" w14:textId="77777777" w:rsidR="00E07159" w:rsidRDefault="00E0715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9087E2" w14:textId="77777777" w:rsidR="00E07159" w:rsidRDefault="00E0715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CE9">
      <w:rPr>
        <w:rFonts w:cs="TopType Jerushalmi"/>
        <w:noProof/>
        <w:color w:val="000000"/>
        <w:sz w:val="14"/>
        <w:szCs w:val="14"/>
      </w:rPr>
      <w:t>Z:\000000000000-law\yael\08-10-12\255_241.doc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E37A" w14:textId="77777777" w:rsidR="00E07159" w:rsidRDefault="00E0715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6560D">
      <w:rPr>
        <w:rFonts w:hAnsi="FrankRuehl" w:cs="FrankRuehl"/>
        <w:noProof/>
        <w:rtl/>
      </w:rPr>
      <w:t>2</w:t>
    </w:r>
    <w:r>
      <w:rPr>
        <w:rFonts w:hAnsi="FrankRuehl" w:cs="FrankRuehl"/>
        <w:rtl/>
      </w:rPr>
      <w:fldChar w:fldCharType="end"/>
    </w:r>
  </w:p>
  <w:p w14:paraId="0393914C" w14:textId="77777777" w:rsidR="00E07159" w:rsidRDefault="00E0715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39B925" w14:textId="77777777" w:rsidR="00E07159" w:rsidRDefault="00E0715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CE9">
      <w:rPr>
        <w:rFonts w:cs="TopType Jerushalmi"/>
        <w:noProof/>
        <w:color w:val="000000"/>
        <w:sz w:val="14"/>
        <w:szCs w:val="14"/>
      </w:rPr>
      <w:t>Z:\000000000000-law\yael\08-10-12\255_241.doc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06AE" w14:textId="77777777" w:rsidR="00D907D7" w:rsidRDefault="00D907D7" w:rsidP="00251E3A">
      <w:pPr>
        <w:spacing w:before="60"/>
        <w:ind w:right="1134"/>
      </w:pPr>
      <w:r>
        <w:separator/>
      </w:r>
    </w:p>
  </w:footnote>
  <w:footnote w:type="continuationSeparator" w:id="0">
    <w:p w14:paraId="4D8CF7EC" w14:textId="77777777" w:rsidR="00D907D7" w:rsidRDefault="00D907D7">
      <w:r>
        <w:continuationSeparator/>
      </w:r>
    </w:p>
  </w:footnote>
  <w:footnote w:id="1">
    <w:p w14:paraId="481B8280" w14:textId="77777777" w:rsidR="00251E3A" w:rsidRPr="00251E3A" w:rsidRDefault="00251E3A" w:rsidP="00251E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51E3A">
        <w:rPr>
          <w:rFonts w:cs="FrankRuehl"/>
          <w:rtl/>
        </w:rPr>
        <w:t xml:space="preserve">* </w:t>
      </w:r>
      <w:r w:rsidRPr="006F2B65">
        <w:rPr>
          <w:rFonts w:cs="FrankRuehl"/>
          <w:rtl/>
        </w:rPr>
        <w:t>פו</w:t>
      </w:r>
      <w:r w:rsidRPr="006F2B65">
        <w:rPr>
          <w:rFonts w:cs="FrankRuehl" w:hint="cs"/>
          <w:rtl/>
        </w:rPr>
        <w:t xml:space="preserve">רסמו </w:t>
      </w:r>
      <w:hyperlink r:id="rId1" w:history="1">
        <w:r w:rsidRPr="006F2B65">
          <w:rPr>
            <w:rStyle w:val="Hyperlink"/>
            <w:rFonts w:cs="FrankRuehl" w:hint="cs"/>
            <w:rtl/>
          </w:rPr>
          <w:t>ק"ת תשנ"ה מס' 5674</w:t>
        </w:r>
      </w:hyperlink>
      <w:r w:rsidRPr="006F2B65">
        <w:rPr>
          <w:rFonts w:cs="FrankRuehl" w:hint="cs"/>
          <w:rtl/>
        </w:rPr>
        <w:t xml:space="preserve"> מיום 6.4.</w:t>
      </w:r>
      <w:r w:rsidRPr="006F2B65">
        <w:rPr>
          <w:rFonts w:cs="FrankRuehl"/>
          <w:rtl/>
        </w:rPr>
        <w:t xml:space="preserve">1995 </w:t>
      </w:r>
      <w:r w:rsidRPr="006F2B65">
        <w:rPr>
          <w:rFonts w:cs="FrankRuehl" w:hint="cs"/>
          <w:rtl/>
        </w:rPr>
        <w:t>עמ' 1356.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0725" w14:textId="77777777" w:rsidR="00E07159" w:rsidRDefault="00E071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(מניעת כפל מס עקב שלילת הטבות במיזוג), תשנ"ה–1995</w:t>
    </w:r>
  </w:p>
  <w:p w14:paraId="567AF4B3" w14:textId="77777777" w:rsidR="00E07159" w:rsidRDefault="00E071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0A6433" w14:textId="77777777" w:rsidR="00E07159" w:rsidRDefault="00E0715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A8F8" w14:textId="77777777" w:rsidR="00E07159" w:rsidRDefault="00E07159" w:rsidP="00251E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(מניעת כפל מס עקב שלילת הטבות במיזוג), תשנ"ה</w:t>
    </w:r>
    <w:r w:rsidR="00251E3A">
      <w:rPr>
        <w:rFonts w:hAnsi="FrankRuehl" w:cs="FrankRuehl" w:hint="cs"/>
        <w:color w:val="000000"/>
        <w:sz w:val="28"/>
        <w:szCs w:val="28"/>
        <w:rtl/>
      </w:rPr>
      <w:t>-</w:t>
    </w:r>
    <w:r>
      <w:rPr>
        <w:rFonts w:hAnsi="FrankRuehl" w:cs="FrankRuehl"/>
        <w:color w:val="000000"/>
        <w:sz w:val="28"/>
        <w:szCs w:val="28"/>
        <w:rtl/>
      </w:rPr>
      <w:t>1995</w:t>
    </w:r>
  </w:p>
  <w:p w14:paraId="25711440" w14:textId="77777777" w:rsidR="00E07159" w:rsidRDefault="00E071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22B323" w14:textId="77777777" w:rsidR="00E07159" w:rsidRDefault="00E0715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2B65"/>
    <w:rsid w:val="00251E3A"/>
    <w:rsid w:val="002F2DC6"/>
    <w:rsid w:val="0057212B"/>
    <w:rsid w:val="006E6EBE"/>
    <w:rsid w:val="006F2B65"/>
    <w:rsid w:val="006F2CE9"/>
    <w:rsid w:val="007523FD"/>
    <w:rsid w:val="0096560D"/>
    <w:rsid w:val="00BF171C"/>
    <w:rsid w:val="00D907D7"/>
    <w:rsid w:val="00DB426D"/>
    <w:rsid w:val="00E07159"/>
    <w:rsid w:val="00EF42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56F172"/>
  <w15:chartTrackingRefBased/>
  <w15:docId w15:val="{A22EFBD6-2183-481F-8E9D-38D843D2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251E3A"/>
    <w:rPr>
      <w:sz w:val="20"/>
      <w:szCs w:val="20"/>
    </w:rPr>
  </w:style>
  <w:style w:type="character" w:styleId="a6">
    <w:name w:val="footnote reference"/>
    <w:basedOn w:val="a0"/>
    <w:semiHidden/>
    <w:rsid w:val="00251E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1942</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8060938</vt:i4>
      </vt:variant>
      <vt:variant>
        <vt:i4>0</vt:i4>
      </vt:variant>
      <vt:variant>
        <vt:i4>0</vt:i4>
      </vt:variant>
      <vt:variant>
        <vt:i4>5</vt:i4>
      </vt:variant>
      <vt:variant>
        <vt:lpwstr>http://www.nevo.co.il/Law_word/law06/TAK-5674.pdf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(מניעת כפל מס עקב שלילת הטבות במיזוג), תשנ"ה-1995</vt:lpwstr>
  </property>
  <property fmtid="{D5CDD505-2E9C-101B-9397-08002B2CF9AE}" pid="5" name="LAWNUMBER">
    <vt:lpwstr>0241</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103יXאX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מניעת כפל מס</vt:lpwstr>
  </property>
  <property fmtid="{D5CDD505-2E9C-101B-9397-08002B2CF9AE}" pid="12" name="NOSE41">
    <vt:lpwstr>בעת מיזוג</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מיזוג</vt:lpwstr>
  </property>
  <property fmtid="{D5CDD505-2E9C-101B-9397-08002B2CF9AE}" pid="17" name="NOSE13">
    <vt:lpwstr>משפט פרטי וכלכלה</vt:lpwstr>
  </property>
  <property fmtid="{D5CDD505-2E9C-101B-9397-08002B2CF9AE}" pid="18" name="NOSE23">
    <vt:lpwstr>תאגידים וניירות ערך</vt:lpwstr>
  </property>
  <property fmtid="{D5CDD505-2E9C-101B-9397-08002B2CF9AE}" pid="19" name="NOSE33">
    <vt:lpwstr>חברות</vt:lpwstr>
  </property>
  <property fmtid="{D5CDD505-2E9C-101B-9397-08002B2CF9AE}" pid="20" name="NOSE43">
    <vt:lpwstr>מיזוג</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