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40D3" w14:textId="77777777" w:rsidR="002A7255" w:rsidRDefault="002A7255" w:rsidP="00613A81">
      <w:pPr>
        <w:pStyle w:val="big-header"/>
        <w:ind w:left="0" w:right="1134"/>
        <w:rPr>
          <w:rFonts w:cs="FrankRuehl" w:hint="cs"/>
          <w:sz w:val="32"/>
          <w:rtl/>
        </w:rPr>
      </w:pPr>
      <w:r>
        <w:rPr>
          <w:rFonts w:cs="FrankRuehl"/>
          <w:sz w:val="32"/>
          <w:rtl/>
        </w:rPr>
        <w:t>כללי מס הכנסה (פטור ממס בשל העברה ושינוי יעוד של כספים בקופות גמל), תש"ן</w:t>
      </w:r>
      <w:r w:rsidR="00613A81">
        <w:rPr>
          <w:rFonts w:cs="FrankRuehl" w:hint="cs"/>
          <w:sz w:val="32"/>
          <w:rtl/>
        </w:rPr>
        <w:t>-</w:t>
      </w:r>
      <w:r>
        <w:rPr>
          <w:rFonts w:cs="FrankRuehl"/>
          <w:sz w:val="32"/>
          <w:rtl/>
        </w:rPr>
        <w:t>1990</w:t>
      </w:r>
    </w:p>
    <w:p w14:paraId="54198324" w14:textId="77777777" w:rsidR="00671585" w:rsidRDefault="00671585" w:rsidP="00671585">
      <w:pPr>
        <w:pStyle w:val="big-header"/>
        <w:ind w:left="0" w:right="1134"/>
        <w:rPr>
          <w:rFonts w:cs="FrankRuehl"/>
          <w:color w:val="008000"/>
        </w:rPr>
      </w:pPr>
      <w:r w:rsidRPr="006E674C">
        <w:rPr>
          <w:rFonts w:cs="FrankRuehl" w:hint="cs"/>
          <w:color w:val="008000"/>
          <w:rtl/>
        </w:rPr>
        <w:t>רבדים בחקיקה</w:t>
      </w:r>
    </w:p>
    <w:p w14:paraId="71C8E786" w14:textId="77777777" w:rsidR="006E2857" w:rsidRDefault="006E2857" w:rsidP="006E2857">
      <w:pPr>
        <w:spacing w:line="320" w:lineRule="auto"/>
        <w:rPr>
          <w:rtl/>
        </w:rPr>
      </w:pPr>
    </w:p>
    <w:p w14:paraId="4366EBA7" w14:textId="77777777" w:rsidR="006E2857" w:rsidRDefault="006E2857" w:rsidP="006E2857">
      <w:pPr>
        <w:spacing w:line="320" w:lineRule="auto"/>
        <w:rPr>
          <w:rFonts w:cs="FrankRuehl"/>
          <w:szCs w:val="26"/>
          <w:rtl/>
        </w:rPr>
      </w:pPr>
      <w:r w:rsidRPr="006E2857">
        <w:rPr>
          <w:rFonts w:cs="Miriam"/>
          <w:szCs w:val="22"/>
          <w:rtl/>
        </w:rPr>
        <w:t>משפט פרטי וכלכלה</w:t>
      </w:r>
      <w:r w:rsidRPr="006E2857">
        <w:rPr>
          <w:rFonts w:cs="FrankRuehl"/>
          <w:szCs w:val="26"/>
          <w:rtl/>
        </w:rPr>
        <w:t xml:space="preserve"> – תאגידים וניירות ערך – קופות גמל – מיסוי ופטור ממס</w:t>
      </w:r>
    </w:p>
    <w:p w14:paraId="5E6B35C4" w14:textId="77777777" w:rsidR="006E2857" w:rsidRDefault="006E2857" w:rsidP="006E2857">
      <w:pPr>
        <w:spacing w:line="320" w:lineRule="auto"/>
        <w:rPr>
          <w:rFonts w:cs="FrankRuehl"/>
          <w:szCs w:val="26"/>
          <w:rtl/>
        </w:rPr>
      </w:pPr>
      <w:r w:rsidRPr="006E2857">
        <w:rPr>
          <w:rFonts w:cs="Miriam"/>
          <w:szCs w:val="22"/>
          <w:rtl/>
        </w:rPr>
        <w:t>משפט פרטי וכלכלה</w:t>
      </w:r>
      <w:r w:rsidRPr="006E2857">
        <w:rPr>
          <w:rFonts w:cs="FrankRuehl"/>
          <w:szCs w:val="26"/>
          <w:rtl/>
        </w:rPr>
        <w:t xml:space="preserve"> – כספים – שירותים פיננסיים – קופות גמל</w:t>
      </w:r>
    </w:p>
    <w:p w14:paraId="51FA80B6" w14:textId="77777777" w:rsidR="005E6C1B" w:rsidRPr="006E2857" w:rsidRDefault="006E2857" w:rsidP="006E2857">
      <w:pPr>
        <w:spacing w:line="320" w:lineRule="auto"/>
        <w:rPr>
          <w:rFonts w:cs="Miriam" w:hint="cs"/>
          <w:szCs w:val="22"/>
          <w:rtl/>
        </w:rPr>
      </w:pPr>
      <w:r w:rsidRPr="006E2857">
        <w:rPr>
          <w:rFonts w:cs="Miriam"/>
          <w:szCs w:val="22"/>
          <w:rtl/>
        </w:rPr>
        <w:t>מסים</w:t>
      </w:r>
      <w:r w:rsidRPr="006E2857">
        <w:rPr>
          <w:rFonts w:cs="FrankRuehl"/>
          <w:szCs w:val="26"/>
          <w:rtl/>
        </w:rPr>
        <w:t xml:space="preserve"> – מס הכנסה – קופות גמל</w:t>
      </w:r>
    </w:p>
    <w:p w14:paraId="12289E29" w14:textId="77777777" w:rsidR="002A7255" w:rsidRDefault="002A725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3713" w:rsidRPr="008F3713" w14:paraId="265FB125" w14:textId="77777777">
        <w:tblPrEx>
          <w:tblCellMar>
            <w:top w:w="0" w:type="dxa"/>
            <w:bottom w:w="0" w:type="dxa"/>
          </w:tblCellMar>
        </w:tblPrEx>
        <w:tc>
          <w:tcPr>
            <w:tcW w:w="1247" w:type="dxa"/>
          </w:tcPr>
          <w:p w14:paraId="3B484EC8" w14:textId="77777777" w:rsidR="008F3713" w:rsidRPr="008F3713" w:rsidRDefault="008F3713" w:rsidP="008F3713">
            <w:pPr>
              <w:rPr>
                <w:rFonts w:cs="Frankruhel"/>
                <w:rtl/>
              </w:rPr>
            </w:pPr>
            <w:r>
              <w:rPr>
                <w:rtl/>
              </w:rPr>
              <w:t xml:space="preserve">סעיף 1 </w:t>
            </w:r>
          </w:p>
        </w:tc>
        <w:tc>
          <w:tcPr>
            <w:tcW w:w="5669" w:type="dxa"/>
          </w:tcPr>
          <w:p w14:paraId="600317DC" w14:textId="77777777" w:rsidR="008F3713" w:rsidRPr="008F3713" w:rsidRDefault="008F3713" w:rsidP="008F3713">
            <w:pPr>
              <w:rPr>
                <w:rFonts w:cs="Frankruhel"/>
                <w:rtl/>
              </w:rPr>
            </w:pPr>
            <w:r>
              <w:rPr>
                <w:rtl/>
              </w:rPr>
              <w:t>פרשנות</w:t>
            </w:r>
          </w:p>
        </w:tc>
        <w:tc>
          <w:tcPr>
            <w:tcW w:w="567" w:type="dxa"/>
          </w:tcPr>
          <w:p w14:paraId="71B73E84" w14:textId="77777777" w:rsidR="008F3713" w:rsidRPr="008F3713" w:rsidRDefault="008F3713" w:rsidP="008F3713">
            <w:pPr>
              <w:rPr>
                <w:rStyle w:val="Hyperlink"/>
                <w:rtl/>
              </w:rPr>
            </w:pPr>
            <w:hyperlink w:anchor="Seif1" w:tooltip="פרשנות" w:history="1">
              <w:r w:rsidRPr="008F3713">
                <w:rPr>
                  <w:rStyle w:val="Hyperlink"/>
                </w:rPr>
                <w:t>Go</w:t>
              </w:r>
            </w:hyperlink>
          </w:p>
        </w:tc>
        <w:tc>
          <w:tcPr>
            <w:tcW w:w="850" w:type="dxa"/>
          </w:tcPr>
          <w:p w14:paraId="1DE647DD" w14:textId="77777777" w:rsidR="008F3713" w:rsidRPr="008F3713" w:rsidRDefault="008F3713" w:rsidP="008F371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F3713" w:rsidRPr="008F3713" w14:paraId="17306016" w14:textId="77777777">
        <w:tblPrEx>
          <w:tblCellMar>
            <w:top w:w="0" w:type="dxa"/>
            <w:bottom w:w="0" w:type="dxa"/>
          </w:tblCellMar>
        </w:tblPrEx>
        <w:tc>
          <w:tcPr>
            <w:tcW w:w="1247" w:type="dxa"/>
          </w:tcPr>
          <w:p w14:paraId="401B9356" w14:textId="77777777" w:rsidR="008F3713" w:rsidRPr="008F3713" w:rsidRDefault="008F3713" w:rsidP="008F3713">
            <w:pPr>
              <w:rPr>
                <w:rFonts w:cs="Frankruhel"/>
                <w:rtl/>
              </w:rPr>
            </w:pPr>
            <w:r>
              <w:rPr>
                <w:rtl/>
              </w:rPr>
              <w:t xml:space="preserve">סעיף 2 </w:t>
            </w:r>
          </w:p>
        </w:tc>
        <w:tc>
          <w:tcPr>
            <w:tcW w:w="5669" w:type="dxa"/>
          </w:tcPr>
          <w:p w14:paraId="7CF01B3C" w14:textId="77777777" w:rsidR="008F3713" w:rsidRPr="008F3713" w:rsidRDefault="008F3713" w:rsidP="008F3713">
            <w:pPr>
              <w:rPr>
                <w:rFonts w:cs="Frankruhel"/>
                <w:rtl/>
              </w:rPr>
            </w:pPr>
            <w:r>
              <w:rPr>
                <w:rtl/>
              </w:rPr>
              <w:t>פטור</w:t>
            </w:r>
          </w:p>
        </w:tc>
        <w:tc>
          <w:tcPr>
            <w:tcW w:w="567" w:type="dxa"/>
          </w:tcPr>
          <w:p w14:paraId="2251DA90" w14:textId="77777777" w:rsidR="008F3713" w:rsidRPr="008F3713" w:rsidRDefault="008F3713" w:rsidP="008F3713">
            <w:pPr>
              <w:rPr>
                <w:rStyle w:val="Hyperlink"/>
                <w:rtl/>
              </w:rPr>
            </w:pPr>
            <w:hyperlink w:anchor="Seif2" w:tooltip="פטור" w:history="1">
              <w:r w:rsidRPr="008F3713">
                <w:rPr>
                  <w:rStyle w:val="Hyperlink"/>
                </w:rPr>
                <w:t>Go</w:t>
              </w:r>
            </w:hyperlink>
          </w:p>
        </w:tc>
        <w:tc>
          <w:tcPr>
            <w:tcW w:w="850" w:type="dxa"/>
          </w:tcPr>
          <w:p w14:paraId="393A9344" w14:textId="77777777" w:rsidR="008F3713" w:rsidRPr="008F3713" w:rsidRDefault="008F3713" w:rsidP="008F371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5E2F14D" w14:textId="77777777" w:rsidR="002A7255" w:rsidRDefault="002A7255">
      <w:pPr>
        <w:pStyle w:val="big-header"/>
        <w:ind w:left="0" w:right="1134"/>
        <w:rPr>
          <w:rFonts w:cs="FrankRuehl"/>
          <w:sz w:val="32"/>
          <w:rtl/>
        </w:rPr>
      </w:pPr>
    </w:p>
    <w:p w14:paraId="5E4FF17C" w14:textId="77777777" w:rsidR="002A7255" w:rsidRDefault="002A7255" w:rsidP="007A1447">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(פטור ממס בשל העברה ושינוי יעוד של כספים בקופות גמל), תש"ן</w:t>
      </w:r>
      <w:r w:rsidR="00613A81">
        <w:rPr>
          <w:rFonts w:cs="FrankRuehl" w:hint="cs"/>
          <w:sz w:val="32"/>
          <w:rtl/>
        </w:rPr>
        <w:t>-</w:t>
      </w:r>
      <w:r>
        <w:rPr>
          <w:rFonts w:cs="FrankRuehl"/>
          <w:sz w:val="32"/>
          <w:rtl/>
        </w:rPr>
        <w:t>1990</w:t>
      </w:r>
      <w:r w:rsidR="00613A81">
        <w:rPr>
          <w:rStyle w:val="a6"/>
          <w:rFonts w:cs="FrankRuehl"/>
          <w:sz w:val="32"/>
          <w:rtl/>
        </w:rPr>
        <w:footnoteReference w:customMarkFollows="1" w:id="1"/>
        <w:t>*</w:t>
      </w:r>
    </w:p>
    <w:p w14:paraId="3BF00C12" w14:textId="77777777" w:rsidR="002A7255" w:rsidRPr="00671585" w:rsidRDefault="002A7255">
      <w:pPr>
        <w:pStyle w:val="P00"/>
        <w:spacing w:before="72"/>
        <w:ind w:left="0" w:right="1134"/>
        <w:rPr>
          <w:rStyle w:val="default"/>
          <w:rFonts w:cs="FrankRuehl"/>
          <w:rtl/>
        </w:rPr>
      </w:pPr>
      <w:r w:rsidRPr="00671585">
        <w:rPr>
          <w:rFonts w:cs="FrankRuehl"/>
          <w:sz w:val="26"/>
          <w:rtl/>
        </w:rPr>
        <w:tab/>
      </w:r>
      <w:r w:rsidRPr="00671585">
        <w:rPr>
          <w:rStyle w:val="default"/>
          <w:rFonts w:cs="FrankRuehl"/>
          <w:rtl/>
        </w:rPr>
        <w:t>בתוקף סמכותי לפי סעיף 3(ד)(2) לפקודת מס הכנסה, ובאישור ועדת הכספים של הכנסת, אני קובע כללים אלה:</w:t>
      </w:r>
    </w:p>
    <w:p w14:paraId="030BE935" w14:textId="77777777" w:rsidR="002A7255" w:rsidRPr="00671585" w:rsidRDefault="002A7255" w:rsidP="00613A81">
      <w:pPr>
        <w:pStyle w:val="P00"/>
        <w:spacing w:before="72"/>
        <w:ind w:left="0" w:right="1134"/>
        <w:rPr>
          <w:rStyle w:val="default"/>
          <w:rFonts w:cs="FrankRuehl"/>
          <w:rtl/>
        </w:rPr>
      </w:pPr>
      <w:bookmarkStart w:id="0" w:name="Seif1"/>
      <w:bookmarkEnd w:id="0"/>
      <w:r w:rsidRPr="00671585">
        <w:rPr>
          <w:rFonts w:cs="Miriam"/>
          <w:lang w:val="he-IL"/>
        </w:rPr>
        <w:pict w14:anchorId="64BFB804">
          <v:rect id="_x0000_s1026" style="position:absolute;left:0;text-align:left;margin-left:464.5pt;margin-top:8.05pt;width:75.05pt;height:16.2pt;z-index:251655680" o:allowincell="f" filled="f" stroked="f" strokecolor="lime" strokeweight=".25pt">
            <v:textbox inset="0,0,0,0">
              <w:txbxContent>
                <w:p w14:paraId="05309590" w14:textId="77777777" w:rsidR="002A7255" w:rsidRDefault="002A7255">
                  <w:pPr>
                    <w:spacing w:line="160" w:lineRule="exac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sidRPr="00671585">
        <w:rPr>
          <w:rStyle w:val="big-number"/>
          <w:rFonts w:cs="Miriam"/>
          <w:rtl/>
        </w:rPr>
        <w:t>1</w:t>
      </w:r>
      <w:r w:rsidRPr="00671585">
        <w:rPr>
          <w:rStyle w:val="big-number"/>
          <w:rFonts w:cs="FrankRuehl"/>
          <w:rtl/>
        </w:rPr>
        <w:t>.</w:t>
      </w:r>
      <w:r w:rsidRPr="00671585">
        <w:rPr>
          <w:rStyle w:val="big-number"/>
          <w:rFonts w:cs="FrankRuehl"/>
          <w:rtl/>
        </w:rPr>
        <w:tab/>
      </w:r>
      <w:r w:rsidRPr="00671585">
        <w:rPr>
          <w:rStyle w:val="default"/>
          <w:rFonts w:cs="FrankRuehl"/>
          <w:rtl/>
        </w:rPr>
        <w:t>בכללים אלה תהיה לכל מונח המשמעות שיש לו בתקנות מס הכנסה (כללים לאישור ולניהול קופת גמל), תשכ"ד</w:t>
      </w:r>
      <w:r w:rsidR="00613A81">
        <w:rPr>
          <w:rStyle w:val="default"/>
          <w:rFonts w:cs="FrankRuehl" w:hint="cs"/>
          <w:rtl/>
        </w:rPr>
        <w:t>-</w:t>
      </w:r>
      <w:r w:rsidRPr="00671585">
        <w:rPr>
          <w:rStyle w:val="default"/>
          <w:rFonts w:cs="FrankRuehl"/>
          <w:rtl/>
        </w:rPr>
        <w:t xml:space="preserve">1964 (להלן </w:t>
      </w:r>
      <w:r w:rsidR="00613A81">
        <w:rPr>
          <w:rStyle w:val="default"/>
          <w:rFonts w:cs="FrankRuehl" w:hint="cs"/>
          <w:rtl/>
        </w:rPr>
        <w:t>-</w:t>
      </w:r>
      <w:r w:rsidRPr="00671585">
        <w:rPr>
          <w:rStyle w:val="default"/>
          <w:rFonts w:cs="FrankRuehl"/>
          <w:rtl/>
        </w:rPr>
        <w:t xml:space="preserve"> התקנות), זולת אם נאמר אחרת בכללים אלה.</w:t>
      </w:r>
    </w:p>
    <w:p w14:paraId="7AFE417C" w14:textId="77777777" w:rsidR="002A7255" w:rsidRPr="00671585" w:rsidRDefault="002A7255">
      <w:pPr>
        <w:pStyle w:val="P00"/>
        <w:spacing w:before="72"/>
        <w:ind w:left="0" w:right="1134"/>
        <w:rPr>
          <w:rStyle w:val="default"/>
          <w:rFonts w:cs="FrankRuehl"/>
          <w:rtl/>
        </w:rPr>
      </w:pPr>
      <w:bookmarkStart w:id="1" w:name="Seif2"/>
      <w:bookmarkEnd w:id="1"/>
      <w:r w:rsidRPr="00671585">
        <w:rPr>
          <w:rFonts w:cs="Miriam"/>
          <w:lang w:val="he-IL"/>
        </w:rPr>
        <w:pict w14:anchorId="2A036452">
          <v:rect id="_x0000_s1027" style="position:absolute;left:0;text-align:left;margin-left:464.5pt;margin-top:8.05pt;width:75.05pt;height:17.1pt;z-index:251656704" o:allowincell="f" filled="f" stroked="f" strokecolor="lime" strokeweight=".25pt">
            <v:textbox inset="0,0,0,0">
              <w:txbxContent>
                <w:p w14:paraId="27241804" w14:textId="77777777" w:rsidR="002A7255" w:rsidRDefault="002A7255">
                  <w:pPr>
                    <w:spacing w:line="160" w:lineRule="exac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sidRPr="00671585">
        <w:rPr>
          <w:rStyle w:val="big-number"/>
          <w:rFonts w:cs="Miriam"/>
          <w:rtl/>
        </w:rPr>
        <w:t>2</w:t>
      </w:r>
      <w:r w:rsidRPr="00671585">
        <w:rPr>
          <w:rStyle w:val="big-number"/>
          <w:rFonts w:cs="FrankRuehl"/>
          <w:rtl/>
        </w:rPr>
        <w:t>.</w:t>
      </w:r>
      <w:r w:rsidRPr="00671585">
        <w:rPr>
          <w:rStyle w:val="big-number"/>
          <w:rFonts w:cs="FrankRuehl"/>
          <w:rtl/>
        </w:rPr>
        <w:tab/>
      </w:r>
      <w:r w:rsidRPr="00671585">
        <w:rPr>
          <w:rStyle w:val="default"/>
          <w:rFonts w:cs="FrankRuehl"/>
          <w:rtl/>
        </w:rPr>
        <w:t>(א)</w:t>
      </w:r>
      <w:r w:rsidRPr="00671585">
        <w:rPr>
          <w:rStyle w:val="default"/>
          <w:rFonts w:cs="FrankRuehl"/>
          <w:rtl/>
        </w:rPr>
        <w:tab/>
        <w:t>סכומים שהועברו על ידי מעביד מקופת גמל אחת לקופת גמל אחרת, בהתאם לתקנות, יהיו פטורים ממס בכל אחד מן המקרים הבאים:</w:t>
      </w:r>
    </w:p>
    <w:p w14:paraId="07232AD6" w14:textId="77777777" w:rsidR="002A7255" w:rsidRPr="00671585" w:rsidRDefault="002A7255">
      <w:pPr>
        <w:pStyle w:val="P22"/>
        <w:spacing w:before="72"/>
        <w:ind w:left="1021" w:right="1134"/>
        <w:rPr>
          <w:rStyle w:val="default"/>
          <w:rFonts w:cs="FrankRuehl"/>
          <w:rtl/>
        </w:rPr>
      </w:pPr>
      <w:r w:rsidRPr="00671585">
        <w:rPr>
          <w:rStyle w:val="default"/>
          <w:rFonts w:cs="FrankRuehl"/>
          <w:rtl/>
        </w:rPr>
        <w:t>(1)</w:t>
      </w:r>
      <w:r w:rsidRPr="00671585">
        <w:rPr>
          <w:rStyle w:val="default"/>
          <w:rFonts w:cs="FrankRuehl"/>
          <w:rtl/>
        </w:rPr>
        <w:tab/>
        <w:t>העברה מקופת גמל לקיצבה שאינה קופת ביטוח לקופת גמל אחרת לקיצבה שאינה קופת ביטוח;</w:t>
      </w:r>
    </w:p>
    <w:p w14:paraId="6B2F16CD" w14:textId="77777777" w:rsidR="002A7255" w:rsidRPr="00671585" w:rsidRDefault="002A7255">
      <w:pPr>
        <w:pStyle w:val="P22"/>
        <w:spacing w:before="72"/>
        <w:ind w:left="1021" w:right="1134"/>
        <w:rPr>
          <w:rStyle w:val="default"/>
          <w:rFonts w:cs="FrankRuehl"/>
          <w:rtl/>
        </w:rPr>
      </w:pPr>
      <w:r w:rsidRPr="00671585">
        <w:rPr>
          <w:rStyle w:val="default"/>
          <w:rFonts w:cs="FrankRuehl"/>
          <w:rtl/>
        </w:rPr>
        <w:t>(2)</w:t>
      </w:r>
      <w:r w:rsidRPr="00671585">
        <w:rPr>
          <w:rStyle w:val="default"/>
          <w:rFonts w:cs="FrankRuehl"/>
          <w:rtl/>
        </w:rPr>
        <w:tab/>
        <w:t>העברה מקופת ביטוח לקופה אחרת המשמשת לאותה מטרה, למעט העברה לקופת גמל לקיצבה שאינה קופת ביטוח;</w:t>
      </w:r>
    </w:p>
    <w:p w14:paraId="088AA61F" w14:textId="77777777" w:rsidR="002A7255" w:rsidRPr="00671585" w:rsidRDefault="002A7255">
      <w:pPr>
        <w:pStyle w:val="P22"/>
        <w:spacing w:before="72"/>
        <w:ind w:left="1021" w:right="1134"/>
        <w:rPr>
          <w:rStyle w:val="default"/>
          <w:rFonts w:cs="FrankRuehl"/>
          <w:rtl/>
        </w:rPr>
      </w:pPr>
      <w:r w:rsidRPr="00671585">
        <w:rPr>
          <w:rFonts w:cs="FrankRuehl"/>
          <w:lang w:val="he-IL"/>
        </w:rPr>
        <w:pict w14:anchorId="5F2C62B9">
          <v:rect id="_x0000_s1028" style="position:absolute;left:0;text-align:left;margin-left:464.5pt;margin-top:8.05pt;width:75.05pt;height:14.75pt;z-index:251657728" o:allowincell="f" filled="f" stroked="f" strokecolor="lime" strokeweight=".25pt">
            <v:textbox inset="0,0,0,0">
              <w:txbxContent>
                <w:p w14:paraId="3580A06A" w14:textId="77777777" w:rsidR="002A7255" w:rsidRDefault="002A7255" w:rsidP="00613A81">
                  <w:pPr>
                    <w:spacing w:line="160" w:lineRule="exact"/>
                    <w:rPr>
                      <w:rFonts w:cs="Miriam"/>
                      <w:noProof/>
                      <w:sz w:val="18"/>
                      <w:szCs w:val="18"/>
                      <w:rtl/>
                    </w:rPr>
                  </w:pPr>
                  <w:r>
                    <w:rPr>
                      <w:rFonts w:cs="Miriam"/>
                      <w:sz w:val="18"/>
                      <w:szCs w:val="18"/>
                      <w:rtl/>
                    </w:rPr>
                    <w:t>כל</w:t>
                  </w:r>
                  <w:r>
                    <w:rPr>
                      <w:rFonts w:cs="Miriam" w:hint="cs"/>
                      <w:sz w:val="18"/>
                      <w:szCs w:val="18"/>
                      <w:rtl/>
                    </w:rPr>
                    <w:t>לים תשנ"ד</w:t>
                  </w:r>
                  <w:r w:rsidR="00613A81">
                    <w:rPr>
                      <w:rFonts w:cs="Miriam" w:hint="cs"/>
                      <w:sz w:val="18"/>
                      <w:szCs w:val="18"/>
                      <w:rtl/>
                    </w:rPr>
                    <w:t>-</w:t>
                  </w:r>
                  <w:r>
                    <w:rPr>
                      <w:rFonts w:cs="Miriam"/>
                      <w:sz w:val="18"/>
                      <w:szCs w:val="18"/>
                      <w:rtl/>
                    </w:rPr>
                    <w:t>1994</w:t>
                  </w:r>
                </w:p>
              </w:txbxContent>
            </v:textbox>
            <w10:anchorlock/>
          </v:rect>
        </w:pict>
      </w:r>
      <w:r w:rsidRPr="00671585">
        <w:rPr>
          <w:rStyle w:val="default"/>
          <w:rFonts w:cs="FrankRuehl"/>
          <w:rtl/>
        </w:rPr>
        <w:t>(3)</w:t>
      </w:r>
      <w:r w:rsidRPr="00671585">
        <w:rPr>
          <w:rStyle w:val="default"/>
          <w:rFonts w:cs="FrankRuehl"/>
          <w:rtl/>
        </w:rPr>
        <w:tab/>
        <w:t>העברה מקופת גמל לתגמולים לקופת גמל אחרת לתגמולים;</w:t>
      </w:r>
    </w:p>
    <w:p w14:paraId="4A139940" w14:textId="77777777" w:rsidR="002A7255" w:rsidRPr="00671585" w:rsidRDefault="002A7255">
      <w:pPr>
        <w:pStyle w:val="P22"/>
        <w:spacing w:before="72"/>
        <w:ind w:left="1021" w:right="1134"/>
        <w:rPr>
          <w:rStyle w:val="default"/>
          <w:rFonts w:cs="FrankRuehl"/>
          <w:rtl/>
        </w:rPr>
      </w:pPr>
      <w:r w:rsidRPr="00671585">
        <w:rPr>
          <w:rFonts w:cs="FrankRuehl"/>
          <w:lang w:val="he-IL"/>
        </w:rPr>
        <w:pict w14:anchorId="44D4313E">
          <v:rect id="_x0000_s1029" style="position:absolute;left:0;text-align:left;margin-left:464.5pt;margin-top:8.05pt;width:75.05pt;height:16.15pt;z-index:251658752" o:allowincell="f" filled="f" stroked="f" strokecolor="lime" strokeweight=".25pt">
            <v:textbox inset="0,0,0,0">
              <w:txbxContent>
                <w:p w14:paraId="0CD2DF13" w14:textId="77777777" w:rsidR="002A7255" w:rsidRDefault="002A7255" w:rsidP="00613A81">
                  <w:pPr>
                    <w:spacing w:line="160" w:lineRule="exact"/>
                    <w:rPr>
                      <w:rFonts w:cs="Miriam"/>
                      <w:noProof/>
                      <w:sz w:val="18"/>
                      <w:szCs w:val="18"/>
                      <w:rtl/>
                    </w:rPr>
                  </w:pPr>
                  <w:r>
                    <w:rPr>
                      <w:rFonts w:cs="Miriam"/>
                      <w:sz w:val="18"/>
                      <w:szCs w:val="18"/>
                      <w:rtl/>
                    </w:rPr>
                    <w:t>כל</w:t>
                  </w:r>
                  <w:r>
                    <w:rPr>
                      <w:rFonts w:cs="Miriam" w:hint="cs"/>
                      <w:sz w:val="18"/>
                      <w:szCs w:val="18"/>
                      <w:rtl/>
                    </w:rPr>
                    <w:t>לים תשנ"ד</w:t>
                  </w:r>
                  <w:r w:rsidR="00613A81">
                    <w:rPr>
                      <w:rFonts w:cs="Miriam" w:hint="cs"/>
                      <w:sz w:val="18"/>
                      <w:szCs w:val="18"/>
                      <w:rtl/>
                    </w:rPr>
                    <w:t>-</w:t>
                  </w:r>
                  <w:r>
                    <w:rPr>
                      <w:rFonts w:cs="Miriam"/>
                      <w:sz w:val="18"/>
                      <w:szCs w:val="18"/>
                      <w:rtl/>
                    </w:rPr>
                    <w:t>1994</w:t>
                  </w:r>
                </w:p>
              </w:txbxContent>
            </v:textbox>
            <w10:anchorlock/>
          </v:rect>
        </w:pict>
      </w:r>
      <w:r w:rsidRPr="00671585">
        <w:rPr>
          <w:rStyle w:val="default"/>
          <w:rFonts w:cs="FrankRuehl"/>
          <w:rtl/>
        </w:rPr>
        <w:t>(4)</w:t>
      </w:r>
      <w:r w:rsidRPr="00671585">
        <w:rPr>
          <w:rStyle w:val="default"/>
          <w:rFonts w:cs="FrankRuehl"/>
          <w:rtl/>
        </w:rPr>
        <w:tab/>
        <w:t>העברה מקופה מרכזית לפיצויים לקופה מרכזית אחרת לפיצויים;</w:t>
      </w:r>
    </w:p>
    <w:p w14:paraId="6CEB099C" w14:textId="77777777" w:rsidR="002A7255" w:rsidRPr="00671585" w:rsidRDefault="002A7255">
      <w:pPr>
        <w:pStyle w:val="P22"/>
        <w:spacing w:before="72"/>
        <w:ind w:left="1021" w:right="1134"/>
        <w:rPr>
          <w:rStyle w:val="default"/>
          <w:rFonts w:cs="FrankRuehl"/>
          <w:rtl/>
        </w:rPr>
      </w:pPr>
      <w:r w:rsidRPr="00671585">
        <w:rPr>
          <w:rFonts w:cs="FrankRuehl"/>
          <w:lang w:val="he-IL"/>
        </w:rPr>
        <w:pict w14:anchorId="1B71EFCB">
          <v:rect id="_x0000_s1030" style="position:absolute;left:0;text-align:left;margin-left:464.5pt;margin-top:8.05pt;width:75.05pt;height:17.55pt;z-index:251659776" o:allowincell="f" filled="f" stroked="f" strokecolor="lime" strokeweight=".25pt">
            <v:textbox inset="0,0,0,0">
              <w:txbxContent>
                <w:p w14:paraId="5E5BBDD1" w14:textId="77777777" w:rsidR="002A7255" w:rsidRDefault="002A7255" w:rsidP="00613A81">
                  <w:pPr>
                    <w:spacing w:line="160" w:lineRule="exact"/>
                    <w:rPr>
                      <w:rFonts w:cs="Miriam"/>
                      <w:noProof/>
                      <w:sz w:val="18"/>
                      <w:szCs w:val="18"/>
                      <w:rtl/>
                    </w:rPr>
                  </w:pPr>
                  <w:r>
                    <w:rPr>
                      <w:rFonts w:cs="Miriam"/>
                      <w:sz w:val="18"/>
                      <w:szCs w:val="18"/>
                      <w:rtl/>
                    </w:rPr>
                    <w:t>כל</w:t>
                  </w:r>
                  <w:r>
                    <w:rPr>
                      <w:rFonts w:cs="Miriam" w:hint="cs"/>
                      <w:sz w:val="18"/>
                      <w:szCs w:val="18"/>
                      <w:rtl/>
                    </w:rPr>
                    <w:t>לים תשנ"ד</w:t>
                  </w:r>
                  <w:r w:rsidR="00613A81">
                    <w:rPr>
                      <w:rFonts w:cs="Miriam" w:hint="cs"/>
                      <w:sz w:val="18"/>
                      <w:szCs w:val="18"/>
                      <w:rtl/>
                    </w:rPr>
                    <w:t>-</w:t>
                  </w:r>
                  <w:r>
                    <w:rPr>
                      <w:rFonts w:cs="Miriam"/>
                      <w:sz w:val="18"/>
                      <w:szCs w:val="18"/>
                      <w:rtl/>
                    </w:rPr>
                    <w:t>1994</w:t>
                  </w:r>
                </w:p>
              </w:txbxContent>
            </v:textbox>
            <w10:anchorlock/>
          </v:rect>
        </w:pict>
      </w:r>
      <w:r w:rsidRPr="00671585">
        <w:rPr>
          <w:rStyle w:val="default"/>
          <w:rFonts w:cs="FrankRuehl"/>
          <w:rtl/>
        </w:rPr>
        <w:t>(5)</w:t>
      </w:r>
      <w:r w:rsidRPr="00671585">
        <w:rPr>
          <w:rStyle w:val="default"/>
          <w:rFonts w:cs="FrankRuehl"/>
          <w:rtl/>
        </w:rPr>
        <w:tab/>
        <w:t>העברה מקופת גמל אישית לפיצויים לקופת גמל אישית אחרת לפיצויים;</w:t>
      </w:r>
    </w:p>
    <w:p w14:paraId="0FDC8BF4" w14:textId="77777777" w:rsidR="002A7255" w:rsidRPr="00671585" w:rsidRDefault="002A7255">
      <w:pPr>
        <w:pStyle w:val="P22"/>
        <w:spacing w:before="72"/>
        <w:ind w:left="1021" w:right="1134"/>
        <w:rPr>
          <w:rStyle w:val="default"/>
          <w:rFonts w:cs="FrankRuehl"/>
          <w:rtl/>
        </w:rPr>
      </w:pPr>
      <w:r w:rsidRPr="00671585">
        <w:rPr>
          <w:rStyle w:val="default"/>
          <w:rFonts w:cs="FrankRuehl"/>
          <w:rtl/>
        </w:rPr>
        <w:t>(6)</w:t>
      </w:r>
      <w:r w:rsidRPr="00671585">
        <w:rPr>
          <w:rStyle w:val="default"/>
          <w:rFonts w:cs="FrankRuehl"/>
          <w:rtl/>
        </w:rPr>
        <w:tab/>
        <w:t>העברה מחשבון של מעביד אחד לחשבון של מעביד שני, באותה קופה, של כל הכספים העומדים לזכות עובדים של המעביד האחד העוברים לעבוד אצל המעביד השני, אם ההעברה אושרה ע"י הנציב והמעביד השני לא תבע בניכוי כל סכום בשל העברה זו;</w:t>
      </w:r>
    </w:p>
    <w:p w14:paraId="1AF1C0DF" w14:textId="77777777" w:rsidR="002A7255" w:rsidRPr="00671585" w:rsidRDefault="002A7255">
      <w:pPr>
        <w:pStyle w:val="P22"/>
        <w:spacing w:before="72"/>
        <w:ind w:left="1021" w:right="1134"/>
        <w:rPr>
          <w:rStyle w:val="default"/>
          <w:rFonts w:cs="FrankRuehl"/>
          <w:rtl/>
        </w:rPr>
      </w:pPr>
      <w:r w:rsidRPr="00671585">
        <w:rPr>
          <w:rStyle w:val="default"/>
          <w:rFonts w:cs="FrankRuehl"/>
          <w:rtl/>
        </w:rPr>
        <w:t>(7)</w:t>
      </w:r>
      <w:r w:rsidRPr="00671585">
        <w:rPr>
          <w:rStyle w:val="default"/>
          <w:rFonts w:cs="FrankRuehl"/>
          <w:rtl/>
        </w:rPr>
        <w:tab/>
        <w:t>העברה אחרת, לרבות העברה מקרן השתלמות אחת לקרן השתלמות אחרת וכן שינוי יעוד, ובלבד שאושרו מראש בידי הנציב בין בכללים שיפרסם לגבי סוגי העברות ובין לגבי העברה מסויימת, אם אין בהם כדי לגרום להטבת מס או להטבה בתשואה שנותנת המדינה.</w:t>
      </w:r>
    </w:p>
    <w:p w14:paraId="4780EB73" w14:textId="77777777" w:rsidR="002A7255" w:rsidRDefault="002A7255">
      <w:pPr>
        <w:pStyle w:val="P00"/>
        <w:spacing w:before="72"/>
        <w:ind w:left="0" w:right="1134"/>
        <w:rPr>
          <w:rStyle w:val="default"/>
          <w:rFonts w:cs="FrankRuehl" w:hint="cs"/>
          <w:rtl/>
        </w:rPr>
      </w:pPr>
      <w:r w:rsidRPr="00671585">
        <w:rPr>
          <w:rFonts w:cs="FrankRuehl"/>
          <w:sz w:val="26"/>
          <w:rtl/>
        </w:rPr>
        <w:tab/>
      </w:r>
      <w:r w:rsidRPr="00671585">
        <w:rPr>
          <w:rStyle w:val="default"/>
          <w:rFonts w:cs="FrankRuehl"/>
          <w:rtl/>
        </w:rPr>
        <w:t>(ב)</w:t>
      </w:r>
      <w:r w:rsidRPr="00671585">
        <w:rPr>
          <w:rStyle w:val="default"/>
          <w:rFonts w:cs="FrankRuehl"/>
          <w:rtl/>
        </w:rPr>
        <w:tab/>
        <w:t>הפטור לפי סעיף קטן (א) יחול רק אם המעביר לא תבע בניכוי כל סכום בשל ההעברה.</w:t>
      </w:r>
    </w:p>
    <w:p w14:paraId="37D57CB6" w14:textId="77777777" w:rsidR="00671585" w:rsidRPr="00613A81" w:rsidRDefault="00671585" w:rsidP="00671585">
      <w:pPr>
        <w:pStyle w:val="P00"/>
        <w:spacing w:before="0"/>
        <w:ind w:left="1021" w:right="1134"/>
        <w:rPr>
          <w:rFonts w:cs="FrankRuehl" w:hint="cs"/>
          <w:b/>
          <w:bCs/>
          <w:vanish/>
          <w:szCs w:val="20"/>
          <w:shd w:val="clear" w:color="auto" w:fill="FFFF99"/>
          <w:rtl/>
        </w:rPr>
      </w:pPr>
      <w:bookmarkStart w:id="2" w:name="Rov5"/>
      <w:r w:rsidRPr="00613A81">
        <w:rPr>
          <w:rFonts w:cs="FrankRuehl" w:hint="cs"/>
          <w:vanish/>
          <w:color w:val="FF0000"/>
          <w:szCs w:val="20"/>
          <w:shd w:val="clear" w:color="auto" w:fill="FFFF99"/>
          <w:rtl/>
        </w:rPr>
        <w:t>מיום 12.7.1994</w:t>
      </w:r>
    </w:p>
    <w:p w14:paraId="141E151B" w14:textId="77777777" w:rsidR="00671585" w:rsidRPr="00613A81" w:rsidRDefault="00671585" w:rsidP="00671585">
      <w:pPr>
        <w:pStyle w:val="P00"/>
        <w:spacing w:before="0"/>
        <w:ind w:left="1021" w:right="1134"/>
        <w:rPr>
          <w:rFonts w:cs="FrankRuehl" w:hint="cs"/>
          <w:b/>
          <w:bCs/>
          <w:vanish/>
          <w:szCs w:val="20"/>
          <w:shd w:val="clear" w:color="auto" w:fill="FFFF99"/>
          <w:rtl/>
        </w:rPr>
      </w:pPr>
      <w:r w:rsidRPr="00613A81">
        <w:rPr>
          <w:rFonts w:cs="FrankRuehl" w:hint="cs"/>
          <w:b/>
          <w:bCs/>
          <w:vanish/>
          <w:szCs w:val="20"/>
          <w:shd w:val="clear" w:color="auto" w:fill="FFFF99"/>
          <w:rtl/>
        </w:rPr>
        <w:t>כללים תשנ"ד-1994</w:t>
      </w:r>
    </w:p>
    <w:p w14:paraId="611C6F1E" w14:textId="77777777" w:rsidR="00671585" w:rsidRPr="00613A81" w:rsidRDefault="00671585" w:rsidP="00671585">
      <w:pPr>
        <w:pStyle w:val="P00"/>
        <w:tabs>
          <w:tab w:val="clear" w:pos="6259"/>
        </w:tabs>
        <w:spacing w:before="0"/>
        <w:ind w:left="1021" w:right="1134"/>
        <w:rPr>
          <w:rFonts w:cs="FrankRuehl" w:hint="cs"/>
          <w:vanish/>
          <w:szCs w:val="20"/>
          <w:shd w:val="clear" w:color="auto" w:fill="FFFF99"/>
          <w:rtl/>
        </w:rPr>
      </w:pPr>
      <w:hyperlink r:id="rId6" w:history="1">
        <w:r w:rsidRPr="00613A81">
          <w:rPr>
            <w:rStyle w:val="Hyperlink"/>
            <w:rFonts w:cs="FrankRuehl" w:hint="cs"/>
            <w:vanish/>
            <w:szCs w:val="20"/>
            <w:shd w:val="clear" w:color="auto" w:fill="FFFF99"/>
            <w:rtl/>
          </w:rPr>
          <w:t>ק"ת תשנ"ד מס' 5613</w:t>
        </w:r>
      </w:hyperlink>
      <w:r w:rsidRPr="00613A81">
        <w:rPr>
          <w:rFonts w:cs="FrankRuehl" w:hint="cs"/>
          <w:vanish/>
          <w:szCs w:val="20"/>
          <w:shd w:val="clear" w:color="auto" w:fill="FFFF99"/>
          <w:rtl/>
        </w:rPr>
        <w:t xml:space="preserve"> מיום 12.7.1994 עמ' 1187</w:t>
      </w:r>
    </w:p>
    <w:p w14:paraId="1ADFC896" w14:textId="77777777" w:rsidR="00671585" w:rsidRPr="00613A81" w:rsidRDefault="00671585" w:rsidP="00671585">
      <w:pPr>
        <w:pStyle w:val="P22"/>
        <w:ind w:left="1021" w:right="1134"/>
        <w:rPr>
          <w:rStyle w:val="default"/>
          <w:rFonts w:cs="FrankRuehl"/>
          <w:vanish/>
          <w:sz w:val="22"/>
          <w:szCs w:val="22"/>
          <w:shd w:val="clear" w:color="auto" w:fill="FFFF99"/>
          <w:rtl/>
        </w:rPr>
      </w:pPr>
      <w:r w:rsidRPr="00613A81">
        <w:rPr>
          <w:rStyle w:val="default"/>
          <w:rFonts w:cs="FrankRuehl"/>
          <w:vanish/>
          <w:sz w:val="22"/>
          <w:szCs w:val="22"/>
          <w:shd w:val="clear" w:color="auto" w:fill="FFFF99"/>
          <w:rtl/>
        </w:rPr>
        <w:t>(3)</w:t>
      </w:r>
      <w:r w:rsidRPr="00613A81">
        <w:rPr>
          <w:rStyle w:val="default"/>
          <w:rFonts w:cs="FrankRuehl"/>
          <w:vanish/>
          <w:sz w:val="22"/>
          <w:szCs w:val="22"/>
          <w:shd w:val="clear" w:color="auto" w:fill="FFFF99"/>
          <w:rtl/>
        </w:rPr>
        <w:tab/>
        <w:t>העברה מקופת גמל לתגמולים לקופת גמל אחרת לתגמולים</w:t>
      </w:r>
      <w:r w:rsidRPr="00613A81">
        <w:rPr>
          <w:rStyle w:val="default"/>
          <w:rFonts w:cs="FrankRuehl" w:hint="cs"/>
          <w:vanish/>
          <w:sz w:val="22"/>
          <w:szCs w:val="22"/>
          <w:shd w:val="clear" w:color="auto" w:fill="FFFF99"/>
          <w:rtl/>
        </w:rPr>
        <w:t xml:space="preserve"> </w:t>
      </w:r>
      <w:r w:rsidRPr="00613A81">
        <w:rPr>
          <w:rStyle w:val="default"/>
          <w:rFonts w:cs="FrankRuehl" w:hint="cs"/>
          <w:strike/>
          <w:vanish/>
          <w:sz w:val="22"/>
          <w:szCs w:val="22"/>
          <w:shd w:val="clear" w:color="auto" w:fill="FFFF99"/>
          <w:rtl/>
        </w:rPr>
        <w:t>שאינה קופת ביטוח</w:t>
      </w:r>
      <w:r w:rsidRPr="00613A81">
        <w:rPr>
          <w:rStyle w:val="default"/>
          <w:rFonts w:cs="FrankRuehl"/>
          <w:vanish/>
          <w:sz w:val="22"/>
          <w:szCs w:val="22"/>
          <w:shd w:val="clear" w:color="auto" w:fill="FFFF99"/>
          <w:rtl/>
        </w:rPr>
        <w:t>;</w:t>
      </w:r>
    </w:p>
    <w:p w14:paraId="161EF18B" w14:textId="77777777" w:rsidR="00671585" w:rsidRPr="00613A81" w:rsidRDefault="00671585" w:rsidP="00671585">
      <w:pPr>
        <w:pStyle w:val="P22"/>
        <w:spacing w:before="0"/>
        <w:ind w:left="1021" w:right="1134"/>
        <w:rPr>
          <w:rStyle w:val="default"/>
          <w:rFonts w:cs="FrankRuehl"/>
          <w:vanish/>
          <w:sz w:val="22"/>
          <w:szCs w:val="22"/>
          <w:shd w:val="clear" w:color="auto" w:fill="FFFF99"/>
          <w:rtl/>
        </w:rPr>
      </w:pPr>
      <w:r w:rsidRPr="00613A81">
        <w:rPr>
          <w:rStyle w:val="default"/>
          <w:rFonts w:cs="FrankRuehl"/>
          <w:vanish/>
          <w:sz w:val="22"/>
          <w:szCs w:val="22"/>
          <w:shd w:val="clear" w:color="auto" w:fill="FFFF99"/>
          <w:rtl/>
        </w:rPr>
        <w:t>(4)</w:t>
      </w:r>
      <w:r w:rsidRPr="00613A81">
        <w:rPr>
          <w:rStyle w:val="default"/>
          <w:rFonts w:cs="FrankRuehl"/>
          <w:vanish/>
          <w:sz w:val="22"/>
          <w:szCs w:val="22"/>
          <w:shd w:val="clear" w:color="auto" w:fill="FFFF99"/>
          <w:rtl/>
        </w:rPr>
        <w:tab/>
        <w:t>העברה מקופה מרכזית לפיצויים לקופה מרכזית אחרת לפיצויים</w:t>
      </w:r>
      <w:r w:rsidRPr="00613A81">
        <w:rPr>
          <w:rStyle w:val="default"/>
          <w:rFonts w:cs="FrankRuehl" w:hint="cs"/>
          <w:vanish/>
          <w:sz w:val="22"/>
          <w:szCs w:val="22"/>
          <w:shd w:val="clear" w:color="auto" w:fill="FFFF99"/>
          <w:rtl/>
        </w:rPr>
        <w:t xml:space="preserve"> </w:t>
      </w:r>
      <w:r w:rsidRPr="00613A81">
        <w:rPr>
          <w:rStyle w:val="default"/>
          <w:rFonts w:cs="FrankRuehl" w:hint="cs"/>
          <w:strike/>
          <w:vanish/>
          <w:sz w:val="22"/>
          <w:szCs w:val="22"/>
          <w:shd w:val="clear" w:color="auto" w:fill="FFFF99"/>
          <w:rtl/>
        </w:rPr>
        <w:t>שאינה קופת ביטוח</w:t>
      </w:r>
      <w:r w:rsidRPr="00613A81">
        <w:rPr>
          <w:rStyle w:val="default"/>
          <w:rFonts w:cs="FrankRuehl"/>
          <w:vanish/>
          <w:sz w:val="22"/>
          <w:szCs w:val="22"/>
          <w:shd w:val="clear" w:color="auto" w:fill="FFFF99"/>
          <w:rtl/>
        </w:rPr>
        <w:t>;</w:t>
      </w:r>
    </w:p>
    <w:p w14:paraId="3C252D2D" w14:textId="77777777" w:rsidR="00671585" w:rsidRPr="00671585" w:rsidRDefault="00671585" w:rsidP="00671585">
      <w:pPr>
        <w:pStyle w:val="P22"/>
        <w:spacing w:before="0"/>
        <w:ind w:left="1021" w:right="1134"/>
        <w:rPr>
          <w:rStyle w:val="default"/>
          <w:rFonts w:cs="FrankRuehl"/>
          <w:sz w:val="2"/>
          <w:szCs w:val="2"/>
          <w:rtl/>
        </w:rPr>
      </w:pPr>
      <w:r w:rsidRPr="00613A81">
        <w:rPr>
          <w:rStyle w:val="default"/>
          <w:rFonts w:cs="FrankRuehl"/>
          <w:vanish/>
          <w:sz w:val="22"/>
          <w:szCs w:val="22"/>
          <w:shd w:val="clear" w:color="auto" w:fill="FFFF99"/>
          <w:rtl/>
        </w:rPr>
        <w:t>(5)</w:t>
      </w:r>
      <w:r w:rsidRPr="00613A81">
        <w:rPr>
          <w:rStyle w:val="default"/>
          <w:rFonts w:cs="FrankRuehl"/>
          <w:vanish/>
          <w:sz w:val="22"/>
          <w:szCs w:val="22"/>
          <w:shd w:val="clear" w:color="auto" w:fill="FFFF99"/>
          <w:rtl/>
        </w:rPr>
        <w:tab/>
        <w:t>העברה מקופת גמל אישית לפיצויים לקופת גמל אישית אחרת לפיצויים</w:t>
      </w:r>
      <w:r w:rsidRPr="00613A81">
        <w:rPr>
          <w:rStyle w:val="default"/>
          <w:rFonts w:cs="FrankRuehl" w:hint="cs"/>
          <w:vanish/>
          <w:sz w:val="22"/>
          <w:szCs w:val="22"/>
          <w:shd w:val="clear" w:color="auto" w:fill="FFFF99"/>
          <w:rtl/>
        </w:rPr>
        <w:t xml:space="preserve"> </w:t>
      </w:r>
      <w:r w:rsidRPr="00613A81">
        <w:rPr>
          <w:rStyle w:val="default"/>
          <w:rFonts w:cs="FrankRuehl" w:hint="cs"/>
          <w:strike/>
          <w:vanish/>
          <w:sz w:val="22"/>
          <w:szCs w:val="22"/>
          <w:shd w:val="clear" w:color="auto" w:fill="FFFF99"/>
          <w:rtl/>
        </w:rPr>
        <w:t>שאינה קופת ביטוח</w:t>
      </w:r>
      <w:r w:rsidRPr="00613A81">
        <w:rPr>
          <w:rStyle w:val="default"/>
          <w:rFonts w:cs="FrankRuehl"/>
          <w:vanish/>
          <w:sz w:val="22"/>
          <w:szCs w:val="22"/>
          <w:shd w:val="clear" w:color="auto" w:fill="FFFF99"/>
          <w:rtl/>
        </w:rPr>
        <w:t>;</w:t>
      </w:r>
      <w:bookmarkEnd w:id="2"/>
    </w:p>
    <w:p w14:paraId="7942DC5A" w14:textId="77777777" w:rsidR="002A7255" w:rsidRPr="00613A81" w:rsidRDefault="002A7255">
      <w:pPr>
        <w:pStyle w:val="P00"/>
        <w:spacing w:before="72"/>
        <w:ind w:left="0" w:right="1134"/>
        <w:rPr>
          <w:rStyle w:val="default"/>
          <w:rFonts w:cs="FrankRuehl" w:hint="cs"/>
          <w:rtl/>
        </w:rPr>
      </w:pPr>
    </w:p>
    <w:p w14:paraId="150C7411" w14:textId="77777777" w:rsidR="00613A81" w:rsidRPr="00613A81" w:rsidRDefault="00613A81">
      <w:pPr>
        <w:pStyle w:val="P00"/>
        <w:spacing w:before="72"/>
        <w:ind w:left="0" w:right="1134"/>
        <w:rPr>
          <w:rStyle w:val="default"/>
          <w:rFonts w:cs="FrankRuehl" w:hint="cs"/>
          <w:rtl/>
        </w:rPr>
      </w:pPr>
    </w:p>
    <w:p w14:paraId="19CD5DF6" w14:textId="77777777" w:rsidR="002A7255" w:rsidRDefault="002A7255">
      <w:pPr>
        <w:pStyle w:val="sig-0"/>
        <w:ind w:left="0" w:right="1134"/>
        <w:rPr>
          <w:rFonts w:cs="FrankRuehl"/>
          <w:sz w:val="26"/>
          <w:rtl/>
        </w:rPr>
      </w:pPr>
      <w:r>
        <w:rPr>
          <w:rFonts w:cs="FrankRuehl"/>
          <w:sz w:val="26"/>
          <w:rtl/>
        </w:rPr>
        <w:t>י"</w:t>
      </w:r>
      <w:r>
        <w:rPr>
          <w:rFonts w:cs="FrankRuehl" w:hint="cs"/>
          <w:sz w:val="26"/>
          <w:rtl/>
        </w:rPr>
        <w:t>ד באב תש"ן (5 באוגוסט 1990)</w:t>
      </w:r>
      <w:r>
        <w:rPr>
          <w:rFonts w:cs="FrankRuehl"/>
          <w:sz w:val="26"/>
          <w:rtl/>
        </w:rPr>
        <w:tab/>
        <w:t>י</w:t>
      </w:r>
      <w:r>
        <w:rPr>
          <w:rFonts w:cs="FrankRuehl" w:hint="cs"/>
          <w:sz w:val="26"/>
          <w:rtl/>
        </w:rPr>
        <w:t>צחק מודעי</w:t>
      </w:r>
    </w:p>
    <w:p w14:paraId="769A592A" w14:textId="77777777" w:rsidR="002A7255" w:rsidRDefault="002A7255">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1A5BA64F" w14:textId="77777777" w:rsidR="00613A81" w:rsidRPr="00613A81" w:rsidRDefault="00613A81" w:rsidP="00613A81">
      <w:pPr>
        <w:pStyle w:val="P00"/>
        <w:spacing w:before="72"/>
        <w:ind w:left="0" w:right="1134"/>
        <w:rPr>
          <w:rStyle w:val="default"/>
          <w:rFonts w:cs="FrankRuehl" w:hint="cs"/>
          <w:rtl/>
        </w:rPr>
      </w:pPr>
    </w:p>
    <w:p w14:paraId="4907D687" w14:textId="77777777" w:rsidR="00613A81" w:rsidRPr="00613A81" w:rsidRDefault="00613A81" w:rsidP="00613A81">
      <w:pPr>
        <w:pStyle w:val="P00"/>
        <w:spacing w:before="72"/>
        <w:ind w:left="0" w:right="1134"/>
        <w:rPr>
          <w:rStyle w:val="default"/>
          <w:rFonts w:cs="FrankRuehl"/>
          <w:rtl/>
        </w:rPr>
      </w:pPr>
    </w:p>
    <w:p w14:paraId="4CBDCADD" w14:textId="77777777" w:rsidR="002A7255" w:rsidRPr="00613A81" w:rsidRDefault="002A7255" w:rsidP="00613A81">
      <w:pPr>
        <w:pStyle w:val="P00"/>
        <w:spacing w:before="72"/>
        <w:ind w:left="0" w:right="1134"/>
        <w:rPr>
          <w:rStyle w:val="default"/>
          <w:rFonts w:cs="FrankRuehl"/>
          <w:rtl/>
        </w:rPr>
      </w:pPr>
      <w:bookmarkStart w:id="3" w:name="LawPartEnd"/>
    </w:p>
    <w:bookmarkEnd w:id="3"/>
    <w:p w14:paraId="281C679D" w14:textId="77777777" w:rsidR="002A7255" w:rsidRPr="00613A81" w:rsidRDefault="002A7255" w:rsidP="00613A81">
      <w:pPr>
        <w:pStyle w:val="P00"/>
        <w:spacing w:before="72"/>
        <w:ind w:left="0" w:right="1134"/>
        <w:rPr>
          <w:rStyle w:val="default"/>
          <w:rFonts w:cs="FrankRuehl"/>
          <w:rtl/>
        </w:rPr>
      </w:pPr>
    </w:p>
    <w:sectPr w:rsidR="002A7255" w:rsidRPr="00613A8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B3712" w14:textId="77777777" w:rsidR="00FC2445" w:rsidRDefault="00FC2445">
      <w:r>
        <w:separator/>
      </w:r>
    </w:p>
  </w:endnote>
  <w:endnote w:type="continuationSeparator" w:id="0">
    <w:p w14:paraId="2EFB7DA7" w14:textId="77777777" w:rsidR="00FC2445" w:rsidRDefault="00FC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2126" w14:textId="77777777" w:rsidR="002A7255" w:rsidRDefault="002A725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50BC995A" w14:textId="77777777" w:rsidR="002A7255" w:rsidRDefault="002A725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53F6EC" w14:textId="77777777" w:rsidR="002A7255" w:rsidRDefault="002A725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3713">
      <w:rPr>
        <w:rFonts w:cs="TopType Jerushalmi"/>
        <w:noProof/>
        <w:color w:val="000000"/>
        <w:sz w:val="14"/>
        <w:szCs w:val="14"/>
      </w:rPr>
      <w:t>Z:\000000000000-law\yael\revadim\08-10-16\255_224.doc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7FF8" w14:textId="77777777" w:rsidR="002A7255" w:rsidRDefault="002A725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6E2857">
      <w:rPr>
        <w:rFonts w:hAnsi="FrankRuehl" w:cs="FrankRuehl"/>
        <w:noProof/>
        <w:rtl/>
      </w:rPr>
      <w:t>2</w:t>
    </w:r>
    <w:r>
      <w:rPr>
        <w:rFonts w:hAnsi="FrankRuehl" w:cs="FrankRuehl"/>
        <w:rtl/>
      </w:rPr>
      <w:fldChar w:fldCharType="end"/>
    </w:r>
  </w:p>
  <w:p w14:paraId="11143BD7" w14:textId="77777777" w:rsidR="002A7255" w:rsidRDefault="002A725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486C6A" w14:textId="77777777" w:rsidR="002A7255" w:rsidRDefault="002A725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3713">
      <w:rPr>
        <w:rFonts w:cs="TopType Jerushalmi"/>
        <w:noProof/>
        <w:color w:val="000000"/>
        <w:sz w:val="14"/>
        <w:szCs w:val="14"/>
      </w:rPr>
      <w:t>Z:\000000000000-law\yael\revadim\08-10-16\255_224.doc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F12B" w14:textId="77777777" w:rsidR="00FC2445" w:rsidRDefault="00FC2445" w:rsidP="00613A81">
      <w:pPr>
        <w:spacing w:before="60"/>
        <w:ind w:right="1134"/>
      </w:pPr>
      <w:r>
        <w:separator/>
      </w:r>
    </w:p>
  </w:footnote>
  <w:footnote w:type="continuationSeparator" w:id="0">
    <w:p w14:paraId="6A5C0628" w14:textId="77777777" w:rsidR="00FC2445" w:rsidRDefault="00FC2445">
      <w:r>
        <w:continuationSeparator/>
      </w:r>
    </w:p>
  </w:footnote>
  <w:footnote w:id="1">
    <w:p w14:paraId="241CF8C5" w14:textId="77777777" w:rsidR="00613A81" w:rsidRPr="00671585" w:rsidRDefault="00613A81" w:rsidP="00613A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13A81">
        <w:rPr>
          <w:rFonts w:cs="FrankRuehl"/>
          <w:rtl/>
        </w:rPr>
        <w:t xml:space="preserve">* </w:t>
      </w:r>
      <w:r w:rsidRPr="00671585">
        <w:rPr>
          <w:rFonts w:cs="FrankRuehl"/>
          <w:rtl/>
        </w:rPr>
        <w:t>פו</w:t>
      </w:r>
      <w:r w:rsidRPr="00671585">
        <w:rPr>
          <w:rFonts w:cs="FrankRuehl" w:hint="cs"/>
          <w:rtl/>
        </w:rPr>
        <w:t xml:space="preserve">רסמו </w:t>
      </w:r>
      <w:hyperlink r:id="rId1" w:history="1">
        <w:r w:rsidRPr="00671585">
          <w:rPr>
            <w:rStyle w:val="Hyperlink"/>
            <w:rFonts w:cs="FrankRuehl" w:hint="cs"/>
            <w:rtl/>
          </w:rPr>
          <w:t>ק"ת תש</w:t>
        </w:r>
        <w:r w:rsidRPr="00671585">
          <w:rPr>
            <w:rStyle w:val="Hyperlink"/>
            <w:rFonts w:cs="FrankRuehl" w:hint="cs"/>
            <w:rtl/>
          </w:rPr>
          <w:t>"ן מס' 5287</w:t>
        </w:r>
      </w:hyperlink>
      <w:r w:rsidRPr="00671585">
        <w:rPr>
          <w:rFonts w:cs="FrankRuehl" w:hint="cs"/>
          <w:rtl/>
        </w:rPr>
        <w:t xml:space="preserve"> מיום 17.8.1990 עמ' 1003.</w:t>
      </w:r>
    </w:p>
    <w:p w14:paraId="06806F2B" w14:textId="77777777" w:rsidR="00613A81" w:rsidRPr="00613A81" w:rsidRDefault="00613A81" w:rsidP="00613A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71585">
        <w:rPr>
          <w:rFonts w:cs="FrankRuehl" w:hint="cs"/>
          <w:rtl/>
        </w:rPr>
        <w:t>ת</w:t>
      </w:r>
      <w:r w:rsidRPr="00671585">
        <w:rPr>
          <w:rFonts w:cs="FrankRuehl"/>
          <w:rtl/>
        </w:rPr>
        <w:t>ו</w:t>
      </w:r>
      <w:r w:rsidRPr="00671585">
        <w:rPr>
          <w:rFonts w:cs="FrankRuehl" w:hint="cs"/>
          <w:rtl/>
        </w:rPr>
        <w:t xml:space="preserve">קנו </w:t>
      </w:r>
      <w:hyperlink r:id="rId2" w:history="1">
        <w:r w:rsidRPr="00671585">
          <w:rPr>
            <w:rStyle w:val="Hyperlink"/>
            <w:rFonts w:cs="FrankRuehl" w:hint="cs"/>
            <w:rtl/>
          </w:rPr>
          <w:t>ק"ת תשנ"ד מס</w:t>
        </w:r>
        <w:r w:rsidRPr="00671585">
          <w:rPr>
            <w:rStyle w:val="Hyperlink"/>
            <w:rFonts w:cs="FrankRuehl" w:hint="cs"/>
            <w:rtl/>
          </w:rPr>
          <w:t>' 5613</w:t>
        </w:r>
      </w:hyperlink>
      <w:r w:rsidRPr="00671585">
        <w:rPr>
          <w:rFonts w:cs="FrankRuehl" w:hint="cs"/>
          <w:rtl/>
        </w:rPr>
        <w:t xml:space="preserve"> מיום 12.7.1994 עמ' 1187</w:t>
      </w:r>
      <w:r>
        <w:rPr>
          <w:rFonts w:cs="FrankRuehl" w:hint="cs"/>
          <w:rtl/>
        </w:rPr>
        <w:t xml:space="preserve"> </w:t>
      </w:r>
      <w:r>
        <w:rPr>
          <w:rFonts w:cs="FrankRuehl"/>
          <w:rtl/>
        </w:rPr>
        <w:t>–</w:t>
      </w:r>
      <w:r>
        <w:rPr>
          <w:rFonts w:cs="FrankRuehl" w:hint="cs"/>
          <w:rtl/>
        </w:rPr>
        <w:t xml:space="preserve"> כללים תשנ"ד-1994</w:t>
      </w:r>
      <w:r w:rsidRPr="0067158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A11A" w14:textId="77777777" w:rsidR="002A7255" w:rsidRDefault="002A72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(פטור ממס בשל העברה ושינוי יעוד של כספים בקופות גמל), תש"ן–1990</w:t>
    </w:r>
  </w:p>
  <w:p w14:paraId="597C43DA" w14:textId="77777777" w:rsidR="002A7255" w:rsidRDefault="002A72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43EC99" w14:textId="77777777" w:rsidR="002A7255" w:rsidRDefault="002A72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5EC6" w14:textId="77777777" w:rsidR="002A7255" w:rsidRDefault="002A7255" w:rsidP="00613A8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(פטור ממס בשל העברה ושינוי יעוד של כספים בקופות גמל), תש"ן</w:t>
    </w:r>
    <w:r w:rsidR="00613A81">
      <w:rPr>
        <w:rFonts w:hAnsi="FrankRuehl" w:cs="FrankRuehl" w:hint="cs"/>
        <w:color w:val="000000"/>
        <w:sz w:val="28"/>
        <w:szCs w:val="28"/>
        <w:rtl/>
      </w:rPr>
      <w:t>-</w:t>
    </w:r>
    <w:r>
      <w:rPr>
        <w:rFonts w:hAnsi="FrankRuehl" w:cs="FrankRuehl"/>
        <w:color w:val="000000"/>
        <w:sz w:val="28"/>
        <w:szCs w:val="28"/>
        <w:rtl/>
      </w:rPr>
      <w:t>1990</w:t>
    </w:r>
  </w:p>
  <w:p w14:paraId="46B3CC96" w14:textId="77777777" w:rsidR="002A7255" w:rsidRDefault="002A72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BC7DAA" w14:textId="77777777" w:rsidR="002A7255" w:rsidRDefault="002A72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1585"/>
    <w:rsid w:val="002A7255"/>
    <w:rsid w:val="00492EF9"/>
    <w:rsid w:val="005E6C1B"/>
    <w:rsid w:val="00613A81"/>
    <w:rsid w:val="00671585"/>
    <w:rsid w:val="006E2857"/>
    <w:rsid w:val="007A1447"/>
    <w:rsid w:val="007D4830"/>
    <w:rsid w:val="008D758A"/>
    <w:rsid w:val="008F3713"/>
    <w:rsid w:val="009C165E"/>
    <w:rsid w:val="00A6779F"/>
    <w:rsid w:val="00CA17DC"/>
    <w:rsid w:val="00DF0018"/>
    <w:rsid w:val="00FC24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E554E52"/>
  <w15:chartTrackingRefBased/>
  <w15:docId w15:val="{C9BADE86-1BE7-4A82-B3C5-33B7D3FF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671585"/>
    <w:rPr>
      <w:color w:val="800080"/>
      <w:u w:val="single"/>
    </w:rPr>
  </w:style>
  <w:style w:type="paragraph" w:styleId="a5">
    <w:name w:val="footnote text"/>
    <w:basedOn w:val="a"/>
    <w:semiHidden/>
    <w:rsid w:val="00613A81"/>
    <w:rPr>
      <w:sz w:val="20"/>
      <w:szCs w:val="20"/>
    </w:rPr>
  </w:style>
  <w:style w:type="character" w:styleId="a6">
    <w:name w:val="footnote reference"/>
    <w:basedOn w:val="a0"/>
    <w:semiHidden/>
    <w:rsid w:val="00613A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1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613.pdf" TargetMode="External"/><Relationship Id="rId1" Type="http://schemas.openxmlformats.org/officeDocument/2006/relationships/hyperlink" Target="http://www.nevo.co.il/Law_word/law06/TAK-52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2180</CharactersWithSpaces>
  <SharedDoc>false</SharedDoc>
  <HLinks>
    <vt:vector size="30" baseType="variant">
      <vt:variant>
        <vt:i4>8192013</vt:i4>
      </vt:variant>
      <vt:variant>
        <vt:i4>12</vt:i4>
      </vt:variant>
      <vt:variant>
        <vt:i4>0</vt:i4>
      </vt:variant>
      <vt:variant>
        <vt:i4>5</vt:i4>
      </vt:variant>
      <vt:variant>
        <vt:lpwstr>http://www.nevo.co.il/Law_word/law06/TAK-5613.pdf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8192013</vt:i4>
      </vt:variant>
      <vt:variant>
        <vt:i4>3</vt:i4>
      </vt:variant>
      <vt:variant>
        <vt:i4>0</vt:i4>
      </vt:variant>
      <vt:variant>
        <vt:i4>5</vt:i4>
      </vt:variant>
      <vt:variant>
        <vt:lpwstr>http://www.nevo.co.il/Law_word/law06/TAK-5613.pdf</vt:lpwstr>
      </vt:variant>
      <vt:variant>
        <vt:lpwstr/>
      </vt:variant>
      <vt:variant>
        <vt:i4>7602189</vt:i4>
      </vt:variant>
      <vt:variant>
        <vt:i4>0</vt:i4>
      </vt:variant>
      <vt:variant>
        <vt:i4>0</vt:i4>
      </vt:variant>
      <vt:variant>
        <vt:i4>5</vt:i4>
      </vt:variant>
      <vt:variant>
        <vt:lpwstr>http://www.nevo.co.il/Law_word/law06/TAK-5287.pdf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(פטור ממס בשל העברה ושינוי יעוד של כספים בקופות גמל), תש"ן-1990 - רבדים</vt:lpwstr>
  </property>
  <property fmtid="{D5CDD505-2E9C-101B-9397-08002B2CF9AE}" pid="5" name="LAWNUMBER">
    <vt:lpwstr>0224</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3XדX2X</vt:lpwstr>
  </property>
  <property fmtid="{D5CDD505-2E9C-101B-9397-08002B2CF9AE}" pid="9" name="NOSE11">
    <vt:lpwstr>משפט פרטי וכלכלה</vt:lpwstr>
  </property>
  <property fmtid="{D5CDD505-2E9C-101B-9397-08002B2CF9AE}" pid="10" name="NOSE21">
    <vt:lpwstr>תאגידים וניירות ערך</vt:lpwstr>
  </property>
  <property fmtid="{D5CDD505-2E9C-101B-9397-08002B2CF9AE}" pid="11" name="NOSE31">
    <vt:lpwstr>קופות גמל</vt:lpwstr>
  </property>
  <property fmtid="{D5CDD505-2E9C-101B-9397-08002B2CF9AE}" pid="12" name="NOSE41">
    <vt:lpwstr>מיסוי ופטור ממס</vt:lpwstr>
  </property>
  <property fmtid="{D5CDD505-2E9C-101B-9397-08002B2CF9AE}" pid="13" name="NOSE12">
    <vt:lpwstr>משפט פרטי וכלכלה</vt:lpwstr>
  </property>
  <property fmtid="{D5CDD505-2E9C-101B-9397-08002B2CF9AE}" pid="14" name="NOSE22">
    <vt:lpwstr>כספים</vt:lpwstr>
  </property>
  <property fmtid="{D5CDD505-2E9C-101B-9397-08002B2CF9AE}" pid="15" name="NOSE32">
    <vt:lpwstr>שירותים פיננסיים</vt:lpwstr>
  </property>
  <property fmtid="{D5CDD505-2E9C-101B-9397-08002B2CF9AE}" pid="16" name="NOSE42">
    <vt:lpwstr>קופות גמל</vt:lpwstr>
  </property>
  <property fmtid="{D5CDD505-2E9C-101B-9397-08002B2CF9AE}" pid="17" name="NOSE13">
    <vt:lpwstr>מסים</vt:lpwstr>
  </property>
  <property fmtid="{D5CDD505-2E9C-101B-9397-08002B2CF9AE}" pid="18" name="NOSE23">
    <vt:lpwstr>מס הכנסה</vt:lpwstr>
  </property>
  <property fmtid="{D5CDD505-2E9C-101B-9397-08002B2CF9AE}" pid="19" name="NOSE33">
    <vt:lpwstr>קופות גמל</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