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C747E" w14:textId="77777777" w:rsidR="008A46BC" w:rsidRDefault="008A46BC" w:rsidP="005A1EEC">
      <w:pPr>
        <w:pStyle w:val="big-header"/>
        <w:ind w:left="0" w:right="1134"/>
        <w:rPr>
          <w:rFonts w:cs="FrankRuehl"/>
          <w:sz w:val="32"/>
        </w:rPr>
      </w:pPr>
      <w:r>
        <w:rPr>
          <w:rFonts w:cs="FrankRuehl"/>
          <w:sz w:val="32"/>
          <w:rtl/>
        </w:rPr>
        <w:t xml:space="preserve">כללי מס הכנסה (תוספת פחת לבנינים מושכרים בשכירות מוגנת), </w:t>
      </w:r>
      <w:r w:rsidR="005A1EEC">
        <w:rPr>
          <w:rFonts w:cs="FrankRuehl" w:hint="cs"/>
          <w:sz w:val="32"/>
          <w:rtl/>
        </w:rPr>
        <w:br/>
      </w:r>
      <w:r>
        <w:rPr>
          <w:rFonts w:cs="FrankRuehl"/>
          <w:sz w:val="32"/>
          <w:rtl/>
        </w:rPr>
        <w:t>תשל"ח</w:t>
      </w:r>
      <w:r w:rsidR="005A1EEC">
        <w:rPr>
          <w:rFonts w:cs="FrankRuehl" w:hint="cs"/>
          <w:sz w:val="32"/>
          <w:rtl/>
        </w:rPr>
        <w:t>-</w:t>
      </w:r>
      <w:r>
        <w:rPr>
          <w:rFonts w:cs="FrankRuehl"/>
          <w:sz w:val="32"/>
          <w:rtl/>
        </w:rPr>
        <w:t>1977</w:t>
      </w:r>
    </w:p>
    <w:p w14:paraId="2C6DBDF9" w14:textId="77777777" w:rsidR="00EA6057" w:rsidRPr="00EA6057" w:rsidRDefault="00EA6057" w:rsidP="00EA6057">
      <w:pPr>
        <w:spacing w:line="320" w:lineRule="auto"/>
        <w:rPr>
          <w:rFonts w:cs="FrankRuehl"/>
          <w:szCs w:val="26"/>
          <w:rtl/>
        </w:rPr>
      </w:pPr>
    </w:p>
    <w:p w14:paraId="091DB5C7" w14:textId="77777777" w:rsidR="001E206F" w:rsidRDefault="001E206F" w:rsidP="001E206F">
      <w:pPr>
        <w:spacing w:line="320" w:lineRule="auto"/>
        <w:rPr>
          <w:rtl/>
        </w:rPr>
      </w:pPr>
    </w:p>
    <w:p w14:paraId="53D34F3C" w14:textId="77777777" w:rsidR="001E206F" w:rsidRDefault="001E206F" w:rsidP="001E206F">
      <w:pPr>
        <w:spacing w:line="320" w:lineRule="auto"/>
        <w:rPr>
          <w:rFonts w:cs="FrankRuehl"/>
          <w:szCs w:val="26"/>
          <w:rtl/>
        </w:rPr>
      </w:pPr>
      <w:r w:rsidRPr="001E206F">
        <w:rPr>
          <w:rFonts w:cs="Miriam"/>
          <w:szCs w:val="22"/>
          <w:rtl/>
        </w:rPr>
        <w:t>משפט פרטי וכלכלה</w:t>
      </w:r>
      <w:r w:rsidRPr="001E206F">
        <w:rPr>
          <w:rFonts w:cs="FrankRuehl"/>
          <w:szCs w:val="26"/>
          <w:rtl/>
        </w:rPr>
        <w:t xml:space="preserve"> – קניין – שכירות והגנת הדייר</w:t>
      </w:r>
    </w:p>
    <w:p w14:paraId="6C93969F" w14:textId="77777777" w:rsidR="00EA6057" w:rsidRPr="001E206F" w:rsidRDefault="001E206F" w:rsidP="001E206F">
      <w:pPr>
        <w:spacing w:line="320" w:lineRule="auto"/>
        <w:rPr>
          <w:rFonts w:cs="Miriam"/>
          <w:szCs w:val="22"/>
          <w:rtl/>
        </w:rPr>
      </w:pPr>
      <w:r w:rsidRPr="001E206F">
        <w:rPr>
          <w:rFonts w:cs="Miriam"/>
          <w:szCs w:val="22"/>
          <w:rtl/>
        </w:rPr>
        <w:t>מסים</w:t>
      </w:r>
      <w:r w:rsidRPr="001E206F">
        <w:rPr>
          <w:rFonts w:cs="FrankRuehl"/>
          <w:szCs w:val="26"/>
          <w:rtl/>
        </w:rPr>
        <w:t xml:space="preserve"> – מס הכנסה – פחת</w:t>
      </w:r>
    </w:p>
    <w:p w14:paraId="75064C31" w14:textId="77777777" w:rsidR="008A46BC" w:rsidRDefault="008A46BC">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A07FC" w:rsidRPr="00BA07FC" w14:paraId="0F1519D2" w14:textId="77777777">
        <w:tblPrEx>
          <w:tblCellMar>
            <w:top w:w="0" w:type="dxa"/>
            <w:bottom w:w="0" w:type="dxa"/>
          </w:tblCellMar>
        </w:tblPrEx>
        <w:tc>
          <w:tcPr>
            <w:tcW w:w="1247" w:type="dxa"/>
          </w:tcPr>
          <w:p w14:paraId="0DA5EC83" w14:textId="77777777" w:rsidR="00BA07FC" w:rsidRPr="00BA07FC" w:rsidRDefault="00BA07FC" w:rsidP="00BA07FC">
            <w:pPr>
              <w:rPr>
                <w:rFonts w:cs="Frankruhel"/>
                <w:rtl/>
              </w:rPr>
            </w:pPr>
            <w:r>
              <w:rPr>
                <w:rtl/>
              </w:rPr>
              <w:t xml:space="preserve">סעיף 1 </w:t>
            </w:r>
          </w:p>
        </w:tc>
        <w:tc>
          <w:tcPr>
            <w:tcW w:w="5669" w:type="dxa"/>
          </w:tcPr>
          <w:p w14:paraId="316F290B" w14:textId="77777777" w:rsidR="00BA07FC" w:rsidRPr="00BA07FC" w:rsidRDefault="00BA07FC" w:rsidP="00BA07FC">
            <w:pPr>
              <w:rPr>
                <w:rFonts w:cs="Frankruhel"/>
                <w:rtl/>
              </w:rPr>
            </w:pPr>
            <w:r>
              <w:rPr>
                <w:rtl/>
              </w:rPr>
              <w:t>הגדרות</w:t>
            </w:r>
          </w:p>
        </w:tc>
        <w:tc>
          <w:tcPr>
            <w:tcW w:w="567" w:type="dxa"/>
          </w:tcPr>
          <w:p w14:paraId="10866177" w14:textId="77777777" w:rsidR="00BA07FC" w:rsidRPr="00BA07FC" w:rsidRDefault="00BA07FC" w:rsidP="00BA07FC">
            <w:pPr>
              <w:rPr>
                <w:rStyle w:val="Hyperlink"/>
                <w:rtl/>
              </w:rPr>
            </w:pPr>
            <w:hyperlink w:anchor="Seif1" w:tooltip="הגדרות" w:history="1">
              <w:r w:rsidRPr="00BA07FC">
                <w:rPr>
                  <w:rStyle w:val="Hyperlink"/>
                </w:rPr>
                <w:t>Go</w:t>
              </w:r>
            </w:hyperlink>
          </w:p>
        </w:tc>
        <w:tc>
          <w:tcPr>
            <w:tcW w:w="850" w:type="dxa"/>
          </w:tcPr>
          <w:p w14:paraId="0E55DD3D" w14:textId="77777777" w:rsidR="00BA07FC" w:rsidRPr="00BA07FC" w:rsidRDefault="00BA07FC" w:rsidP="00BA07FC">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BA07FC" w:rsidRPr="00BA07FC" w14:paraId="2D53176C" w14:textId="77777777">
        <w:tblPrEx>
          <w:tblCellMar>
            <w:top w:w="0" w:type="dxa"/>
            <w:bottom w:w="0" w:type="dxa"/>
          </w:tblCellMar>
        </w:tblPrEx>
        <w:tc>
          <w:tcPr>
            <w:tcW w:w="1247" w:type="dxa"/>
          </w:tcPr>
          <w:p w14:paraId="378C4AA8" w14:textId="77777777" w:rsidR="00BA07FC" w:rsidRPr="00BA07FC" w:rsidRDefault="00BA07FC" w:rsidP="00BA07FC">
            <w:pPr>
              <w:rPr>
                <w:rFonts w:cs="Frankruhel"/>
                <w:rtl/>
              </w:rPr>
            </w:pPr>
            <w:r>
              <w:rPr>
                <w:rtl/>
              </w:rPr>
              <w:t xml:space="preserve">סעיף 2 </w:t>
            </w:r>
          </w:p>
        </w:tc>
        <w:tc>
          <w:tcPr>
            <w:tcW w:w="5669" w:type="dxa"/>
          </w:tcPr>
          <w:p w14:paraId="1C18DFCE" w14:textId="77777777" w:rsidR="00BA07FC" w:rsidRPr="00BA07FC" w:rsidRDefault="00BA07FC" w:rsidP="00BA07FC">
            <w:pPr>
              <w:rPr>
                <w:rFonts w:cs="Frankruhel"/>
                <w:rtl/>
              </w:rPr>
            </w:pPr>
            <w:r>
              <w:rPr>
                <w:rtl/>
              </w:rPr>
              <w:t>תוספת פחת</w:t>
            </w:r>
          </w:p>
        </w:tc>
        <w:tc>
          <w:tcPr>
            <w:tcW w:w="567" w:type="dxa"/>
          </w:tcPr>
          <w:p w14:paraId="014EB456" w14:textId="77777777" w:rsidR="00BA07FC" w:rsidRPr="00BA07FC" w:rsidRDefault="00BA07FC" w:rsidP="00BA07FC">
            <w:pPr>
              <w:rPr>
                <w:rStyle w:val="Hyperlink"/>
                <w:rtl/>
              </w:rPr>
            </w:pPr>
            <w:hyperlink w:anchor="Seif2" w:tooltip="תוספת פחת" w:history="1">
              <w:r w:rsidRPr="00BA07FC">
                <w:rPr>
                  <w:rStyle w:val="Hyperlink"/>
                </w:rPr>
                <w:t>Go</w:t>
              </w:r>
            </w:hyperlink>
          </w:p>
        </w:tc>
        <w:tc>
          <w:tcPr>
            <w:tcW w:w="850" w:type="dxa"/>
          </w:tcPr>
          <w:p w14:paraId="4368FA32" w14:textId="77777777" w:rsidR="00BA07FC" w:rsidRPr="00BA07FC" w:rsidRDefault="00BA07FC" w:rsidP="00BA07FC">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BA07FC" w:rsidRPr="00BA07FC" w14:paraId="06F07A98" w14:textId="77777777">
        <w:tblPrEx>
          <w:tblCellMar>
            <w:top w:w="0" w:type="dxa"/>
            <w:bottom w:w="0" w:type="dxa"/>
          </w:tblCellMar>
        </w:tblPrEx>
        <w:tc>
          <w:tcPr>
            <w:tcW w:w="1247" w:type="dxa"/>
          </w:tcPr>
          <w:p w14:paraId="67B66592" w14:textId="77777777" w:rsidR="00BA07FC" w:rsidRPr="00BA07FC" w:rsidRDefault="00BA07FC" w:rsidP="00BA07FC">
            <w:pPr>
              <w:rPr>
                <w:rFonts w:cs="Frankruhel"/>
                <w:rtl/>
              </w:rPr>
            </w:pPr>
            <w:r>
              <w:rPr>
                <w:rtl/>
              </w:rPr>
              <w:t xml:space="preserve">סעיף 3 </w:t>
            </w:r>
          </w:p>
        </w:tc>
        <w:tc>
          <w:tcPr>
            <w:tcW w:w="5669" w:type="dxa"/>
          </w:tcPr>
          <w:p w14:paraId="5B637BFC" w14:textId="77777777" w:rsidR="00BA07FC" w:rsidRPr="00BA07FC" w:rsidRDefault="00BA07FC" w:rsidP="00BA07FC">
            <w:pPr>
              <w:rPr>
                <w:rFonts w:cs="Frankruhel"/>
                <w:rtl/>
              </w:rPr>
            </w:pPr>
            <w:r>
              <w:rPr>
                <w:rtl/>
              </w:rPr>
              <w:t>תוספת פחת בשל חלק מבנין</w:t>
            </w:r>
          </w:p>
        </w:tc>
        <w:tc>
          <w:tcPr>
            <w:tcW w:w="567" w:type="dxa"/>
          </w:tcPr>
          <w:p w14:paraId="12986C9C" w14:textId="77777777" w:rsidR="00BA07FC" w:rsidRPr="00BA07FC" w:rsidRDefault="00BA07FC" w:rsidP="00BA07FC">
            <w:pPr>
              <w:rPr>
                <w:rStyle w:val="Hyperlink"/>
                <w:rtl/>
              </w:rPr>
            </w:pPr>
            <w:hyperlink w:anchor="Seif3" w:tooltip="תוספת פחת בשל חלק מבנין" w:history="1">
              <w:r w:rsidRPr="00BA07FC">
                <w:rPr>
                  <w:rStyle w:val="Hyperlink"/>
                </w:rPr>
                <w:t>Go</w:t>
              </w:r>
            </w:hyperlink>
          </w:p>
        </w:tc>
        <w:tc>
          <w:tcPr>
            <w:tcW w:w="850" w:type="dxa"/>
          </w:tcPr>
          <w:p w14:paraId="7C8B4C06" w14:textId="77777777" w:rsidR="00BA07FC" w:rsidRPr="00BA07FC" w:rsidRDefault="00BA07FC" w:rsidP="00BA07FC">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BA07FC" w:rsidRPr="00BA07FC" w14:paraId="07764AD6" w14:textId="77777777">
        <w:tblPrEx>
          <w:tblCellMar>
            <w:top w:w="0" w:type="dxa"/>
            <w:bottom w:w="0" w:type="dxa"/>
          </w:tblCellMar>
        </w:tblPrEx>
        <w:tc>
          <w:tcPr>
            <w:tcW w:w="1247" w:type="dxa"/>
          </w:tcPr>
          <w:p w14:paraId="529BC8CC" w14:textId="77777777" w:rsidR="00BA07FC" w:rsidRPr="00BA07FC" w:rsidRDefault="00BA07FC" w:rsidP="00BA07FC">
            <w:pPr>
              <w:rPr>
                <w:rFonts w:cs="Frankruhel"/>
                <w:rtl/>
              </w:rPr>
            </w:pPr>
            <w:r>
              <w:rPr>
                <w:rtl/>
              </w:rPr>
              <w:t xml:space="preserve">סעיף 4 </w:t>
            </w:r>
          </w:p>
        </w:tc>
        <w:tc>
          <w:tcPr>
            <w:tcW w:w="5669" w:type="dxa"/>
          </w:tcPr>
          <w:p w14:paraId="3D732110" w14:textId="77777777" w:rsidR="00BA07FC" w:rsidRPr="00BA07FC" w:rsidRDefault="00BA07FC" w:rsidP="00BA07FC">
            <w:pPr>
              <w:rPr>
                <w:rFonts w:cs="Frankruhel"/>
                <w:rtl/>
              </w:rPr>
            </w:pPr>
            <w:r>
              <w:rPr>
                <w:rtl/>
              </w:rPr>
              <w:t>השם</w:t>
            </w:r>
          </w:p>
        </w:tc>
        <w:tc>
          <w:tcPr>
            <w:tcW w:w="567" w:type="dxa"/>
          </w:tcPr>
          <w:p w14:paraId="04C82C52" w14:textId="77777777" w:rsidR="00BA07FC" w:rsidRPr="00BA07FC" w:rsidRDefault="00BA07FC" w:rsidP="00BA07FC">
            <w:pPr>
              <w:rPr>
                <w:rStyle w:val="Hyperlink"/>
                <w:rtl/>
              </w:rPr>
            </w:pPr>
            <w:hyperlink w:anchor="Seif4" w:tooltip="השם" w:history="1">
              <w:r w:rsidRPr="00BA07FC">
                <w:rPr>
                  <w:rStyle w:val="Hyperlink"/>
                </w:rPr>
                <w:t>Go</w:t>
              </w:r>
            </w:hyperlink>
          </w:p>
        </w:tc>
        <w:tc>
          <w:tcPr>
            <w:tcW w:w="850" w:type="dxa"/>
          </w:tcPr>
          <w:p w14:paraId="0E590089" w14:textId="77777777" w:rsidR="00BA07FC" w:rsidRPr="00BA07FC" w:rsidRDefault="00BA07FC" w:rsidP="00BA07FC">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bl>
    <w:p w14:paraId="602196A8" w14:textId="77777777" w:rsidR="008A46BC" w:rsidRDefault="008A46BC">
      <w:pPr>
        <w:pStyle w:val="big-header"/>
        <w:ind w:left="0" w:right="1134"/>
        <w:rPr>
          <w:rFonts w:cs="FrankRuehl"/>
          <w:sz w:val="32"/>
          <w:rtl/>
        </w:rPr>
      </w:pPr>
    </w:p>
    <w:p w14:paraId="039D9D9A" w14:textId="77777777" w:rsidR="008A46BC" w:rsidRDefault="008A46BC" w:rsidP="00EA6057">
      <w:pPr>
        <w:pStyle w:val="big-header"/>
        <w:ind w:left="0" w:right="1134"/>
        <w:rPr>
          <w:rStyle w:val="default"/>
          <w:rFonts w:hint="cs"/>
          <w:rtl/>
        </w:rPr>
      </w:pPr>
      <w:r>
        <w:rPr>
          <w:rtl/>
        </w:rPr>
        <w:br w:type="page"/>
      </w:r>
      <w:r>
        <w:rPr>
          <w:rFonts w:cs="FrankRuehl"/>
          <w:sz w:val="32"/>
          <w:rtl/>
        </w:rPr>
        <w:lastRenderedPageBreak/>
        <w:t>כל</w:t>
      </w:r>
      <w:r>
        <w:rPr>
          <w:rFonts w:cs="FrankRuehl" w:hint="cs"/>
          <w:sz w:val="32"/>
          <w:rtl/>
        </w:rPr>
        <w:t xml:space="preserve">לי מס הכנסה (תוספת פחת לבנינים מושכרים בשכירות מוגנת), </w:t>
      </w:r>
      <w:r w:rsidR="005A1EEC">
        <w:rPr>
          <w:rFonts w:cs="FrankRuehl"/>
          <w:sz w:val="32"/>
          <w:rtl/>
        </w:rPr>
        <w:br/>
      </w:r>
      <w:r>
        <w:rPr>
          <w:rFonts w:cs="FrankRuehl" w:hint="cs"/>
          <w:sz w:val="32"/>
          <w:rtl/>
        </w:rPr>
        <w:t>תשל"ח</w:t>
      </w:r>
      <w:r w:rsidR="005A1EEC">
        <w:rPr>
          <w:rFonts w:cs="FrankRuehl" w:hint="cs"/>
          <w:sz w:val="32"/>
          <w:rtl/>
        </w:rPr>
        <w:t>-</w:t>
      </w:r>
      <w:r>
        <w:rPr>
          <w:rFonts w:cs="FrankRuehl"/>
          <w:sz w:val="32"/>
          <w:rtl/>
        </w:rPr>
        <w:t>1977</w:t>
      </w:r>
      <w:r w:rsidR="005A1EEC">
        <w:rPr>
          <w:rStyle w:val="a6"/>
          <w:rFonts w:cs="FrankRuehl"/>
          <w:sz w:val="32"/>
          <w:rtl/>
        </w:rPr>
        <w:footnoteReference w:customMarkFollows="1" w:id="1"/>
        <w:t>*</w:t>
      </w:r>
    </w:p>
    <w:p w14:paraId="50B3C601" w14:textId="77777777" w:rsidR="008A46BC" w:rsidRPr="00B87C42" w:rsidRDefault="008A46BC" w:rsidP="005A1EEC">
      <w:pPr>
        <w:pStyle w:val="P00"/>
        <w:spacing w:before="72"/>
        <w:ind w:left="0" w:right="1134"/>
        <w:rPr>
          <w:rStyle w:val="default"/>
          <w:rFonts w:cs="FrankRuehl"/>
          <w:rtl/>
        </w:rPr>
      </w:pPr>
      <w:r w:rsidRPr="00B87C42">
        <w:rPr>
          <w:rFonts w:cs="FrankRuehl"/>
          <w:sz w:val="26"/>
          <w:rtl/>
        </w:rPr>
        <w:tab/>
      </w:r>
      <w:r w:rsidRPr="00B87C42">
        <w:rPr>
          <w:rStyle w:val="default"/>
          <w:rFonts w:cs="FrankRuehl"/>
          <w:rtl/>
        </w:rPr>
        <w:t xml:space="preserve">בתוקף סמכותי לפי סעיף 20 לפקודת מס הכנסה (להלן </w:t>
      </w:r>
      <w:r w:rsidR="005A1EEC">
        <w:rPr>
          <w:rStyle w:val="default"/>
          <w:rFonts w:cs="FrankRuehl" w:hint="cs"/>
          <w:rtl/>
        </w:rPr>
        <w:t>-</w:t>
      </w:r>
      <w:r w:rsidRPr="00B87C42">
        <w:rPr>
          <w:rStyle w:val="default"/>
          <w:rFonts w:cs="FrankRuehl"/>
          <w:rtl/>
        </w:rPr>
        <w:t xml:space="preserve"> הפקודה), ובאישור ועדת הכספים של הכנסת, אני קובע כללים אלה:</w:t>
      </w:r>
    </w:p>
    <w:p w14:paraId="1BC002E3" w14:textId="77777777" w:rsidR="008A46BC" w:rsidRPr="00B87C42" w:rsidRDefault="008A46BC" w:rsidP="005A1EEC">
      <w:pPr>
        <w:pStyle w:val="P00"/>
        <w:spacing w:before="72"/>
        <w:ind w:left="0" w:right="1134"/>
        <w:rPr>
          <w:rStyle w:val="default"/>
          <w:rFonts w:cs="FrankRuehl"/>
          <w:rtl/>
        </w:rPr>
      </w:pPr>
      <w:bookmarkStart w:id="0" w:name="Seif1"/>
      <w:bookmarkEnd w:id="0"/>
      <w:r w:rsidRPr="005A1EEC">
        <w:rPr>
          <w:rFonts w:cs="Miriam"/>
          <w:lang w:val="he-IL"/>
        </w:rPr>
        <w:pict w14:anchorId="6AFDE131">
          <v:rect id="_x0000_s1026" style="position:absolute;left:0;text-align:left;margin-left:464.5pt;margin-top:8.05pt;width:75.05pt;height:14.25pt;z-index:251656192" o:allowincell="f" filled="f" stroked="f" strokecolor="lime" strokeweight=".25pt">
            <v:textbox inset="0,0,0,0">
              <w:txbxContent>
                <w:p w14:paraId="02685CA0" w14:textId="77777777" w:rsidR="008A46BC" w:rsidRDefault="008A46BC">
                  <w:pPr>
                    <w:spacing w:line="160" w:lineRule="exac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sidRPr="005A1EEC">
        <w:rPr>
          <w:rStyle w:val="big-number"/>
          <w:rFonts w:cs="Miriam"/>
          <w:rtl/>
        </w:rPr>
        <w:t>1</w:t>
      </w:r>
      <w:r w:rsidRPr="00B87C42">
        <w:rPr>
          <w:rStyle w:val="big-number"/>
          <w:rFonts w:cs="FrankRuehl"/>
          <w:rtl/>
        </w:rPr>
        <w:t>.</w:t>
      </w:r>
      <w:r w:rsidRPr="00B87C42">
        <w:rPr>
          <w:rStyle w:val="big-number"/>
          <w:rFonts w:cs="FrankRuehl"/>
          <w:rtl/>
        </w:rPr>
        <w:tab/>
      </w:r>
      <w:r w:rsidRPr="00B87C42">
        <w:rPr>
          <w:rStyle w:val="default"/>
          <w:rFonts w:cs="FrankRuehl"/>
          <w:rtl/>
        </w:rPr>
        <w:t xml:space="preserve">בכללים אלה, "בנין" </w:t>
      </w:r>
      <w:r w:rsidR="005A1EEC">
        <w:rPr>
          <w:rStyle w:val="default"/>
          <w:rFonts w:cs="FrankRuehl" w:hint="cs"/>
          <w:rtl/>
        </w:rPr>
        <w:t>-</w:t>
      </w:r>
      <w:r w:rsidRPr="00B87C42">
        <w:rPr>
          <w:rStyle w:val="default"/>
          <w:rFonts w:cs="FrankRuehl"/>
          <w:rtl/>
        </w:rPr>
        <w:t xml:space="preserve"> בנין או חלק ממנו, המושכר בשכירות מוגנת.</w:t>
      </w:r>
    </w:p>
    <w:p w14:paraId="303B6EDF" w14:textId="77777777" w:rsidR="008A46BC" w:rsidRPr="00B87C42" w:rsidRDefault="008A46BC">
      <w:pPr>
        <w:pStyle w:val="P00"/>
        <w:spacing w:before="72"/>
        <w:ind w:left="0" w:right="1134"/>
        <w:rPr>
          <w:rStyle w:val="default"/>
          <w:rFonts w:cs="FrankRuehl"/>
          <w:rtl/>
        </w:rPr>
      </w:pPr>
      <w:bookmarkStart w:id="1" w:name="Seif2"/>
      <w:bookmarkEnd w:id="1"/>
      <w:r w:rsidRPr="005A1EEC">
        <w:rPr>
          <w:rFonts w:cs="Miriam"/>
          <w:lang w:val="he-IL"/>
        </w:rPr>
        <w:pict w14:anchorId="28B4FD07">
          <v:rect id="_x0000_s1027" style="position:absolute;left:0;text-align:left;margin-left:464.5pt;margin-top:8.05pt;width:75.05pt;height:12.65pt;z-index:251657216" o:allowincell="f" filled="f" stroked="f" strokecolor="lime" strokeweight=".25pt">
            <v:textbox inset="0,0,0,0">
              <w:txbxContent>
                <w:p w14:paraId="7AED328B" w14:textId="77777777" w:rsidR="008A46BC" w:rsidRDefault="008A46BC">
                  <w:pPr>
                    <w:spacing w:line="160" w:lineRule="exact"/>
                    <w:rPr>
                      <w:rFonts w:cs="Miriam"/>
                      <w:noProof/>
                      <w:sz w:val="18"/>
                      <w:szCs w:val="18"/>
                      <w:rtl/>
                    </w:rPr>
                  </w:pPr>
                  <w:r>
                    <w:rPr>
                      <w:rFonts w:cs="Miriam"/>
                      <w:sz w:val="18"/>
                      <w:szCs w:val="18"/>
                      <w:rtl/>
                    </w:rPr>
                    <w:t>תו</w:t>
                  </w:r>
                  <w:r>
                    <w:rPr>
                      <w:rFonts w:cs="Miriam" w:hint="cs"/>
                      <w:sz w:val="18"/>
                      <w:szCs w:val="18"/>
                      <w:rtl/>
                    </w:rPr>
                    <w:t>ס</w:t>
                  </w:r>
                  <w:r>
                    <w:rPr>
                      <w:rFonts w:cs="Miriam"/>
                      <w:sz w:val="18"/>
                      <w:szCs w:val="18"/>
                      <w:rtl/>
                    </w:rPr>
                    <w:t>פת</w:t>
                  </w:r>
                  <w:r>
                    <w:rPr>
                      <w:rFonts w:cs="Miriam" w:hint="cs"/>
                      <w:sz w:val="18"/>
                      <w:szCs w:val="18"/>
                      <w:rtl/>
                    </w:rPr>
                    <w:t xml:space="preserve"> פחת</w:t>
                  </w:r>
                </w:p>
              </w:txbxContent>
            </v:textbox>
            <w10:anchorlock/>
          </v:rect>
        </w:pict>
      </w:r>
      <w:r w:rsidRPr="005A1EEC">
        <w:rPr>
          <w:rStyle w:val="big-number"/>
          <w:rFonts w:cs="Miriam"/>
          <w:rtl/>
        </w:rPr>
        <w:t>2</w:t>
      </w:r>
      <w:r w:rsidRPr="00B87C42">
        <w:rPr>
          <w:rStyle w:val="big-number"/>
          <w:rFonts w:cs="FrankRuehl"/>
          <w:rtl/>
        </w:rPr>
        <w:t>.</w:t>
      </w:r>
      <w:r w:rsidRPr="00B87C42">
        <w:rPr>
          <w:rStyle w:val="big-number"/>
          <w:rFonts w:cs="FrankRuehl"/>
          <w:rtl/>
        </w:rPr>
        <w:tab/>
      </w:r>
      <w:r w:rsidRPr="00B87C42">
        <w:rPr>
          <w:rStyle w:val="default"/>
          <w:rFonts w:cs="FrankRuehl"/>
          <w:rtl/>
        </w:rPr>
        <w:t>נישום שהיה זכאי לנכות פחת בעד בנין לפי הפקודה יהיה זכאי בשנת המס 1975 ואילך לתוספת פחת כמפורט להלן:</w:t>
      </w:r>
    </w:p>
    <w:p w14:paraId="73192186" w14:textId="77777777" w:rsidR="008A46BC" w:rsidRPr="00B87C42" w:rsidRDefault="008A46BC" w:rsidP="005A1EEC">
      <w:pPr>
        <w:pStyle w:val="P22"/>
        <w:spacing w:before="72"/>
        <w:ind w:left="1021" w:right="1134"/>
        <w:rPr>
          <w:rStyle w:val="default"/>
          <w:rFonts w:cs="FrankRuehl"/>
          <w:rtl/>
        </w:rPr>
      </w:pPr>
      <w:r w:rsidRPr="00B87C42">
        <w:rPr>
          <w:rStyle w:val="default"/>
          <w:rFonts w:cs="FrankRuehl"/>
          <w:rtl/>
        </w:rPr>
        <w:t>(1)</w:t>
      </w:r>
      <w:r w:rsidRPr="00B87C42">
        <w:rPr>
          <w:rStyle w:val="default"/>
          <w:rFonts w:cs="FrankRuehl"/>
          <w:rtl/>
        </w:rPr>
        <w:tab/>
        <w:t xml:space="preserve">היו גמר הבניה או הרכישה בשנת 1940 או לפניה </w:t>
      </w:r>
      <w:r w:rsidR="005A1EEC">
        <w:rPr>
          <w:rStyle w:val="default"/>
          <w:rFonts w:cs="FrankRuehl" w:hint="cs"/>
          <w:rtl/>
        </w:rPr>
        <w:t>-</w:t>
      </w:r>
      <w:r w:rsidRPr="00B87C42">
        <w:rPr>
          <w:rStyle w:val="default"/>
          <w:rFonts w:cs="FrankRuehl"/>
          <w:rtl/>
        </w:rPr>
        <w:t xml:space="preserve"> תהיה תוספת הפחת 2100% מסכום הפחת שהנישום זכאי לו לפי הפקודה.</w:t>
      </w:r>
    </w:p>
    <w:p w14:paraId="2627FA95" w14:textId="77777777" w:rsidR="008A46BC" w:rsidRPr="00B87C42" w:rsidRDefault="008A46BC" w:rsidP="005A1EEC">
      <w:pPr>
        <w:pStyle w:val="P22"/>
        <w:spacing w:before="72"/>
        <w:ind w:left="1021" w:right="1134"/>
        <w:rPr>
          <w:rStyle w:val="default"/>
          <w:rFonts w:cs="FrankRuehl"/>
          <w:rtl/>
        </w:rPr>
      </w:pPr>
      <w:r w:rsidRPr="00B87C42">
        <w:rPr>
          <w:rStyle w:val="default"/>
          <w:rFonts w:cs="FrankRuehl"/>
          <w:rtl/>
        </w:rPr>
        <w:t>(2)</w:t>
      </w:r>
      <w:r w:rsidRPr="00B87C42">
        <w:rPr>
          <w:rStyle w:val="default"/>
          <w:rFonts w:cs="FrankRuehl"/>
          <w:rtl/>
        </w:rPr>
        <w:tab/>
        <w:t xml:space="preserve">היו גמר הבניה או הרכישה בשנת 1941 </w:t>
      </w:r>
      <w:r w:rsidR="005A1EEC">
        <w:rPr>
          <w:rStyle w:val="default"/>
          <w:rFonts w:cs="FrankRuehl" w:hint="cs"/>
          <w:rtl/>
        </w:rPr>
        <w:t>-</w:t>
      </w:r>
      <w:r w:rsidRPr="00B87C42">
        <w:rPr>
          <w:rStyle w:val="default"/>
          <w:rFonts w:cs="FrankRuehl"/>
          <w:rtl/>
        </w:rPr>
        <w:t xml:space="preserve"> תהיה תוספת הפחת 1950% מסכום הפחת כאמור.</w:t>
      </w:r>
    </w:p>
    <w:p w14:paraId="66C4E4FE" w14:textId="77777777" w:rsidR="008A46BC" w:rsidRPr="00B87C42" w:rsidRDefault="008A46BC" w:rsidP="005A1EEC">
      <w:pPr>
        <w:pStyle w:val="P22"/>
        <w:spacing w:before="72"/>
        <w:ind w:left="1021" w:right="1134"/>
        <w:rPr>
          <w:rStyle w:val="default"/>
          <w:rFonts w:cs="FrankRuehl"/>
          <w:rtl/>
        </w:rPr>
      </w:pPr>
      <w:r w:rsidRPr="00B87C42">
        <w:rPr>
          <w:rStyle w:val="default"/>
          <w:rFonts w:cs="FrankRuehl"/>
          <w:rtl/>
        </w:rPr>
        <w:t>(3)</w:t>
      </w:r>
      <w:r w:rsidRPr="00B87C42">
        <w:rPr>
          <w:rStyle w:val="default"/>
          <w:rFonts w:cs="FrankRuehl"/>
          <w:rtl/>
        </w:rPr>
        <w:tab/>
        <w:t xml:space="preserve">היו גמר הבניה או הרכישה בתקופה שבין תחילת שנת 1942 לבין סוף שנת 1949 </w:t>
      </w:r>
      <w:r w:rsidR="005A1EEC">
        <w:rPr>
          <w:rStyle w:val="default"/>
          <w:rFonts w:cs="FrankRuehl" w:hint="cs"/>
          <w:rtl/>
        </w:rPr>
        <w:t>-</w:t>
      </w:r>
      <w:r w:rsidRPr="00B87C42">
        <w:rPr>
          <w:rStyle w:val="default"/>
          <w:rFonts w:cs="FrankRuehl"/>
          <w:rtl/>
        </w:rPr>
        <w:t xml:space="preserve"> תהיה תוספת הפחת 1350% מסכום הפחת כאמור.</w:t>
      </w:r>
    </w:p>
    <w:p w14:paraId="2A91CD53" w14:textId="77777777" w:rsidR="008A46BC" w:rsidRPr="00B87C42" w:rsidRDefault="008A46BC" w:rsidP="005A1EEC">
      <w:pPr>
        <w:pStyle w:val="P22"/>
        <w:spacing w:before="72"/>
        <w:ind w:left="1021" w:right="1134"/>
        <w:rPr>
          <w:rStyle w:val="default"/>
          <w:rFonts w:cs="FrankRuehl"/>
          <w:rtl/>
        </w:rPr>
      </w:pPr>
      <w:r w:rsidRPr="00B87C42">
        <w:rPr>
          <w:rStyle w:val="default"/>
          <w:rFonts w:cs="FrankRuehl"/>
          <w:rtl/>
        </w:rPr>
        <w:t>(4)</w:t>
      </w:r>
      <w:r w:rsidRPr="00B87C42">
        <w:rPr>
          <w:rStyle w:val="default"/>
          <w:rFonts w:cs="FrankRuehl"/>
          <w:rtl/>
        </w:rPr>
        <w:tab/>
        <w:t xml:space="preserve">היו גמר הבניה או הרכישה בתקופה שבין תחילת שנת 1950 לבין סוף שנת 1951 </w:t>
      </w:r>
      <w:r w:rsidR="005A1EEC">
        <w:rPr>
          <w:rStyle w:val="default"/>
          <w:rFonts w:cs="FrankRuehl" w:hint="cs"/>
          <w:rtl/>
        </w:rPr>
        <w:t>-</w:t>
      </w:r>
      <w:r w:rsidRPr="00B87C42">
        <w:rPr>
          <w:rStyle w:val="default"/>
          <w:rFonts w:cs="FrankRuehl"/>
          <w:rtl/>
        </w:rPr>
        <w:t xml:space="preserve"> תהיה תוספת הפחת 870% מסכום הפחת כאמור.</w:t>
      </w:r>
    </w:p>
    <w:p w14:paraId="367EB5F4" w14:textId="77777777" w:rsidR="008A46BC" w:rsidRPr="00B87C42" w:rsidRDefault="008A46BC" w:rsidP="005A1EEC">
      <w:pPr>
        <w:pStyle w:val="P22"/>
        <w:spacing w:before="72"/>
        <w:ind w:left="1021" w:right="1134"/>
        <w:rPr>
          <w:rStyle w:val="default"/>
          <w:rFonts w:cs="FrankRuehl"/>
          <w:rtl/>
        </w:rPr>
      </w:pPr>
      <w:r w:rsidRPr="00B87C42">
        <w:rPr>
          <w:rStyle w:val="default"/>
          <w:rFonts w:cs="FrankRuehl"/>
          <w:rtl/>
        </w:rPr>
        <w:t>(5)</w:t>
      </w:r>
      <w:r w:rsidRPr="00B87C42">
        <w:rPr>
          <w:rStyle w:val="default"/>
          <w:rFonts w:cs="FrankRuehl"/>
          <w:rtl/>
        </w:rPr>
        <w:tab/>
        <w:t xml:space="preserve">היו גמר הבניה או הרכישה בתקופה שבין תחילת שנת 1952 לבין סוף שנת 1955 </w:t>
      </w:r>
      <w:r w:rsidR="005A1EEC">
        <w:rPr>
          <w:rStyle w:val="default"/>
          <w:rFonts w:cs="FrankRuehl" w:hint="cs"/>
          <w:rtl/>
        </w:rPr>
        <w:t>-</w:t>
      </w:r>
      <w:r w:rsidRPr="00B87C42">
        <w:rPr>
          <w:rStyle w:val="default"/>
          <w:rFonts w:cs="FrankRuehl"/>
          <w:rtl/>
        </w:rPr>
        <w:t xml:space="preserve"> תהיה תוספת הפחת 435% מסכום הפחת כאמור.</w:t>
      </w:r>
    </w:p>
    <w:p w14:paraId="36173273" w14:textId="77777777" w:rsidR="008A46BC" w:rsidRPr="00B87C42" w:rsidRDefault="008A46BC" w:rsidP="005A1EEC">
      <w:pPr>
        <w:pStyle w:val="P22"/>
        <w:spacing w:before="72"/>
        <w:ind w:left="1021" w:right="1134"/>
        <w:rPr>
          <w:rStyle w:val="default"/>
          <w:rFonts w:cs="FrankRuehl"/>
          <w:rtl/>
        </w:rPr>
      </w:pPr>
      <w:r w:rsidRPr="00B87C42">
        <w:rPr>
          <w:rStyle w:val="default"/>
          <w:rFonts w:cs="FrankRuehl"/>
          <w:rtl/>
        </w:rPr>
        <w:t>(6)</w:t>
      </w:r>
      <w:r w:rsidRPr="00B87C42">
        <w:rPr>
          <w:rStyle w:val="default"/>
          <w:rFonts w:cs="FrankRuehl"/>
          <w:rtl/>
        </w:rPr>
        <w:tab/>
        <w:t xml:space="preserve">היו גמר הבניה או הרכישה בשנת 1956 </w:t>
      </w:r>
      <w:r w:rsidR="005A1EEC">
        <w:rPr>
          <w:rStyle w:val="default"/>
          <w:rFonts w:cs="FrankRuehl" w:hint="cs"/>
          <w:rtl/>
        </w:rPr>
        <w:t>-</w:t>
      </w:r>
      <w:r w:rsidRPr="00B87C42">
        <w:rPr>
          <w:rStyle w:val="default"/>
          <w:rFonts w:cs="FrankRuehl"/>
          <w:rtl/>
        </w:rPr>
        <w:t xml:space="preserve"> תהיה תוספת הפחת 390% מסכום הפחת כאמור.</w:t>
      </w:r>
    </w:p>
    <w:p w14:paraId="32F73354" w14:textId="77777777" w:rsidR="008A46BC" w:rsidRPr="00B87C42" w:rsidRDefault="008A46BC" w:rsidP="005A1EEC">
      <w:pPr>
        <w:pStyle w:val="P22"/>
        <w:spacing w:before="72"/>
        <w:ind w:left="1021" w:right="1134"/>
        <w:rPr>
          <w:rStyle w:val="default"/>
          <w:rFonts w:cs="FrankRuehl"/>
          <w:rtl/>
        </w:rPr>
      </w:pPr>
      <w:r w:rsidRPr="00B87C42">
        <w:rPr>
          <w:rStyle w:val="default"/>
          <w:rFonts w:cs="FrankRuehl"/>
          <w:rtl/>
        </w:rPr>
        <w:t>(7)</w:t>
      </w:r>
      <w:r w:rsidRPr="00B87C42">
        <w:rPr>
          <w:rStyle w:val="default"/>
          <w:rFonts w:cs="FrankRuehl"/>
          <w:rtl/>
        </w:rPr>
        <w:tab/>
        <w:t xml:space="preserve">היו גמר הבניה או הרכישה בתקופה שבין תחילת שנת 1957 לבין סוף שנת 1959 </w:t>
      </w:r>
      <w:r w:rsidR="005A1EEC">
        <w:rPr>
          <w:rStyle w:val="default"/>
          <w:rFonts w:cs="FrankRuehl" w:hint="cs"/>
          <w:rtl/>
        </w:rPr>
        <w:t>-</w:t>
      </w:r>
      <w:r w:rsidRPr="00B87C42">
        <w:rPr>
          <w:rStyle w:val="default"/>
          <w:rFonts w:cs="FrankRuehl"/>
          <w:rtl/>
        </w:rPr>
        <w:t xml:space="preserve"> תהיה תוספת הפחת 360% מסכום הפחת כאמור.</w:t>
      </w:r>
    </w:p>
    <w:p w14:paraId="5078F747" w14:textId="77777777" w:rsidR="008A46BC" w:rsidRPr="00B87C42" w:rsidRDefault="008A46BC" w:rsidP="005A1EEC">
      <w:pPr>
        <w:pStyle w:val="P22"/>
        <w:spacing w:before="72"/>
        <w:ind w:left="1021" w:right="1134"/>
        <w:rPr>
          <w:rStyle w:val="default"/>
          <w:rFonts w:cs="FrankRuehl"/>
          <w:rtl/>
        </w:rPr>
      </w:pPr>
      <w:r w:rsidRPr="00B87C42">
        <w:rPr>
          <w:rStyle w:val="default"/>
          <w:rFonts w:cs="FrankRuehl"/>
          <w:rtl/>
        </w:rPr>
        <w:t>(8)</w:t>
      </w:r>
      <w:r w:rsidRPr="00B87C42">
        <w:rPr>
          <w:rStyle w:val="default"/>
          <w:rFonts w:cs="FrankRuehl"/>
          <w:rtl/>
        </w:rPr>
        <w:tab/>
        <w:t xml:space="preserve">היו גמר הבניה או הרכישה בתקופה שבין תחילת שנת 1960 לבין סוף שנת 1963 </w:t>
      </w:r>
      <w:r w:rsidR="005A1EEC">
        <w:rPr>
          <w:rStyle w:val="default"/>
          <w:rFonts w:cs="FrankRuehl" w:hint="cs"/>
          <w:rtl/>
        </w:rPr>
        <w:t>-</w:t>
      </w:r>
      <w:r w:rsidRPr="00B87C42">
        <w:rPr>
          <w:rStyle w:val="default"/>
          <w:rFonts w:cs="FrankRuehl"/>
          <w:rtl/>
        </w:rPr>
        <w:t xml:space="preserve"> תהיה תוספת הפחת 300% מסכום הפחת כאמור.</w:t>
      </w:r>
    </w:p>
    <w:p w14:paraId="4BB34FDC" w14:textId="77777777" w:rsidR="008A46BC" w:rsidRPr="00B87C42" w:rsidRDefault="008A46BC" w:rsidP="005A1EEC">
      <w:pPr>
        <w:pStyle w:val="P22"/>
        <w:spacing w:before="72"/>
        <w:ind w:left="1021" w:right="1134"/>
        <w:rPr>
          <w:rStyle w:val="default"/>
          <w:rFonts w:cs="FrankRuehl"/>
          <w:rtl/>
        </w:rPr>
      </w:pPr>
      <w:r w:rsidRPr="00B87C42">
        <w:rPr>
          <w:rStyle w:val="default"/>
          <w:rFonts w:cs="FrankRuehl"/>
          <w:rtl/>
        </w:rPr>
        <w:t>(9)</w:t>
      </w:r>
      <w:r w:rsidRPr="00B87C42">
        <w:rPr>
          <w:rStyle w:val="default"/>
          <w:rFonts w:cs="FrankRuehl"/>
          <w:rtl/>
        </w:rPr>
        <w:tab/>
        <w:t xml:space="preserve">היו גמר הבניה או הרכישה בתקופה שבין תחילת שנת 1964 לבין סוף שנת 1970 </w:t>
      </w:r>
      <w:r w:rsidR="005A1EEC">
        <w:rPr>
          <w:rStyle w:val="default"/>
          <w:rFonts w:cs="FrankRuehl" w:hint="cs"/>
          <w:rtl/>
        </w:rPr>
        <w:t>-</w:t>
      </w:r>
      <w:r w:rsidRPr="00B87C42">
        <w:rPr>
          <w:rStyle w:val="default"/>
          <w:rFonts w:cs="FrankRuehl"/>
          <w:rtl/>
        </w:rPr>
        <w:t xml:space="preserve"> תהיה תוספת הפחת 230% מסכום הפחת כאמור.</w:t>
      </w:r>
    </w:p>
    <w:p w14:paraId="390B886F" w14:textId="77777777" w:rsidR="008A46BC" w:rsidRPr="00B87C42" w:rsidRDefault="008A46BC">
      <w:pPr>
        <w:pStyle w:val="P00"/>
        <w:spacing w:before="72"/>
        <w:ind w:left="0" w:right="1134"/>
        <w:rPr>
          <w:rStyle w:val="default"/>
          <w:rFonts w:cs="FrankRuehl"/>
          <w:rtl/>
        </w:rPr>
      </w:pPr>
      <w:bookmarkStart w:id="2" w:name="Seif3"/>
      <w:bookmarkEnd w:id="2"/>
      <w:r w:rsidRPr="005A1EEC">
        <w:rPr>
          <w:rFonts w:cs="Miriam"/>
          <w:lang w:val="he-IL"/>
        </w:rPr>
        <w:pict w14:anchorId="425BC27F">
          <v:rect id="_x0000_s1028" style="position:absolute;left:0;text-align:left;margin-left:464.5pt;margin-top:8.05pt;width:75.05pt;height:20.1pt;z-index:251658240" o:allowincell="f" filled="f" stroked="f" strokecolor="lime" strokeweight=".25pt">
            <v:textbox inset="0,0,0,0">
              <w:txbxContent>
                <w:p w14:paraId="68F68E77" w14:textId="77777777" w:rsidR="008A46BC" w:rsidRDefault="008A46BC" w:rsidP="005A1EEC">
                  <w:pPr>
                    <w:spacing w:line="160" w:lineRule="exact"/>
                    <w:rPr>
                      <w:rFonts w:cs="Miriam"/>
                      <w:noProof/>
                      <w:sz w:val="18"/>
                      <w:szCs w:val="18"/>
                      <w:rtl/>
                    </w:rPr>
                  </w:pPr>
                  <w:r>
                    <w:rPr>
                      <w:rFonts w:cs="Miriam"/>
                      <w:sz w:val="18"/>
                      <w:szCs w:val="18"/>
                      <w:rtl/>
                    </w:rPr>
                    <w:t>תו</w:t>
                  </w:r>
                  <w:r>
                    <w:rPr>
                      <w:rFonts w:cs="Miriam" w:hint="cs"/>
                      <w:sz w:val="18"/>
                      <w:szCs w:val="18"/>
                      <w:rtl/>
                    </w:rPr>
                    <w:t>ס</w:t>
                  </w:r>
                  <w:r>
                    <w:rPr>
                      <w:rFonts w:cs="Miriam"/>
                      <w:sz w:val="18"/>
                      <w:szCs w:val="18"/>
                      <w:rtl/>
                    </w:rPr>
                    <w:t>פת</w:t>
                  </w:r>
                  <w:r>
                    <w:rPr>
                      <w:rFonts w:cs="Miriam" w:hint="cs"/>
                      <w:sz w:val="18"/>
                      <w:szCs w:val="18"/>
                      <w:rtl/>
                    </w:rPr>
                    <w:t xml:space="preserve"> פחת בשל</w:t>
                  </w:r>
                  <w:r w:rsidR="005A1EEC">
                    <w:rPr>
                      <w:rFonts w:cs="Miriam" w:hint="cs"/>
                      <w:sz w:val="18"/>
                      <w:szCs w:val="18"/>
                      <w:rtl/>
                    </w:rPr>
                    <w:t xml:space="preserve"> </w:t>
                  </w:r>
                  <w:r>
                    <w:rPr>
                      <w:rFonts w:cs="Miriam"/>
                      <w:sz w:val="18"/>
                      <w:szCs w:val="18"/>
                      <w:rtl/>
                    </w:rPr>
                    <w:t>חל</w:t>
                  </w:r>
                  <w:r>
                    <w:rPr>
                      <w:rFonts w:cs="Miriam" w:hint="cs"/>
                      <w:sz w:val="18"/>
                      <w:szCs w:val="18"/>
                      <w:rtl/>
                    </w:rPr>
                    <w:t>ק מבנין</w:t>
                  </w:r>
                </w:p>
              </w:txbxContent>
            </v:textbox>
            <w10:anchorlock/>
          </v:rect>
        </w:pict>
      </w:r>
      <w:r w:rsidRPr="005A1EEC">
        <w:rPr>
          <w:rStyle w:val="big-number"/>
          <w:rFonts w:cs="Miriam"/>
          <w:rtl/>
        </w:rPr>
        <w:t>3</w:t>
      </w:r>
      <w:r w:rsidRPr="00B87C42">
        <w:rPr>
          <w:rStyle w:val="big-number"/>
          <w:rFonts w:cs="FrankRuehl"/>
          <w:rtl/>
        </w:rPr>
        <w:t>.</w:t>
      </w:r>
      <w:r w:rsidRPr="00B87C42">
        <w:rPr>
          <w:rStyle w:val="big-number"/>
          <w:rFonts w:cs="FrankRuehl"/>
          <w:rtl/>
        </w:rPr>
        <w:tab/>
      </w:r>
      <w:r w:rsidRPr="00B87C42">
        <w:rPr>
          <w:rStyle w:val="default"/>
          <w:rFonts w:cs="FrankRuehl"/>
          <w:rtl/>
        </w:rPr>
        <w:t>היה חלק מבנין מושכר בשנת מס פלונית בשכירות מוגנת תקופה העולה על ששה חדשים, יותר לו לגבי כל אותה שנה חלק יחסי של תוספת הפחת כיחס השטח המושכר כאמור, לשטח הכולל של הבנין.</w:t>
      </w:r>
    </w:p>
    <w:p w14:paraId="0A7DD82E" w14:textId="77777777" w:rsidR="008A46BC" w:rsidRPr="00B87C42" w:rsidRDefault="008A46BC" w:rsidP="005A1EEC">
      <w:pPr>
        <w:pStyle w:val="P00"/>
        <w:spacing w:before="72"/>
        <w:ind w:left="0" w:right="1134"/>
        <w:rPr>
          <w:rStyle w:val="default"/>
          <w:rFonts w:cs="FrankRuehl"/>
          <w:rtl/>
        </w:rPr>
      </w:pPr>
      <w:bookmarkStart w:id="3" w:name="Seif4"/>
      <w:bookmarkEnd w:id="3"/>
      <w:r w:rsidRPr="005A1EEC">
        <w:rPr>
          <w:rFonts w:cs="Miriam"/>
          <w:lang w:val="he-IL"/>
        </w:rPr>
        <w:pict w14:anchorId="55414A84">
          <v:rect id="_x0000_s1029" style="position:absolute;left:0;text-align:left;margin-left:464.5pt;margin-top:8.05pt;width:75.05pt;height:10.5pt;z-index:251659264" o:allowincell="f" filled="f" stroked="f" strokecolor="lime" strokeweight=".25pt">
            <v:textbox inset="0,0,0,0">
              <w:txbxContent>
                <w:p w14:paraId="6A51DEE4" w14:textId="77777777" w:rsidR="008A46BC" w:rsidRDefault="008A46BC">
                  <w:pPr>
                    <w:spacing w:line="160" w:lineRule="exac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sidRPr="005A1EEC">
        <w:rPr>
          <w:rStyle w:val="big-number"/>
          <w:rFonts w:cs="Miriam"/>
          <w:rtl/>
        </w:rPr>
        <w:t>4</w:t>
      </w:r>
      <w:r w:rsidRPr="00B87C42">
        <w:rPr>
          <w:rStyle w:val="big-number"/>
          <w:rFonts w:cs="FrankRuehl"/>
          <w:rtl/>
        </w:rPr>
        <w:t>.</w:t>
      </w:r>
      <w:r w:rsidRPr="00B87C42">
        <w:rPr>
          <w:rStyle w:val="big-number"/>
          <w:rFonts w:cs="FrankRuehl"/>
          <w:rtl/>
        </w:rPr>
        <w:tab/>
      </w:r>
      <w:r w:rsidRPr="00B87C42">
        <w:rPr>
          <w:rStyle w:val="default"/>
          <w:rFonts w:cs="FrankRuehl"/>
          <w:rtl/>
        </w:rPr>
        <w:t>לכללים אלה ייקרא "כללי מס הכנסה (תוספת פחת לבנינים מושכרים בשכירות מוגנת), תשל"ח</w:t>
      </w:r>
      <w:r w:rsidR="005A1EEC">
        <w:rPr>
          <w:rStyle w:val="default"/>
          <w:rFonts w:cs="FrankRuehl" w:hint="cs"/>
          <w:rtl/>
        </w:rPr>
        <w:t>-</w:t>
      </w:r>
      <w:r w:rsidRPr="00B87C42">
        <w:rPr>
          <w:rStyle w:val="default"/>
          <w:rFonts w:cs="FrankRuehl"/>
          <w:rtl/>
        </w:rPr>
        <w:t>1977".</w:t>
      </w:r>
    </w:p>
    <w:p w14:paraId="18DB05A0" w14:textId="77777777" w:rsidR="008A46BC" w:rsidRDefault="008A46BC">
      <w:pPr>
        <w:pStyle w:val="P00"/>
        <w:spacing w:before="72"/>
        <w:ind w:left="0" w:right="1134"/>
        <w:rPr>
          <w:rStyle w:val="default"/>
          <w:rFonts w:cs="FrankRuehl" w:hint="cs"/>
          <w:rtl/>
        </w:rPr>
      </w:pPr>
    </w:p>
    <w:p w14:paraId="25738559" w14:textId="77777777" w:rsidR="005A1EEC" w:rsidRPr="005A1EEC" w:rsidRDefault="005A1EEC">
      <w:pPr>
        <w:pStyle w:val="P00"/>
        <w:spacing w:before="72"/>
        <w:ind w:left="0" w:right="1134"/>
        <w:rPr>
          <w:rStyle w:val="default"/>
          <w:rFonts w:cs="FrankRuehl" w:hint="cs"/>
          <w:rtl/>
        </w:rPr>
      </w:pPr>
    </w:p>
    <w:p w14:paraId="5BCF5FFA" w14:textId="77777777" w:rsidR="008A46BC" w:rsidRPr="005A1EEC" w:rsidRDefault="008A46BC" w:rsidP="005A1EEC">
      <w:pPr>
        <w:pStyle w:val="sig-1"/>
        <w:widowControl/>
        <w:tabs>
          <w:tab w:val="clear" w:pos="851"/>
          <w:tab w:val="clear" w:pos="2835"/>
          <w:tab w:val="clear" w:pos="4820"/>
          <w:tab w:val="center" w:pos="1985"/>
          <w:tab w:val="center" w:pos="4536"/>
        </w:tabs>
        <w:spacing w:before="60"/>
        <w:ind w:left="0" w:right="1134"/>
        <w:rPr>
          <w:rFonts w:cs="FrankRuehl"/>
          <w:sz w:val="26"/>
          <w:szCs w:val="26"/>
          <w:rtl/>
        </w:rPr>
      </w:pPr>
      <w:r w:rsidRPr="005A1EEC">
        <w:rPr>
          <w:rFonts w:cs="FrankRuehl"/>
          <w:sz w:val="26"/>
          <w:szCs w:val="26"/>
          <w:rtl/>
        </w:rPr>
        <w:t xml:space="preserve">ח' </w:t>
      </w:r>
      <w:r w:rsidRPr="005A1EEC">
        <w:rPr>
          <w:rFonts w:cs="FrankRuehl" w:hint="cs"/>
          <w:sz w:val="26"/>
          <w:szCs w:val="26"/>
          <w:rtl/>
        </w:rPr>
        <w:t>בת</w:t>
      </w:r>
      <w:r w:rsidRPr="005A1EEC">
        <w:rPr>
          <w:rFonts w:cs="FrankRuehl"/>
          <w:sz w:val="26"/>
          <w:szCs w:val="26"/>
          <w:rtl/>
        </w:rPr>
        <w:t>שר</w:t>
      </w:r>
      <w:r w:rsidRPr="005A1EEC">
        <w:rPr>
          <w:rFonts w:cs="FrankRuehl" w:hint="cs"/>
          <w:sz w:val="26"/>
          <w:szCs w:val="26"/>
          <w:rtl/>
        </w:rPr>
        <w:t>י תשל"ח (20 בספטמבר 1977)</w:t>
      </w:r>
      <w:r w:rsidRPr="005A1EEC">
        <w:rPr>
          <w:rFonts w:cs="FrankRuehl"/>
          <w:sz w:val="26"/>
          <w:szCs w:val="26"/>
          <w:rtl/>
        </w:rPr>
        <w:tab/>
        <w:t>ג</w:t>
      </w:r>
      <w:r w:rsidRPr="005A1EEC">
        <w:rPr>
          <w:rFonts w:cs="FrankRuehl" w:hint="cs"/>
          <w:sz w:val="26"/>
          <w:szCs w:val="26"/>
          <w:rtl/>
        </w:rPr>
        <w:t>דעון פת</w:t>
      </w:r>
    </w:p>
    <w:p w14:paraId="3DA1DFF3" w14:textId="77777777" w:rsidR="008A46BC" w:rsidRDefault="008A46BC">
      <w:pPr>
        <w:pStyle w:val="sig-1"/>
        <w:widowControl/>
        <w:tabs>
          <w:tab w:val="clear" w:pos="851"/>
          <w:tab w:val="clear" w:pos="2835"/>
          <w:tab w:val="clear" w:pos="4820"/>
          <w:tab w:val="center" w:pos="1985"/>
          <w:tab w:val="center" w:pos="4536"/>
        </w:tabs>
        <w:ind w:left="0" w:right="1134"/>
        <w:rPr>
          <w:rFonts w:cs="FrankRuehl"/>
          <w:sz w:val="22"/>
          <w:rtl/>
        </w:rPr>
      </w:pPr>
      <w:r>
        <w:rPr>
          <w:rFonts w:cs="FrankRuehl"/>
          <w:sz w:val="22"/>
          <w:rtl/>
        </w:rPr>
        <w:tab/>
      </w:r>
      <w:r>
        <w:rPr>
          <w:rFonts w:cs="FrankRuehl"/>
          <w:sz w:val="22"/>
          <w:rtl/>
        </w:rPr>
        <w:tab/>
        <w:t>ש</w:t>
      </w:r>
      <w:r>
        <w:rPr>
          <w:rFonts w:cs="FrankRuehl" w:hint="cs"/>
          <w:sz w:val="22"/>
          <w:rtl/>
        </w:rPr>
        <w:t>ר הבינוי והשיכון</w:t>
      </w:r>
    </w:p>
    <w:p w14:paraId="061936DC" w14:textId="77777777" w:rsidR="008A46BC" w:rsidRDefault="008A46BC">
      <w:pPr>
        <w:pStyle w:val="sig-1"/>
        <w:widowControl/>
        <w:tabs>
          <w:tab w:val="clear" w:pos="851"/>
          <w:tab w:val="clear" w:pos="2835"/>
          <w:tab w:val="clear" w:pos="4820"/>
          <w:tab w:val="center" w:pos="1985"/>
          <w:tab w:val="center" w:pos="4536"/>
        </w:tabs>
        <w:ind w:left="0" w:right="1134"/>
        <w:rPr>
          <w:rFonts w:cs="FrankRuehl"/>
          <w:sz w:val="22"/>
          <w:rtl/>
        </w:rPr>
      </w:pPr>
      <w:r>
        <w:rPr>
          <w:rFonts w:cs="FrankRuehl"/>
          <w:sz w:val="22"/>
          <w:rtl/>
        </w:rPr>
        <w:tab/>
      </w:r>
      <w:r>
        <w:rPr>
          <w:rFonts w:cs="FrankRuehl"/>
          <w:sz w:val="22"/>
          <w:rtl/>
        </w:rPr>
        <w:tab/>
        <w:t>מ</w:t>
      </w:r>
      <w:r>
        <w:rPr>
          <w:rFonts w:cs="FrankRuehl" w:hint="cs"/>
          <w:sz w:val="22"/>
          <w:rtl/>
        </w:rPr>
        <w:t>מלא מקום שר האוצר</w:t>
      </w:r>
    </w:p>
    <w:p w14:paraId="105A57A3" w14:textId="77777777" w:rsidR="008A46BC" w:rsidRPr="005A1EEC" w:rsidRDefault="008A46BC" w:rsidP="005A1EEC">
      <w:pPr>
        <w:pStyle w:val="P00"/>
        <w:spacing w:before="72"/>
        <w:ind w:left="0" w:right="1134"/>
        <w:rPr>
          <w:rStyle w:val="default"/>
          <w:rFonts w:cs="FrankRuehl" w:hint="cs"/>
          <w:rtl/>
        </w:rPr>
      </w:pPr>
    </w:p>
    <w:p w14:paraId="74E0C727" w14:textId="77777777" w:rsidR="008A46BC" w:rsidRPr="005A1EEC" w:rsidRDefault="008A46BC" w:rsidP="005A1EEC">
      <w:pPr>
        <w:pStyle w:val="P00"/>
        <w:spacing w:before="72"/>
        <w:ind w:left="0" w:right="1134"/>
        <w:rPr>
          <w:rStyle w:val="default"/>
          <w:rFonts w:cs="FrankRuehl"/>
          <w:rtl/>
        </w:rPr>
      </w:pPr>
      <w:bookmarkStart w:id="4" w:name="LawPartEnd"/>
    </w:p>
    <w:bookmarkEnd w:id="4"/>
    <w:p w14:paraId="6E45132F" w14:textId="77777777" w:rsidR="008A46BC" w:rsidRPr="005A1EEC" w:rsidRDefault="008A46BC" w:rsidP="005A1EEC">
      <w:pPr>
        <w:pStyle w:val="P00"/>
        <w:spacing w:before="72"/>
        <w:ind w:left="0" w:right="1134"/>
        <w:rPr>
          <w:rStyle w:val="default"/>
          <w:rFonts w:cs="FrankRuehl"/>
          <w:rtl/>
        </w:rPr>
      </w:pPr>
    </w:p>
    <w:sectPr w:rsidR="008A46BC" w:rsidRPr="005A1EEC">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2CE3F" w14:textId="77777777" w:rsidR="00D36B20" w:rsidRDefault="00D36B20">
      <w:r>
        <w:separator/>
      </w:r>
    </w:p>
  </w:endnote>
  <w:endnote w:type="continuationSeparator" w:id="0">
    <w:p w14:paraId="396A7BD5" w14:textId="77777777" w:rsidR="00D36B20" w:rsidRDefault="00D36B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42C45" w14:textId="77777777" w:rsidR="008A46BC" w:rsidRDefault="008A46BC">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Pr>
        <w:rFonts w:hAnsi="FrankRuehl" w:cs="FrankRuehl"/>
        <w:rtl/>
      </w:rPr>
      <w:t>1</w:t>
    </w:r>
    <w:r>
      <w:rPr>
        <w:rFonts w:hAnsi="FrankRuehl" w:cs="FrankRuehl"/>
        <w:rtl/>
      </w:rPr>
      <w:fldChar w:fldCharType="end"/>
    </w:r>
  </w:p>
  <w:p w14:paraId="2693039F" w14:textId="77777777" w:rsidR="008A46BC" w:rsidRDefault="008A46BC">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0FEB936" w14:textId="77777777" w:rsidR="008A46BC" w:rsidRDefault="008A46BC">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A07FC">
      <w:rPr>
        <w:rFonts w:cs="TopType Jerushalmi"/>
        <w:noProof/>
        <w:color w:val="000000"/>
        <w:sz w:val="14"/>
        <w:szCs w:val="14"/>
      </w:rPr>
      <w:t>Z:\000000000000-law\yael\08-10-12\255_406.doc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C34C7" w14:textId="77777777" w:rsidR="008A46BC" w:rsidRDefault="008A46BC">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sidR="001E206F">
      <w:rPr>
        <w:rFonts w:hAnsi="FrankRuehl" w:cs="FrankRuehl"/>
        <w:noProof/>
        <w:rtl/>
      </w:rPr>
      <w:t>1</w:t>
    </w:r>
    <w:r>
      <w:rPr>
        <w:rFonts w:hAnsi="FrankRuehl" w:cs="FrankRuehl"/>
        <w:rtl/>
      </w:rPr>
      <w:fldChar w:fldCharType="end"/>
    </w:r>
  </w:p>
  <w:p w14:paraId="20D1A02B" w14:textId="77777777" w:rsidR="008A46BC" w:rsidRDefault="008A46BC">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4FA5E5A" w14:textId="77777777" w:rsidR="008A46BC" w:rsidRDefault="008A46BC">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A07FC">
      <w:rPr>
        <w:rFonts w:cs="TopType Jerushalmi"/>
        <w:noProof/>
        <w:color w:val="000000"/>
        <w:sz w:val="14"/>
        <w:szCs w:val="14"/>
      </w:rPr>
      <w:t>Z:\000000000000-law\yael\08-10-12\255_406.doc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495A0" w14:textId="77777777" w:rsidR="00D36B20" w:rsidRDefault="00D36B20" w:rsidP="005A1EEC">
      <w:pPr>
        <w:spacing w:before="60"/>
        <w:ind w:right="1134"/>
      </w:pPr>
      <w:r>
        <w:separator/>
      </w:r>
    </w:p>
  </w:footnote>
  <w:footnote w:type="continuationSeparator" w:id="0">
    <w:p w14:paraId="16E8583E" w14:textId="77777777" w:rsidR="00D36B20" w:rsidRDefault="00D36B20">
      <w:r>
        <w:continuationSeparator/>
      </w:r>
    </w:p>
  </w:footnote>
  <w:footnote w:id="1">
    <w:p w14:paraId="0C1CB16D" w14:textId="77777777" w:rsidR="005A1EEC" w:rsidRPr="005A1EEC" w:rsidRDefault="005A1EEC" w:rsidP="005A1EE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5A1EEC">
        <w:rPr>
          <w:rFonts w:cs="FrankRuehl"/>
          <w:rtl/>
        </w:rPr>
        <w:t xml:space="preserve">* </w:t>
      </w:r>
      <w:r w:rsidRPr="00B87C42">
        <w:rPr>
          <w:rFonts w:cs="FrankRuehl"/>
          <w:rtl/>
        </w:rPr>
        <w:t>פו</w:t>
      </w:r>
      <w:r w:rsidRPr="00B87C42">
        <w:rPr>
          <w:rFonts w:cs="FrankRuehl" w:hint="cs"/>
          <w:rtl/>
        </w:rPr>
        <w:t xml:space="preserve">רסמו </w:t>
      </w:r>
      <w:hyperlink r:id="rId1" w:history="1">
        <w:r w:rsidRPr="00B87C42">
          <w:rPr>
            <w:rStyle w:val="Hyperlink"/>
            <w:rFonts w:cs="FrankRuehl" w:hint="cs"/>
            <w:rtl/>
          </w:rPr>
          <w:t>ק"ת תשל"ח מס' 3769</w:t>
        </w:r>
      </w:hyperlink>
      <w:r w:rsidRPr="00B87C42">
        <w:rPr>
          <w:rFonts w:cs="FrankRuehl" w:hint="cs"/>
          <w:rtl/>
        </w:rPr>
        <w:t xml:space="preserve"> מיום 18.10.1977 עמ' 86.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592FA" w14:textId="77777777" w:rsidR="008A46BC" w:rsidRDefault="008A46B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כללי מס הכנסה (תוספת פחת לבנינים מושכרים בשכירות מוגנת), תשל"ח–1977</w:t>
    </w:r>
  </w:p>
  <w:p w14:paraId="03744FF3" w14:textId="77777777" w:rsidR="008A46BC" w:rsidRDefault="008A46B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02BC990" w14:textId="77777777" w:rsidR="008A46BC" w:rsidRDefault="008A46BC">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13BE8" w14:textId="77777777" w:rsidR="008A46BC" w:rsidRDefault="008A46BC" w:rsidP="005A1EE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כללי מס הכנסה (תוספת פחת לבנינים מושכרים בשכירות מוגנת), תשל"ח</w:t>
    </w:r>
    <w:r w:rsidR="005A1EEC">
      <w:rPr>
        <w:rFonts w:hAnsi="FrankRuehl" w:cs="FrankRuehl" w:hint="cs"/>
        <w:color w:val="000000"/>
        <w:sz w:val="28"/>
        <w:szCs w:val="28"/>
        <w:rtl/>
      </w:rPr>
      <w:t>-</w:t>
    </w:r>
    <w:r>
      <w:rPr>
        <w:rFonts w:hAnsi="FrankRuehl" w:cs="FrankRuehl"/>
        <w:color w:val="000000"/>
        <w:sz w:val="28"/>
        <w:szCs w:val="28"/>
        <w:rtl/>
      </w:rPr>
      <w:t>1977</w:t>
    </w:r>
  </w:p>
  <w:p w14:paraId="109403E8" w14:textId="77777777" w:rsidR="008A46BC" w:rsidRDefault="008A46B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9669FD8" w14:textId="77777777" w:rsidR="008A46BC" w:rsidRDefault="008A46BC">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87C42"/>
    <w:rsid w:val="001E206F"/>
    <w:rsid w:val="00375745"/>
    <w:rsid w:val="004164A6"/>
    <w:rsid w:val="004D3C42"/>
    <w:rsid w:val="005A1EEC"/>
    <w:rsid w:val="008A46BC"/>
    <w:rsid w:val="008D7904"/>
    <w:rsid w:val="00B07B1D"/>
    <w:rsid w:val="00B87C42"/>
    <w:rsid w:val="00BA07FC"/>
    <w:rsid w:val="00D36B20"/>
    <w:rsid w:val="00EA6057"/>
    <w:rsid w:val="00F84E4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2CAE360"/>
  <w15:chartTrackingRefBased/>
  <w15:docId w15:val="{8E1A31C0-7E19-4903-9F91-291E90212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Hyperlink">
    <w:name w:val="Hyperlink"/>
    <w:basedOn w:val="a0"/>
    <w:rPr>
      <w:color w:val="0000FF"/>
      <w:u w:val="single"/>
    </w:rPr>
  </w:style>
  <w:style w:type="paragraph" w:styleId="a5">
    <w:name w:val="footnote text"/>
    <w:basedOn w:val="a"/>
    <w:semiHidden/>
    <w:rsid w:val="005A1EEC"/>
    <w:rPr>
      <w:sz w:val="20"/>
      <w:szCs w:val="20"/>
    </w:rPr>
  </w:style>
  <w:style w:type="character" w:styleId="a6">
    <w:name w:val="footnote reference"/>
    <w:basedOn w:val="a0"/>
    <w:semiHidden/>
    <w:rsid w:val="005A1EE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376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2149</CharactersWithSpaces>
  <SharedDoc>false</SharedDoc>
  <HLinks>
    <vt:vector size="30" baseType="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8126470</vt:i4>
      </vt:variant>
      <vt:variant>
        <vt:i4>0</vt:i4>
      </vt:variant>
      <vt:variant>
        <vt:i4>0</vt:i4>
      </vt:variant>
      <vt:variant>
        <vt:i4>5</vt:i4>
      </vt:variant>
      <vt:variant>
        <vt:lpwstr>http://www.nevo.co.il/Law_word/law06/TAK-3769.pdf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hofit</dc:creator>
  <cp:keywords/>
  <dc:description/>
  <cp:lastModifiedBy>Shimon Doodkin</cp:lastModifiedBy>
  <cp:revision>2</cp:revision>
  <dcterms:created xsi:type="dcterms:W3CDTF">2023-06-05T19:11:00Z</dcterms:created>
  <dcterms:modified xsi:type="dcterms:W3CDTF">2023-06-05T19:11:00Z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כללי מס הכנסה (תוספת פחת לבנינים מושכרים בשכירות מוגנת), תשל"ח-1977</vt:lpwstr>
  </property>
  <property fmtid="{D5CDD505-2E9C-101B-9397-08002B2CF9AE}" pid="5" name="LAWNUMBER">
    <vt:lpwstr>0406</vt:lpwstr>
  </property>
  <property fmtid="{D5CDD505-2E9C-101B-9397-08002B2CF9AE}" pid="6" name="TYPE">
    <vt:lpwstr>01</vt:lpwstr>
  </property>
  <property fmtid="{D5CDD505-2E9C-101B-9397-08002B2CF9AE}" pid="7" name="MEKOR_NAME1">
    <vt:lpwstr>פקודת מס הכנסה </vt:lpwstr>
  </property>
  <property fmtid="{D5CDD505-2E9C-101B-9397-08002B2CF9AE}" pid="8" name="MEKOR_SAIF1">
    <vt:lpwstr>20X</vt:lpwstr>
  </property>
  <property fmtid="{D5CDD505-2E9C-101B-9397-08002B2CF9AE}" pid="9" name="NOSE11">
    <vt:lpwstr>משפט פרטי וכלכלה</vt:lpwstr>
  </property>
  <property fmtid="{D5CDD505-2E9C-101B-9397-08002B2CF9AE}" pid="10" name="NOSE21">
    <vt:lpwstr>קניין</vt:lpwstr>
  </property>
  <property fmtid="{D5CDD505-2E9C-101B-9397-08002B2CF9AE}" pid="11" name="NOSE31">
    <vt:lpwstr>שכירות והגנת הדייר</vt:lpwstr>
  </property>
  <property fmtid="{D5CDD505-2E9C-101B-9397-08002B2CF9AE}" pid="12" name="NOSE41">
    <vt:lpwstr/>
  </property>
  <property fmtid="{D5CDD505-2E9C-101B-9397-08002B2CF9AE}" pid="13" name="NOSE12">
    <vt:lpwstr>מסים</vt:lpwstr>
  </property>
  <property fmtid="{D5CDD505-2E9C-101B-9397-08002B2CF9AE}" pid="14" name="NOSE22">
    <vt:lpwstr>מס הכנסה</vt:lpwstr>
  </property>
  <property fmtid="{D5CDD505-2E9C-101B-9397-08002B2CF9AE}" pid="15" name="NOSE32">
    <vt:lpwstr>פחת</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