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1BBCD" w14:textId="77777777" w:rsidR="008501BA" w:rsidRDefault="008501BA" w:rsidP="003B5DB8">
      <w:pPr>
        <w:pStyle w:val="big-header"/>
        <w:ind w:left="0" w:right="1134"/>
        <w:rPr>
          <w:rFonts w:cs="FrankRuehl"/>
          <w:sz w:val="32"/>
        </w:rPr>
      </w:pPr>
      <w:r>
        <w:rPr>
          <w:rFonts w:cs="FrankRuehl"/>
          <w:sz w:val="32"/>
          <w:rtl/>
        </w:rPr>
        <w:t xml:space="preserve">כללי מס הכנסה (תיאומים לענין מיזוג שבו שולמה תמורה במזומנים), </w:t>
      </w:r>
      <w:r w:rsidR="003B5DB8">
        <w:rPr>
          <w:rFonts w:cs="FrankRuehl" w:hint="cs"/>
          <w:sz w:val="32"/>
          <w:rtl/>
        </w:rPr>
        <w:br/>
      </w:r>
      <w:r>
        <w:rPr>
          <w:rFonts w:cs="FrankRuehl"/>
          <w:sz w:val="32"/>
          <w:rtl/>
        </w:rPr>
        <w:t>תשנ"ה-1995</w:t>
      </w:r>
    </w:p>
    <w:p w14:paraId="3FAE6E35" w14:textId="77777777" w:rsidR="002E018E" w:rsidRPr="002E018E" w:rsidRDefault="002E018E" w:rsidP="002E018E">
      <w:pPr>
        <w:spacing w:line="320" w:lineRule="auto"/>
        <w:rPr>
          <w:rFonts w:cs="FrankRuehl"/>
          <w:szCs w:val="26"/>
          <w:rtl/>
        </w:rPr>
      </w:pPr>
    </w:p>
    <w:p w14:paraId="21C6ACB7" w14:textId="77777777" w:rsidR="002E018E" w:rsidRDefault="002E018E" w:rsidP="002E018E">
      <w:pPr>
        <w:spacing w:line="320" w:lineRule="auto"/>
        <w:rPr>
          <w:rtl/>
        </w:rPr>
      </w:pPr>
    </w:p>
    <w:p w14:paraId="5DDCAA91" w14:textId="77777777" w:rsidR="002E018E" w:rsidRDefault="002E018E" w:rsidP="002E018E">
      <w:pPr>
        <w:spacing w:line="320" w:lineRule="auto"/>
        <w:rPr>
          <w:rFonts w:cs="FrankRuehl"/>
          <w:szCs w:val="26"/>
          <w:rtl/>
        </w:rPr>
      </w:pPr>
      <w:r w:rsidRPr="002E018E">
        <w:rPr>
          <w:rFonts w:cs="Miriam"/>
          <w:szCs w:val="22"/>
          <w:rtl/>
        </w:rPr>
        <w:t>מסים</w:t>
      </w:r>
      <w:r w:rsidRPr="002E018E">
        <w:rPr>
          <w:rFonts w:cs="FrankRuehl"/>
          <w:szCs w:val="26"/>
          <w:rtl/>
        </w:rPr>
        <w:t xml:space="preserve"> – מס הכנסה – תיאומים – תיאומים לענין מיזוג</w:t>
      </w:r>
    </w:p>
    <w:p w14:paraId="75885E74" w14:textId="77777777" w:rsidR="002E018E" w:rsidRPr="002E018E" w:rsidRDefault="002E018E" w:rsidP="002E018E">
      <w:pPr>
        <w:spacing w:line="320" w:lineRule="auto"/>
        <w:rPr>
          <w:rFonts w:cs="Miriam"/>
          <w:szCs w:val="22"/>
          <w:rtl/>
        </w:rPr>
      </w:pPr>
      <w:r w:rsidRPr="002E018E">
        <w:rPr>
          <w:rFonts w:cs="Miriam"/>
          <w:szCs w:val="22"/>
          <w:rtl/>
        </w:rPr>
        <w:t>משפט פרטי וכלכלה</w:t>
      </w:r>
      <w:r w:rsidRPr="002E018E">
        <w:rPr>
          <w:rFonts w:cs="FrankRuehl"/>
          <w:szCs w:val="26"/>
          <w:rtl/>
        </w:rPr>
        <w:t xml:space="preserve"> – תאגידים וניירות ערך – חברות – מיזוג</w:t>
      </w:r>
    </w:p>
    <w:p w14:paraId="0B9C89EC" w14:textId="77777777" w:rsidR="008501BA" w:rsidRDefault="008501BA">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94E1F" w:rsidRPr="00A94E1F" w14:paraId="059A6284" w14:textId="77777777">
        <w:tblPrEx>
          <w:tblCellMar>
            <w:top w:w="0" w:type="dxa"/>
            <w:bottom w:w="0" w:type="dxa"/>
          </w:tblCellMar>
        </w:tblPrEx>
        <w:tc>
          <w:tcPr>
            <w:tcW w:w="1247" w:type="dxa"/>
          </w:tcPr>
          <w:p w14:paraId="0F63C6EE" w14:textId="77777777" w:rsidR="00A94E1F" w:rsidRPr="00A94E1F" w:rsidRDefault="00A94E1F" w:rsidP="00A94E1F">
            <w:pPr>
              <w:rPr>
                <w:rFonts w:cs="Frankruhel"/>
                <w:rtl/>
              </w:rPr>
            </w:pPr>
            <w:r>
              <w:rPr>
                <w:rtl/>
              </w:rPr>
              <w:t xml:space="preserve">סעיף 1 </w:t>
            </w:r>
          </w:p>
        </w:tc>
        <w:tc>
          <w:tcPr>
            <w:tcW w:w="5669" w:type="dxa"/>
          </w:tcPr>
          <w:p w14:paraId="01D341AD" w14:textId="77777777" w:rsidR="00A94E1F" w:rsidRPr="00A94E1F" w:rsidRDefault="00A94E1F" w:rsidP="00A94E1F">
            <w:pPr>
              <w:rPr>
                <w:rFonts w:cs="Frankruhel"/>
                <w:rtl/>
              </w:rPr>
            </w:pPr>
            <w:r>
              <w:rPr>
                <w:rtl/>
              </w:rPr>
              <w:t>הפחתת הון</w:t>
            </w:r>
          </w:p>
        </w:tc>
        <w:tc>
          <w:tcPr>
            <w:tcW w:w="567" w:type="dxa"/>
          </w:tcPr>
          <w:p w14:paraId="208B3994" w14:textId="77777777" w:rsidR="00A94E1F" w:rsidRPr="00A94E1F" w:rsidRDefault="00A94E1F" w:rsidP="00A94E1F">
            <w:pPr>
              <w:rPr>
                <w:rStyle w:val="Hyperlink"/>
                <w:rtl/>
              </w:rPr>
            </w:pPr>
            <w:hyperlink w:anchor="Seif1" w:tooltip="הפחתת הון" w:history="1">
              <w:r w:rsidRPr="00A94E1F">
                <w:rPr>
                  <w:rStyle w:val="Hyperlink"/>
                </w:rPr>
                <w:t>Go</w:t>
              </w:r>
            </w:hyperlink>
          </w:p>
        </w:tc>
        <w:tc>
          <w:tcPr>
            <w:tcW w:w="850" w:type="dxa"/>
          </w:tcPr>
          <w:p w14:paraId="182CB14C" w14:textId="77777777" w:rsidR="00A94E1F" w:rsidRPr="00A94E1F" w:rsidRDefault="00A94E1F" w:rsidP="00A94E1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A94E1F" w:rsidRPr="00A94E1F" w14:paraId="1B5B4857" w14:textId="77777777">
        <w:tblPrEx>
          <w:tblCellMar>
            <w:top w:w="0" w:type="dxa"/>
            <w:bottom w:w="0" w:type="dxa"/>
          </w:tblCellMar>
        </w:tblPrEx>
        <w:tc>
          <w:tcPr>
            <w:tcW w:w="1247" w:type="dxa"/>
          </w:tcPr>
          <w:p w14:paraId="0EC21462" w14:textId="77777777" w:rsidR="00A94E1F" w:rsidRPr="00A94E1F" w:rsidRDefault="00A94E1F" w:rsidP="00A94E1F">
            <w:pPr>
              <w:rPr>
                <w:rFonts w:cs="Frankruhel"/>
                <w:rtl/>
              </w:rPr>
            </w:pPr>
            <w:r>
              <w:rPr>
                <w:rtl/>
              </w:rPr>
              <w:t xml:space="preserve">סעיף 2 </w:t>
            </w:r>
          </w:p>
        </w:tc>
        <w:tc>
          <w:tcPr>
            <w:tcW w:w="5669" w:type="dxa"/>
          </w:tcPr>
          <w:p w14:paraId="4694B071" w14:textId="77777777" w:rsidR="00A94E1F" w:rsidRPr="00A94E1F" w:rsidRDefault="00A94E1F" w:rsidP="00A94E1F">
            <w:pPr>
              <w:rPr>
                <w:rFonts w:cs="Frankruhel"/>
                <w:rtl/>
              </w:rPr>
            </w:pPr>
            <w:r>
              <w:rPr>
                <w:rtl/>
              </w:rPr>
              <w:t>רכישת זכויות מיעוט</w:t>
            </w:r>
          </w:p>
        </w:tc>
        <w:tc>
          <w:tcPr>
            <w:tcW w:w="567" w:type="dxa"/>
          </w:tcPr>
          <w:p w14:paraId="5141CBC5" w14:textId="77777777" w:rsidR="00A94E1F" w:rsidRPr="00A94E1F" w:rsidRDefault="00A94E1F" w:rsidP="00A94E1F">
            <w:pPr>
              <w:rPr>
                <w:rStyle w:val="Hyperlink"/>
                <w:rtl/>
              </w:rPr>
            </w:pPr>
            <w:hyperlink w:anchor="Seif2" w:tooltip="רכישת זכויות מיעוט" w:history="1">
              <w:r w:rsidRPr="00A94E1F">
                <w:rPr>
                  <w:rStyle w:val="Hyperlink"/>
                </w:rPr>
                <w:t>Go</w:t>
              </w:r>
            </w:hyperlink>
          </w:p>
        </w:tc>
        <w:tc>
          <w:tcPr>
            <w:tcW w:w="850" w:type="dxa"/>
          </w:tcPr>
          <w:p w14:paraId="643333E8" w14:textId="77777777" w:rsidR="00A94E1F" w:rsidRPr="00A94E1F" w:rsidRDefault="00A94E1F" w:rsidP="00A94E1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A94E1F" w:rsidRPr="00A94E1F" w14:paraId="25D0ECBC" w14:textId="77777777">
        <w:tblPrEx>
          <w:tblCellMar>
            <w:top w:w="0" w:type="dxa"/>
            <w:bottom w:w="0" w:type="dxa"/>
          </w:tblCellMar>
        </w:tblPrEx>
        <w:tc>
          <w:tcPr>
            <w:tcW w:w="1247" w:type="dxa"/>
          </w:tcPr>
          <w:p w14:paraId="17F2EB27" w14:textId="77777777" w:rsidR="00A94E1F" w:rsidRPr="00A94E1F" w:rsidRDefault="00A94E1F" w:rsidP="00A94E1F">
            <w:pPr>
              <w:rPr>
                <w:rFonts w:cs="Frankruhel"/>
                <w:rtl/>
              </w:rPr>
            </w:pPr>
            <w:r>
              <w:rPr>
                <w:rtl/>
              </w:rPr>
              <w:t xml:space="preserve">סעיף 3 </w:t>
            </w:r>
          </w:p>
        </w:tc>
        <w:tc>
          <w:tcPr>
            <w:tcW w:w="5669" w:type="dxa"/>
          </w:tcPr>
          <w:p w14:paraId="5D33FDD3" w14:textId="77777777" w:rsidR="00A94E1F" w:rsidRPr="00A94E1F" w:rsidRDefault="00A94E1F" w:rsidP="00A94E1F">
            <w:pPr>
              <w:rPr>
                <w:rFonts w:cs="Frankruhel"/>
                <w:rtl/>
              </w:rPr>
            </w:pPr>
            <w:r>
              <w:rPr>
                <w:rtl/>
              </w:rPr>
              <w:t>תחולה</w:t>
            </w:r>
          </w:p>
        </w:tc>
        <w:tc>
          <w:tcPr>
            <w:tcW w:w="567" w:type="dxa"/>
          </w:tcPr>
          <w:p w14:paraId="2E9D6C82" w14:textId="77777777" w:rsidR="00A94E1F" w:rsidRPr="00A94E1F" w:rsidRDefault="00A94E1F" w:rsidP="00A94E1F">
            <w:pPr>
              <w:rPr>
                <w:rStyle w:val="Hyperlink"/>
                <w:rtl/>
              </w:rPr>
            </w:pPr>
            <w:hyperlink w:anchor="Seif3" w:tooltip="תחולה" w:history="1">
              <w:r w:rsidRPr="00A94E1F">
                <w:rPr>
                  <w:rStyle w:val="Hyperlink"/>
                </w:rPr>
                <w:t>Go</w:t>
              </w:r>
            </w:hyperlink>
          </w:p>
        </w:tc>
        <w:tc>
          <w:tcPr>
            <w:tcW w:w="850" w:type="dxa"/>
          </w:tcPr>
          <w:p w14:paraId="68587D6F" w14:textId="77777777" w:rsidR="00A94E1F" w:rsidRPr="00A94E1F" w:rsidRDefault="00A94E1F" w:rsidP="00A94E1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14:paraId="5B16A0DE" w14:textId="77777777" w:rsidR="008501BA" w:rsidRDefault="008501BA">
      <w:pPr>
        <w:pStyle w:val="big-header"/>
        <w:ind w:left="0" w:right="1134"/>
        <w:rPr>
          <w:rFonts w:cs="FrankRuehl"/>
          <w:sz w:val="32"/>
          <w:rtl/>
        </w:rPr>
      </w:pPr>
    </w:p>
    <w:p w14:paraId="0E2643D0" w14:textId="77777777" w:rsidR="008501BA" w:rsidRDefault="008501BA" w:rsidP="002E018E">
      <w:pPr>
        <w:pStyle w:val="big-header"/>
        <w:ind w:left="0" w:right="1134"/>
        <w:rPr>
          <w:rStyle w:val="default"/>
          <w:rFonts w:hint="cs"/>
          <w:rtl/>
        </w:rPr>
      </w:pPr>
      <w:r>
        <w:rPr>
          <w:rtl/>
        </w:rPr>
        <w:br w:type="page"/>
      </w:r>
      <w:r>
        <w:rPr>
          <w:rFonts w:cs="FrankRuehl"/>
          <w:sz w:val="32"/>
          <w:rtl/>
        </w:rPr>
        <w:lastRenderedPageBreak/>
        <w:t>כל</w:t>
      </w:r>
      <w:r>
        <w:rPr>
          <w:rFonts w:cs="FrankRuehl" w:hint="cs"/>
          <w:sz w:val="32"/>
          <w:rtl/>
        </w:rPr>
        <w:t>לי מס הכנסה (תיאומים לענין מיזוג שב</w:t>
      </w:r>
      <w:r w:rsidR="003B5DB8">
        <w:rPr>
          <w:rFonts w:cs="FrankRuehl" w:hint="cs"/>
          <w:sz w:val="32"/>
          <w:rtl/>
        </w:rPr>
        <w:t xml:space="preserve">ו שולמה תמורה במזומנים), </w:t>
      </w:r>
      <w:r w:rsidR="003B5DB8">
        <w:rPr>
          <w:rFonts w:cs="FrankRuehl"/>
          <w:sz w:val="32"/>
          <w:rtl/>
        </w:rPr>
        <w:br/>
      </w:r>
      <w:r w:rsidR="003B5DB8">
        <w:rPr>
          <w:rFonts w:cs="FrankRuehl" w:hint="cs"/>
          <w:sz w:val="32"/>
          <w:rtl/>
        </w:rPr>
        <w:t>תשנ"ה-</w:t>
      </w:r>
      <w:r>
        <w:rPr>
          <w:rFonts w:cs="FrankRuehl" w:hint="cs"/>
          <w:sz w:val="32"/>
          <w:rtl/>
        </w:rPr>
        <w:t>1995</w:t>
      </w:r>
      <w:r w:rsidR="003B5DB8">
        <w:rPr>
          <w:rStyle w:val="a6"/>
          <w:rFonts w:cs="FrankRuehl"/>
          <w:sz w:val="32"/>
          <w:rtl/>
        </w:rPr>
        <w:footnoteReference w:customMarkFollows="1" w:id="1"/>
        <w:t>*</w:t>
      </w:r>
    </w:p>
    <w:p w14:paraId="6D0429E6" w14:textId="77777777" w:rsidR="008501BA" w:rsidRPr="00CB6055" w:rsidRDefault="008501BA" w:rsidP="003B5DB8">
      <w:pPr>
        <w:pStyle w:val="P00"/>
        <w:spacing w:before="72"/>
        <w:ind w:left="0" w:right="1134"/>
        <w:rPr>
          <w:rStyle w:val="default"/>
          <w:rFonts w:cs="FrankRuehl"/>
          <w:rtl/>
        </w:rPr>
      </w:pPr>
      <w:r w:rsidRPr="00CB6055">
        <w:rPr>
          <w:rFonts w:cs="FrankRuehl"/>
          <w:sz w:val="26"/>
          <w:rtl/>
        </w:rPr>
        <w:tab/>
      </w:r>
      <w:r w:rsidRPr="00CB6055">
        <w:rPr>
          <w:rStyle w:val="default"/>
          <w:rFonts w:cs="FrankRuehl"/>
          <w:rtl/>
        </w:rPr>
        <w:t>בתוקף סמכותי לפי סעיף 103ד(ב) לפקודת מס הכנסה (להלן - הפקודה), אני מתקין כללים אלה:</w:t>
      </w:r>
    </w:p>
    <w:p w14:paraId="53C84441" w14:textId="77777777" w:rsidR="008501BA" w:rsidRPr="00CB6055" w:rsidRDefault="008501BA" w:rsidP="003B5DB8">
      <w:pPr>
        <w:pStyle w:val="P00"/>
        <w:spacing w:before="72"/>
        <w:ind w:left="0" w:right="1134"/>
        <w:rPr>
          <w:rStyle w:val="default"/>
          <w:rFonts w:cs="FrankRuehl"/>
          <w:rtl/>
        </w:rPr>
      </w:pPr>
      <w:bookmarkStart w:id="0" w:name="Seif1"/>
      <w:bookmarkEnd w:id="0"/>
      <w:r w:rsidRPr="003B5DB8">
        <w:rPr>
          <w:rFonts w:cs="Miriam"/>
          <w:lang w:val="he-IL"/>
        </w:rPr>
        <w:pict w14:anchorId="2065E2A6">
          <v:rect id="_x0000_s1026" style="position:absolute;left:0;text-align:left;margin-left:464.5pt;margin-top:8.05pt;width:75.05pt;height:16.2pt;z-index:251656704" o:allowincell="f" filled="f" stroked="f" strokecolor="lime" strokeweight=".25pt">
            <v:textbox style="mso-next-textbox:#_x0000_s1026" inset="0,0,0,0">
              <w:txbxContent>
                <w:p w14:paraId="216B1782" w14:textId="77777777" w:rsidR="008501BA" w:rsidRDefault="008501BA">
                  <w:pPr>
                    <w:spacing w:line="160" w:lineRule="exact"/>
                    <w:rPr>
                      <w:rFonts w:cs="Miriam"/>
                      <w:noProof/>
                      <w:sz w:val="18"/>
                      <w:szCs w:val="18"/>
                      <w:rtl/>
                    </w:rPr>
                  </w:pPr>
                  <w:r>
                    <w:rPr>
                      <w:rFonts w:cs="Miriam"/>
                      <w:sz w:val="18"/>
                      <w:szCs w:val="18"/>
                      <w:rtl/>
                    </w:rPr>
                    <w:t>הפ</w:t>
                  </w:r>
                  <w:r>
                    <w:rPr>
                      <w:rFonts w:cs="Miriam" w:hint="cs"/>
                      <w:sz w:val="18"/>
                      <w:szCs w:val="18"/>
                      <w:rtl/>
                    </w:rPr>
                    <w:t>חתת הון</w:t>
                  </w:r>
                </w:p>
              </w:txbxContent>
            </v:textbox>
            <w10:anchorlock/>
          </v:rect>
        </w:pict>
      </w:r>
      <w:r w:rsidRPr="003B5DB8">
        <w:rPr>
          <w:rStyle w:val="big-number"/>
          <w:rFonts w:cs="Miriam"/>
          <w:rtl/>
        </w:rPr>
        <w:t>1</w:t>
      </w:r>
      <w:r w:rsidRPr="003B5DB8">
        <w:rPr>
          <w:rStyle w:val="default"/>
          <w:rFonts w:cs="FrankRuehl"/>
          <w:rtl/>
        </w:rPr>
        <w:t>.</w:t>
      </w:r>
      <w:r w:rsidRPr="003B5DB8">
        <w:rPr>
          <w:rStyle w:val="default"/>
          <w:rFonts w:cs="FrankRuehl"/>
          <w:rtl/>
        </w:rPr>
        <w:tab/>
      </w:r>
      <w:r w:rsidRPr="00CB6055">
        <w:rPr>
          <w:rStyle w:val="default"/>
          <w:rFonts w:cs="FrankRuehl"/>
          <w:rtl/>
        </w:rPr>
        <w:t>ניתן צו לחברה המשתתפת במיזוג, המורה לה לרכוש את זכויותיהם של בעלי מניות מיעוט בה (להלן - הפחתת הון), במועד המיזוג או לאחריו, יובאו בחשבון לענין סעיף 103ג(4) ו-(5) לפקודה, רק הזכויות הנותרות ושווי החברה המשתתפת לאחר הפחתת ההון כאמור.</w:t>
      </w:r>
    </w:p>
    <w:p w14:paraId="44EF5A70" w14:textId="77777777" w:rsidR="008501BA" w:rsidRPr="00CB6055" w:rsidRDefault="008501BA">
      <w:pPr>
        <w:pStyle w:val="P00"/>
        <w:spacing w:before="72"/>
        <w:ind w:left="0" w:right="1134"/>
        <w:rPr>
          <w:rStyle w:val="default"/>
          <w:rFonts w:cs="FrankRuehl"/>
          <w:rtl/>
        </w:rPr>
      </w:pPr>
      <w:bookmarkStart w:id="1" w:name="Seif2"/>
      <w:bookmarkEnd w:id="1"/>
      <w:r w:rsidRPr="003B5DB8">
        <w:rPr>
          <w:rFonts w:cs="Miriam"/>
          <w:lang w:val="he-IL"/>
        </w:rPr>
        <w:pict w14:anchorId="7FB4ACEF">
          <v:rect id="_x0000_s1027" style="position:absolute;left:0;text-align:left;margin-left:464.5pt;margin-top:8.05pt;width:75.05pt;height:20pt;z-index:251657728" o:allowincell="f" filled="f" stroked="f" strokecolor="lime" strokeweight=".25pt">
            <v:textbox style="mso-next-textbox:#_x0000_s1027" inset="0,0,0,0">
              <w:txbxContent>
                <w:p w14:paraId="37235D5E" w14:textId="77777777" w:rsidR="008501BA" w:rsidRDefault="008501BA" w:rsidP="003B5DB8">
                  <w:pPr>
                    <w:spacing w:line="160" w:lineRule="exact"/>
                    <w:rPr>
                      <w:rFonts w:cs="Miriam"/>
                      <w:noProof/>
                      <w:sz w:val="18"/>
                      <w:szCs w:val="18"/>
                      <w:rtl/>
                    </w:rPr>
                  </w:pPr>
                  <w:r>
                    <w:rPr>
                      <w:rFonts w:cs="Miriam"/>
                      <w:sz w:val="18"/>
                      <w:szCs w:val="18"/>
                      <w:rtl/>
                    </w:rPr>
                    <w:t>רכ</w:t>
                  </w:r>
                  <w:r>
                    <w:rPr>
                      <w:rFonts w:cs="Miriam" w:hint="cs"/>
                      <w:sz w:val="18"/>
                      <w:szCs w:val="18"/>
                      <w:rtl/>
                    </w:rPr>
                    <w:t>ישת זכויות</w:t>
                  </w:r>
                  <w:r w:rsidR="003B5DB8">
                    <w:rPr>
                      <w:rFonts w:cs="Miriam" w:hint="cs"/>
                      <w:sz w:val="18"/>
                      <w:szCs w:val="18"/>
                      <w:rtl/>
                    </w:rPr>
                    <w:t xml:space="preserve"> </w:t>
                  </w:r>
                  <w:r>
                    <w:rPr>
                      <w:rFonts w:cs="Miriam"/>
                      <w:sz w:val="18"/>
                      <w:szCs w:val="18"/>
                      <w:rtl/>
                    </w:rPr>
                    <w:t>מי</w:t>
                  </w:r>
                  <w:r>
                    <w:rPr>
                      <w:rFonts w:cs="Miriam" w:hint="cs"/>
                      <w:sz w:val="18"/>
                      <w:szCs w:val="18"/>
                      <w:rtl/>
                    </w:rPr>
                    <w:t>עוט</w:t>
                  </w:r>
                </w:p>
              </w:txbxContent>
            </v:textbox>
            <w10:anchorlock/>
          </v:rect>
        </w:pict>
      </w:r>
      <w:r w:rsidRPr="003B5DB8">
        <w:rPr>
          <w:rStyle w:val="big-number"/>
          <w:rFonts w:cs="Miriam"/>
          <w:rtl/>
        </w:rPr>
        <w:t>2</w:t>
      </w:r>
      <w:r w:rsidRPr="003B5DB8">
        <w:rPr>
          <w:rStyle w:val="default"/>
          <w:rFonts w:cs="FrankRuehl"/>
          <w:rtl/>
        </w:rPr>
        <w:t>.</w:t>
      </w:r>
      <w:r w:rsidRPr="003B5DB8">
        <w:rPr>
          <w:rStyle w:val="default"/>
          <w:rFonts w:cs="FrankRuehl"/>
          <w:rtl/>
        </w:rPr>
        <w:tab/>
      </w:r>
      <w:r w:rsidRPr="00CB6055">
        <w:rPr>
          <w:rStyle w:val="default"/>
          <w:rFonts w:cs="FrankRuehl"/>
          <w:rtl/>
        </w:rPr>
        <w:t>ניתן צו במועד המיזוג או לאחריו, לפיו ירכוש אדם במיזוג את מניותיהם של בעלי מניות מיעוט בחברה המשתתפת, יובאו בחשבון לענין סעיף 103ג(4) לפקודה יחסי הזכויות בחברה המשתתפת כאילו נרכשו מניות המיעוט בה ערב המיזוג; בסעיף זה, "אדם" - למעט חברה המשתתפת במיזוג שניתן צו המורה לה לרכוש זכויותיהם של בעלי מניות מיעוט בה.</w:t>
      </w:r>
    </w:p>
    <w:p w14:paraId="2D6D58F3" w14:textId="77777777" w:rsidR="008501BA" w:rsidRPr="00CB6055" w:rsidRDefault="008501BA">
      <w:pPr>
        <w:pStyle w:val="P00"/>
        <w:spacing w:before="72"/>
        <w:ind w:left="0" w:right="1134"/>
        <w:rPr>
          <w:rStyle w:val="default"/>
          <w:rFonts w:cs="FrankRuehl"/>
          <w:rtl/>
        </w:rPr>
      </w:pPr>
      <w:bookmarkStart w:id="2" w:name="Seif3"/>
      <w:bookmarkEnd w:id="2"/>
      <w:r w:rsidRPr="003B5DB8">
        <w:rPr>
          <w:rFonts w:cs="Miriam"/>
          <w:lang w:val="he-IL"/>
        </w:rPr>
        <w:pict w14:anchorId="515B4CCD">
          <v:rect id="_x0000_s1028" style="position:absolute;left:0;text-align:left;margin-left:464.5pt;margin-top:8.05pt;width:75.05pt;height:10pt;z-index:251658752" o:allowincell="f" filled="f" stroked="f" strokecolor="lime" strokeweight=".25pt">
            <v:textbox style="mso-next-textbox:#_x0000_s1028" inset="0,0,0,0">
              <w:txbxContent>
                <w:p w14:paraId="3C305B9A" w14:textId="77777777" w:rsidR="008501BA" w:rsidRDefault="008501BA">
                  <w:pPr>
                    <w:spacing w:line="160" w:lineRule="exac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sidRPr="003B5DB8">
        <w:rPr>
          <w:rStyle w:val="big-number"/>
          <w:rFonts w:cs="Miriam"/>
          <w:rtl/>
        </w:rPr>
        <w:t>3</w:t>
      </w:r>
      <w:r w:rsidRPr="003B5DB8">
        <w:rPr>
          <w:rStyle w:val="default"/>
          <w:rFonts w:cs="FrankRuehl"/>
          <w:rtl/>
        </w:rPr>
        <w:t>.</w:t>
      </w:r>
      <w:r w:rsidRPr="003B5DB8">
        <w:rPr>
          <w:rStyle w:val="default"/>
          <w:rFonts w:cs="FrankRuehl"/>
          <w:rtl/>
        </w:rPr>
        <w:tab/>
      </w:r>
      <w:r w:rsidRPr="00CB6055">
        <w:rPr>
          <w:rStyle w:val="default"/>
          <w:rFonts w:cs="FrankRuehl"/>
          <w:rtl/>
        </w:rPr>
        <w:t>תחולתם של כללים אלה לגבי מיזוגים שמועדם החל ביום י"ז בטבת תשנ"ד (31 בדצמבר 1993).</w:t>
      </w:r>
    </w:p>
    <w:p w14:paraId="56FA2915" w14:textId="77777777" w:rsidR="008501BA" w:rsidRDefault="008501BA">
      <w:pPr>
        <w:pStyle w:val="P00"/>
        <w:spacing w:before="72"/>
        <w:ind w:left="0" w:right="1134"/>
        <w:rPr>
          <w:rStyle w:val="default"/>
          <w:rFonts w:cs="FrankRuehl" w:hint="cs"/>
          <w:rtl/>
        </w:rPr>
      </w:pPr>
    </w:p>
    <w:p w14:paraId="5606FD6B" w14:textId="77777777" w:rsidR="003B5DB8" w:rsidRPr="003B5DB8" w:rsidRDefault="003B5DB8">
      <w:pPr>
        <w:pStyle w:val="P00"/>
        <w:spacing w:before="72"/>
        <w:ind w:left="0" w:right="1134"/>
        <w:rPr>
          <w:rStyle w:val="default"/>
          <w:rFonts w:cs="FrankRuehl" w:hint="cs"/>
          <w:rtl/>
        </w:rPr>
      </w:pPr>
    </w:p>
    <w:p w14:paraId="6534D633" w14:textId="77777777" w:rsidR="008501BA" w:rsidRDefault="008501BA">
      <w:pPr>
        <w:pStyle w:val="sig-0"/>
        <w:ind w:left="0" w:right="1134"/>
        <w:rPr>
          <w:rFonts w:cs="FrankRuehl"/>
          <w:sz w:val="26"/>
          <w:rtl/>
        </w:rPr>
      </w:pPr>
      <w:r>
        <w:rPr>
          <w:rFonts w:cs="FrankRuehl"/>
          <w:sz w:val="26"/>
          <w:rtl/>
        </w:rPr>
        <w:t>כ"</w:t>
      </w:r>
      <w:r>
        <w:rPr>
          <w:rFonts w:cs="FrankRuehl" w:hint="cs"/>
          <w:sz w:val="26"/>
          <w:rtl/>
        </w:rPr>
        <w:t>ח באדר א' תשנ"ה (28 בפברואר 1995)</w:t>
      </w:r>
      <w:r>
        <w:rPr>
          <w:rFonts w:cs="FrankRuehl"/>
          <w:sz w:val="26"/>
          <w:rtl/>
        </w:rPr>
        <w:tab/>
        <w:t>ד</w:t>
      </w:r>
      <w:r>
        <w:rPr>
          <w:rFonts w:cs="FrankRuehl" w:hint="cs"/>
          <w:sz w:val="26"/>
          <w:rtl/>
        </w:rPr>
        <w:t>ורון לוי</w:t>
      </w:r>
    </w:p>
    <w:p w14:paraId="370A44AF" w14:textId="77777777" w:rsidR="008501BA" w:rsidRDefault="008501BA">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נ</w:t>
      </w:r>
      <w:r>
        <w:rPr>
          <w:rFonts w:cs="FrankRuehl" w:hint="cs"/>
          <w:sz w:val="22"/>
          <w:rtl/>
        </w:rPr>
        <w:t>ציב מס הכנסה</w:t>
      </w:r>
    </w:p>
    <w:p w14:paraId="1FF9C578" w14:textId="77777777" w:rsidR="008501BA" w:rsidRPr="003B5DB8" w:rsidRDefault="008501BA" w:rsidP="003B5DB8">
      <w:pPr>
        <w:pStyle w:val="P00"/>
        <w:spacing w:before="72"/>
        <w:ind w:left="0" w:right="1134"/>
        <w:rPr>
          <w:rStyle w:val="default"/>
          <w:rFonts w:cs="FrankRuehl"/>
          <w:rtl/>
        </w:rPr>
      </w:pPr>
    </w:p>
    <w:p w14:paraId="4C19428B" w14:textId="77777777" w:rsidR="008501BA" w:rsidRPr="003B5DB8" w:rsidRDefault="008501BA" w:rsidP="003B5DB8">
      <w:pPr>
        <w:pStyle w:val="P00"/>
        <w:spacing w:before="72"/>
        <w:ind w:left="0" w:right="1134"/>
        <w:rPr>
          <w:rStyle w:val="default"/>
          <w:rFonts w:cs="FrankRuehl"/>
          <w:rtl/>
        </w:rPr>
      </w:pPr>
    </w:p>
    <w:p w14:paraId="001A9FF3" w14:textId="77777777" w:rsidR="008501BA" w:rsidRPr="003B5DB8" w:rsidRDefault="008501BA" w:rsidP="003B5DB8">
      <w:pPr>
        <w:pStyle w:val="P00"/>
        <w:spacing w:before="72"/>
        <w:ind w:left="0" w:right="1134"/>
        <w:rPr>
          <w:rStyle w:val="default"/>
          <w:rFonts w:cs="FrankRuehl"/>
          <w:rtl/>
        </w:rPr>
      </w:pPr>
      <w:bookmarkStart w:id="3" w:name="LawPartEnd"/>
    </w:p>
    <w:bookmarkEnd w:id="3"/>
    <w:p w14:paraId="1876CB67" w14:textId="77777777" w:rsidR="008501BA" w:rsidRPr="003B5DB8" w:rsidRDefault="008501BA" w:rsidP="003B5DB8">
      <w:pPr>
        <w:pStyle w:val="P00"/>
        <w:spacing w:before="72"/>
        <w:ind w:left="0" w:right="1134"/>
        <w:rPr>
          <w:rStyle w:val="default"/>
          <w:rFonts w:cs="FrankRuehl"/>
          <w:rtl/>
        </w:rPr>
      </w:pPr>
    </w:p>
    <w:sectPr w:rsidR="008501BA" w:rsidRPr="003B5DB8">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57FA4" w14:textId="77777777" w:rsidR="002F3202" w:rsidRDefault="002F3202">
      <w:r>
        <w:separator/>
      </w:r>
    </w:p>
  </w:endnote>
  <w:endnote w:type="continuationSeparator" w:id="0">
    <w:p w14:paraId="77CFFFC8" w14:textId="77777777" w:rsidR="002F3202" w:rsidRDefault="002F3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20F08" w14:textId="77777777" w:rsidR="008501BA" w:rsidRDefault="008501BA">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50179EEA" w14:textId="77777777" w:rsidR="008501BA" w:rsidRDefault="008501BA">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5385E56" w14:textId="77777777" w:rsidR="008501BA" w:rsidRDefault="008501BA">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94E1F">
      <w:rPr>
        <w:rFonts w:cs="TopType Jerushalmi"/>
        <w:noProof/>
        <w:color w:val="000000"/>
        <w:sz w:val="14"/>
        <w:szCs w:val="14"/>
      </w:rPr>
      <w:t>Z:\000000000000-law\yael\08-10-12\255_234.doc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5B092" w14:textId="77777777" w:rsidR="008501BA" w:rsidRDefault="008501BA">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2E018E">
      <w:rPr>
        <w:rFonts w:hAnsi="FrankRuehl" w:cs="FrankRuehl"/>
        <w:noProof/>
        <w:rtl/>
      </w:rPr>
      <w:t>2</w:t>
    </w:r>
    <w:r>
      <w:rPr>
        <w:rFonts w:hAnsi="FrankRuehl" w:cs="FrankRuehl"/>
        <w:rtl/>
      </w:rPr>
      <w:fldChar w:fldCharType="end"/>
    </w:r>
  </w:p>
  <w:p w14:paraId="7FF3BC55" w14:textId="77777777" w:rsidR="008501BA" w:rsidRDefault="008501BA">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48D0D47" w14:textId="77777777" w:rsidR="008501BA" w:rsidRDefault="008501BA">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94E1F">
      <w:rPr>
        <w:rFonts w:cs="TopType Jerushalmi"/>
        <w:noProof/>
        <w:color w:val="000000"/>
        <w:sz w:val="14"/>
        <w:szCs w:val="14"/>
      </w:rPr>
      <w:t>Z:\000000000000-law\yael\08-10-12\255_234.doc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E379B" w14:textId="77777777" w:rsidR="002F3202" w:rsidRDefault="002F3202" w:rsidP="003B5DB8">
      <w:pPr>
        <w:spacing w:before="60"/>
        <w:ind w:right="1134"/>
      </w:pPr>
      <w:r>
        <w:separator/>
      </w:r>
    </w:p>
  </w:footnote>
  <w:footnote w:type="continuationSeparator" w:id="0">
    <w:p w14:paraId="08034422" w14:textId="77777777" w:rsidR="002F3202" w:rsidRDefault="002F3202">
      <w:r>
        <w:continuationSeparator/>
      </w:r>
    </w:p>
  </w:footnote>
  <w:footnote w:id="1">
    <w:p w14:paraId="7B4DC667" w14:textId="77777777" w:rsidR="003B5DB8" w:rsidRPr="003B5DB8" w:rsidRDefault="003B5DB8" w:rsidP="003B5DB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3B5DB8">
        <w:rPr>
          <w:rFonts w:cs="FrankRuehl"/>
          <w:rtl/>
        </w:rPr>
        <w:t xml:space="preserve">* </w:t>
      </w:r>
      <w:r>
        <w:rPr>
          <w:rFonts w:cs="FrankRuehl"/>
          <w:rtl/>
        </w:rPr>
        <w:t>פו</w:t>
      </w:r>
      <w:r>
        <w:rPr>
          <w:rFonts w:cs="FrankRuehl" w:hint="cs"/>
          <w:rtl/>
        </w:rPr>
        <w:t xml:space="preserve">רסמו </w:t>
      </w:r>
      <w:hyperlink r:id="rId1" w:history="1">
        <w:r w:rsidRPr="00CB6055">
          <w:rPr>
            <w:rStyle w:val="Hyperlink"/>
            <w:rFonts w:cs="FrankRuehl" w:hint="cs"/>
            <w:rtl/>
          </w:rPr>
          <w:t>ק"ת תשנ"ה מס' 5668</w:t>
        </w:r>
      </w:hyperlink>
      <w:r>
        <w:rPr>
          <w:rFonts w:cs="FrankRuehl" w:hint="cs"/>
          <w:rtl/>
        </w:rPr>
        <w:t xml:space="preserve"> מיום 9.3</w:t>
      </w:r>
      <w:r>
        <w:rPr>
          <w:rFonts w:cs="FrankRuehl"/>
          <w:rtl/>
        </w:rPr>
        <w:t>.1995 ע</w:t>
      </w:r>
      <w:r>
        <w:rPr>
          <w:rFonts w:cs="FrankRuehl" w:hint="cs"/>
          <w:rtl/>
        </w:rPr>
        <w:t>מ' 1213.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6FAC" w14:textId="77777777" w:rsidR="008501BA" w:rsidRDefault="008501B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מס הכנסה (תיאומים לענין מיזוג שבו שולמה תמורה במזומנים), תשנ"ה- 1995</w:t>
    </w:r>
  </w:p>
  <w:p w14:paraId="18B2E311" w14:textId="77777777" w:rsidR="008501BA" w:rsidRDefault="008501B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1BDD05B" w14:textId="77777777" w:rsidR="008501BA" w:rsidRDefault="008501B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3217E" w14:textId="77777777" w:rsidR="008501BA" w:rsidRDefault="008501BA" w:rsidP="003B5DB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מס הכנסה (תיאומים לענין מיזוג שבו שולמה תמורה במזומנים), תשנ"ה-1995</w:t>
    </w:r>
  </w:p>
  <w:p w14:paraId="0078BA6A" w14:textId="77777777" w:rsidR="008501BA" w:rsidRDefault="008501B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2942D9B" w14:textId="77777777" w:rsidR="008501BA" w:rsidRDefault="008501B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6055"/>
    <w:rsid w:val="00111F15"/>
    <w:rsid w:val="001644E8"/>
    <w:rsid w:val="002E018E"/>
    <w:rsid w:val="002F3202"/>
    <w:rsid w:val="003B5DB8"/>
    <w:rsid w:val="00495712"/>
    <w:rsid w:val="006C33D7"/>
    <w:rsid w:val="008501BA"/>
    <w:rsid w:val="00A94E1F"/>
    <w:rsid w:val="00CB6055"/>
    <w:rsid w:val="00F9756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EBFCF06"/>
  <w15:chartTrackingRefBased/>
  <w15:docId w15:val="{CA3A1693-0E4C-464C-8514-FA76C3200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3B5DB8"/>
    <w:rPr>
      <w:sz w:val="20"/>
      <w:szCs w:val="20"/>
    </w:rPr>
  </w:style>
  <w:style w:type="character" w:styleId="a6">
    <w:name w:val="footnote reference"/>
    <w:basedOn w:val="a0"/>
    <w:semiHidden/>
    <w:rsid w:val="003B5D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6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1317</CharactersWithSpaces>
  <SharedDoc>false</SharedDoc>
  <HLinks>
    <vt:vector size="24" baseType="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7995398</vt:i4>
      </vt:variant>
      <vt:variant>
        <vt:i4>0</vt:i4>
      </vt:variant>
      <vt:variant>
        <vt:i4>0</vt:i4>
      </vt:variant>
      <vt:variant>
        <vt:i4>5</vt:i4>
      </vt:variant>
      <vt:variant>
        <vt:lpwstr>http://www.nevo.co.il/Law_word/law06/TAK-5668.pdf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כללי מס הכנסה (תיאומים לענין מיזוג שבו שולמה תמורה במזומנים), תשנ"ה-1995</vt:lpwstr>
  </property>
  <property fmtid="{D5CDD505-2E9C-101B-9397-08002B2CF9AE}" pid="5" name="LAWNUMBER">
    <vt:lpwstr>0234</vt:lpwstr>
  </property>
  <property fmtid="{D5CDD505-2E9C-101B-9397-08002B2CF9AE}" pid="6" name="TYPE">
    <vt:lpwstr>01</vt:lpwstr>
  </property>
  <property fmtid="{D5CDD505-2E9C-101B-9397-08002B2CF9AE}" pid="7" name="MEKOR_NAME1">
    <vt:lpwstr>פקודת מס הכנסה </vt:lpwstr>
  </property>
  <property fmtid="{D5CDD505-2E9C-101B-9397-08002B2CF9AE}" pid="8" name="MEKOR_SAIF1">
    <vt:lpwstr>103דXבX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תיאומים</vt:lpwstr>
  </property>
  <property fmtid="{D5CDD505-2E9C-101B-9397-08002B2CF9AE}" pid="12" name="NOSE41">
    <vt:lpwstr>תיאומים לענין מיזוג</vt:lpwstr>
  </property>
  <property fmtid="{D5CDD505-2E9C-101B-9397-08002B2CF9AE}" pid="13" name="NOSE12">
    <vt:lpwstr>משפט פרטי וכלכלה</vt:lpwstr>
  </property>
  <property fmtid="{D5CDD505-2E9C-101B-9397-08002B2CF9AE}" pid="14" name="NOSE22">
    <vt:lpwstr>תאגידים וניירות ערך</vt:lpwstr>
  </property>
  <property fmtid="{D5CDD505-2E9C-101B-9397-08002B2CF9AE}" pid="15" name="NOSE32">
    <vt:lpwstr>חברות</vt:lpwstr>
  </property>
  <property fmtid="{D5CDD505-2E9C-101B-9397-08002B2CF9AE}" pid="16" name="NOSE42">
    <vt:lpwstr>מיזוג</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