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5136D" w14:textId="77777777" w:rsidR="004014F6" w:rsidRDefault="004014F6" w:rsidP="001255F8">
      <w:pPr>
        <w:pStyle w:val="big-header"/>
        <w:ind w:left="0" w:right="1134"/>
      </w:pPr>
      <w:r>
        <w:rPr>
          <w:rFonts w:hint="cs"/>
          <w:rtl/>
        </w:rPr>
        <w:t>כללי מס הכנסה (תיאומים לענין סעיף 102 במיזוג או בפיצול), תשס"ג-2003</w:t>
      </w:r>
    </w:p>
    <w:p w14:paraId="01872C9F" w14:textId="77777777" w:rsidR="007E178C" w:rsidRPr="007E178C" w:rsidRDefault="007E178C" w:rsidP="007E178C">
      <w:pPr>
        <w:spacing w:line="320" w:lineRule="auto"/>
        <w:jc w:val="left"/>
        <w:rPr>
          <w:rFonts w:cs="FrankRuehl"/>
          <w:szCs w:val="26"/>
          <w:rtl/>
        </w:rPr>
      </w:pPr>
    </w:p>
    <w:p w14:paraId="39C77228" w14:textId="77777777" w:rsidR="007E178C" w:rsidRDefault="007E178C" w:rsidP="007E178C">
      <w:pPr>
        <w:spacing w:line="320" w:lineRule="auto"/>
        <w:jc w:val="left"/>
        <w:rPr>
          <w:rtl/>
        </w:rPr>
      </w:pPr>
    </w:p>
    <w:p w14:paraId="33732A52" w14:textId="77777777" w:rsidR="007E178C" w:rsidRDefault="007E178C" w:rsidP="007E178C">
      <w:pPr>
        <w:spacing w:line="320" w:lineRule="auto"/>
        <w:jc w:val="left"/>
        <w:rPr>
          <w:rFonts w:cs="FrankRuehl"/>
          <w:szCs w:val="26"/>
          <w:rtl/>
        </w:rPr>
      </w:pPr>
      <w:r w:rsidRPr="007E178C">
        <w:rPr>
          <w:rFonts w:cs="Miriam"/>
          <w:szCs w:val="22"/>
          <w:rtl/>
        </w:rPr>
        <w:t>מסים</w:t>
      </w:r>
      <w:r w:rsidRPr="007E178C">
        <w:rPr>
          <w:rFonts w:cs="FrankRuehl"/>
          <w:szCs w:val="26"/>
          <w:rtl/>
        </w:rPr>
        <w:t xml:space="preserve"> – מס הכנסה – תיאומים – תיאומים לענין מיזוג</w:t>
      </w:r>
    </w:p>
    <w:p w14:paraId="642B5D29" w14:textId="77777777" w:rsidR="007E178C" w:rsidRPr="007E178C" w:rsidRDefault="007E178C" w:rsidP="007E178C">
      <w:pPr>
        <w:spacing w:line="320" w:lineRule="auto"/>
        <w:jc w:val="left"/>
        <w:rPr>
          <w:rFonts w:cs="Miriam"/>
          <w:szCs w:val="22"/>
        </w:rPr>
      </w:pPr>
      <w:r w:rsidRPr="007E178C">
        <w:rPr>
          <w:rFonts w:cs="Miriam"/>
          <w:szCs w:val="22"/>
          <w:rtl/>
        </w:rPr>
        <w:t>מסים</w:t>
      </w:r>
      <w:r w:rsidRPr="007E178C">
        <w:rPr>
          <w:rFonts w:cs="FrankRuehl"/>
          <w:szCs w:val="26"/>
          <w:rtl/>
        </w:rPr>
        <w:t xml:space="preserve"> – מס הכנסה – חברות – מיזוג</w:t>
      </w:r>
    </w:p>
    <w:p w14:paraId="6EA1D1C5" w14:textId="77777777" w:rsidR="001255F8" w:rsidRDefault="001255F8" w:rsidP="001255F8">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B1DCE" w:rsidRPr="00DB1DCE" w14:paraId="7B1EF383" w14:textId="77777777">
        <w:tblPrEx>
          <w:tblCellMar>
            <w:top w:w="0" w:type="dxa"/>
            <w:bottom w:w="0" w:type="dxa"/>
          </w:tblCellMar>
        </w:tblPrEx>
        <w:tc>
          <w:tcPr>
            <w:tcW w:w="1247" w:type="dxa"/>
          </w:tcPr>
          <w:p w14:paraId="50F977A3" w14:textId="77777777" w:rsidR="00DB1DCE" w:rsidRPr="00DB1DCE" w:rsidRDefault="00DB1DCE" w:rsidP="00DB1DCE">
            <w:pPr>
              <w:spacing w:line="240" w:lineRule="auto"/>
              <w:jc w:val="left"/>
              <w:rPr>
                <w:rFonts w:cs="Frankruhel" w:hint="cs"/>
                <w:sz w:val="24"/>
                <w:rtl/>
              </w:rPr>
            </w:pPr>
            <w:r>
              <w:rPr>
                <w:rFonts w:cs="Times New Roman"/>
                <w:sz w:val="24"/>
                <w:rtl/>
              </w:rPr>
              <w:t xml:space="preserve">סעיף 1 </w:t>
            </w:r>
          </w:p>
        </w:tc>
        <w:tc>
          <w:tcPr>
            <w:tcW w:w="5669" w:type="dxa"/>
          </w:tcPr>
          <w:p w14:paraId="0D6F98D6" w14:textId="77777777" w:rsidR="00DB1DCE" w:rsidRPr="00DB1DCE" w:rsidRDefault="00DB1DCE" w:rsidP="00DB1DCE">
            <w:pPr>
              <w:spacing w:line="240" w:lineRule="auto"/>
              <w:jc w:val="left"/>
              <w:rPr>
                <w:rFonts w:cs="Frankruhel" w:hint="cs"/>
                <w:sz w:val="24"/>
                <w:rtl/>
              </w:rPr>
            </w:pPr>
            <w:r>
              <w:rPr>
                <w:rFonts w:cs="Times New Roman"/>
                <w:sz w:val="24"/>
                <w:rtl/>
              </w:rPr>
              <w:t>פרשנות</w:t>
            </w:r>
          </w:p>
        </w:tc>
        <w:tc>
          <w:tcPr>
            <w:tcW w:w="567" w:type="dxa"/>
          </w:tcPr>
          <w:p w14:paraId="0D46FD72" w14:textId="77777777" w:rsidR="00DB1DCE" w:rsidRPr="00DB1DCE" w:rsidRDefault="00DB1DCE" w:rsidP="00DB1DCE">
            <w:pPr>
              <w:spacing w:line="240" w:lineRule="auto"/>
              <w:jc w:val="left"/>
              <w:rPr>
                <w:rStyle w:val="Hyperlink"/>
                <w:rFonts w:hint="cs"/>
                <w:rtl/>
              </w:rPr>
            </w:pPr>
            <w:hyperlink w:anchor="Seif1" w:tooltip="פרשנות" w:history="1">
              <w:r w:rsidRPr="00DB1DCE">
                <w:rPr>
                  <w:rStyle w:val="Hyperlink"/>
                </w:rPr>
                <w:t>Go</w:t>
              </w:r>
            </w:hyperlink>
          </w:p>
        </w:tc>
        <w:tc>
          <w:tcPr>
            <w:tcW w:w="850" w:type="dxa"/>
          </w:tcPr>
          <w:p w14:paraId="7775BEA0" w14:textId="77777777" w:rsidR="00DB1DCE" w:rsidRPr="00DB1DCE" w:rsidRDefault="00DB1DCE" w:rsidP="00DB1DC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1DCE" w:rsidRPr="00DB1DCE" w14:paraId="3FA8FC03" w14:textId="77777777">
        <w:tblPrEx>
          <w:tblCellMar>
            <w:top w:w="0" w:type="dxa"/>
            <w:bottom w:w="0" w:type="dxa"/>
          </w:tblCellMar>
        </w:tblPrEx>
        <w:tc>
          <w:tcPr>
            <w:tcW w:w="1247" w:type="dxa"/>
          </w:tcPr>
          <w:p w14:paraId="6D70DE4D" w14:textId="77777777" w:rsidR="00DB1DCE" w:rsidRPr="00DB1DCE" w:rsidRDefault="00DB1DCE" w:rsidP="00DB1DCE">
            <w:pPr>
              <w:spacing w:line="240" w:lineRule="auto"/>
              <w:jc w:val="left"/>
              <w:rPr>
                <w:rFonts w:cs="Frankruhel" w:hint="cs"/>
                <w:sz w:val="24"/>
                <w:rtl/>
              </w:rPr>
            </w:pPr>
            <w:r>
              <w:rPr>
                <w:rFonts w:cs="Times New Roman"/>
                <w:sz w:val="24"/>
                <w:rtl/>
              </w:rPr>
              <w:t xml:space="preserve">סעיף 2 </w:t>
            </w:r>
          </w:p>
        </w:tc>
        <w:tc>
          <w:tcPr>
            <w:tcW w:w="5669" w:type="dxa"/>
          </w:tcPr>
          <w:p w14:paraId="1E0D179A" w14:textId="77777777" w:rsidR="00DB1DCE" w:rsidRPr="00DB1DCE" w:rsidRDefault="00DB1DCE" w:rsidP="00DB1DCE">
            <w:pPr>
              <w:spacing w:line="240" w:lineRule="auto"/>
              <w:jc w:val="left"/>
              <w:rPr>
                <w:rFonts w:cs="Frankruhel" w:hint="cs"/>
                <w:sz w:val="24"/>
                <w:rtl/>
              </w:rPr>
            </w:pPr>
            <w:r>
              <w:rPr>
                <w:rFonts w:cs="Times New Roman"/>
                <w:sz w:val="24"/>
                <w:rtl/>
              </w:rPr>
              <w:t>מניות שהתקבלו במיזוג</w:t>
            </w:r>
          </w:p>
        </w:tc>
        <w:tc>
          <w:tcPr>
            <w:tcW w:w="567" w:type="dxa"/>
          </w:tcPr>
          <w:p w14:paraId="774F2A83" w14:textId="77777777" w:rsidR="00DB1DCE" w:rsidRPr="00DB1DCE" w:rsidRDefault="00DB1DCE" w:rsidP="00DB1DCE">
            <w:pPr>
              <w:spacing w:line="240" w:lineRule="auto"/>
              <w:jc w:val="left"/>
              <w:rPr>
                <w:rStyle w:val="Hyperlink"/>
                <w:rFonts w:hint="cs"/>
                <w:rtl/>
              </w:rPr>
            </w:pPr>
            <w:hyperlink w:anchor="Seif2" w:tooltip="מניות שהתקבלו במיזוג" w:history="1">
              <w:r w:rsidRPr="00DB1DCE">
                <w:rPr>
                  <w:rStyle w:val="Hyperlink"/>
                </w:rPr>
                <w:t>Go</w:t>
              </w:r>
            </w:hyperlink>
          </w:p>
        </w:tc>
        <w:tc>
          <w:tcPr>
            <w:tcW w:w="850" w:type="dxa"/>
          </w:tcPr>
          <w:p w14:paraId="331ECCF1" w14:textId="77777777" w:rsidR="00DB1DCE" w:rsidRPr="00DB1DCE" w:rsidRDefault="00DB1DCE" w:rsidP="00DB1DC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1DCE" w:rsidRPr="00DB1DCE" w14:paraId="4C76CDC6" w14:textId="77777777">
        <w:tblPrEx>
          <w:tblCellMar>
            <w:top w:w="0" w:type="dxa"/>
            <w:bottom w:w="0" w:type="dxa"/>
          </w:tblCellMar>
        </w:tblPrEx>
        <w:tc>
          <w:tcPr>
            <w:tcW w:w="1247" w:type="dxa"/>
          </w:tcPr>
          <w:p w14:paraId="50D8DD59" w14:textId="77777777" w:rsidR="00DB1DCE" w:rsidRPr="00DB1DCE" w:rsidRDefault="00DB1DCE" w:rsidP="00DB1DCE">
            <w:pPr>
              <w:spacing w:line="240" w:lineRule="auto"/>
              <w:jc w:val="left"/>
              <w:rPr>
                <w:rFonts w:cs="Frankruhel" w:hint="cs"/>
                <w:sz w:val="24"/>
                <w:rtl/>
              </w:rPr>
            </w:pPr>
            <w:r>
              <w:rPr>
                <w:rFonts w:cs="Times New Roman"/>
                <w:sz w:val="24"/>
                <w:rtl/>
              </w:rPr>
              <w:t xml:space="preserve">סעיף 3 </w:t>
            </w:r>
          </w:p>
        </w:tc>
        <w:tc>
          <w:tcPr>
            <w:tcW w:w="5669" w:type="dxa"/>
          </w:tcPr>
          <w:p w14:paraId="2AB08C81" w14:textId="77777777" w:rsidR="00DB1DCE" w:rsidRPr="00DB1DCE" w:rsidRDefault="00DB1DCE" w:rsidP="00DB1DCE">
            <w:pPr>
              <w:spacing w:line="240" w:lineRule="auto"/>
              <w:jc w:val="left"/>
              <w:rPr>
                <w:rFonts w:cs="Frankruhel" w:hint="cs"/>
                <w:sz w:val="24"/>
                <w:rtl/>
              </w:rPr>
            </w:pPr>
            <w:r>
              <w:rPr>
                <w:rFonts w:cs="Times New Roman"/>
                <w:sz w:val="24"/>
                <w:rtl/>
              </w:rPr>
              <w:t>מניות שהתקבלו בפיצול</w:t>
            </w:r>
          </w:p>
        </w:tc>
        <w:tc>
          <w:tcPr>
            <w:tcW w:w="567" w:type="dxa"/>
          </w:tcPr>
          <w:p w14:paraId="520AFD4A" w14:textId="77777777" w:rsidR="00DB1DCE" w:rsidRPr="00DB1DCE" w:rsidRDefault="00DB1DCE" w:rsidP="00DB1DCE">
            <w:pPr>
              <w:spacing w:line="240" w:lineRule="auto"/>
              <w:jc w:val="left"/>
              <w:rPr>
                <w:rStyle w:val="Hyperlink"/>
                <w:rFonts w:hint="cs"/>
                <w:rtl/>
              </w:rPr>
            </w:pPr>
            <w:hyperlink w:anchor="Seif3" w:tooltip="מניות שהתקבלו בפיצול" w:history="1">
              <w:r w:rsidRPr="00DB1DCE">
                <w:rPr>
                  <w:rStyle w:val="Hyperlink"/>
                </w:rPr>
                <w:t>Go</w:t>
              </w:r>
            </w:hyperlink>
          </w:p>
        </w:tc>
        <w:tc>
          <w:tcPr>
            <w:tcW w:w="850" w:type="dxa"/>
          </w:tcPr>
          <w:p w14:paraId="0AA3E437" w14:textId="77777777" w:rsidR="00DB1DCE" w:rsidRPr="00DB1DCE" w:rsidRDefault="00DB1DCE" w:rsidP="00DB1DC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1DCE" w:rsidRPr="00DB1DCE" w14:paraId="2F3290CF" w14:textId="77777777">
        <w:tblPrEx>
          <w:tblCellMar>
            <w:top w:w="0" w:type="dxa"/>
            <w:bottom w:w="0" w:type="dxa"/>
          </w:tblCellMar>
        </w:tblPrEx>
        <w:tc>
          <w:tcPr>
            <w:tcW w:w="1247" w:type="dxa"/>
          </w:tcPr>
          <w:p w14:paraId="04C0FCD3" w14:textId="77777777" w:rsidR="00DB1DCE" w:rsidRPr="00DB1DCE" w:rsidRDefault="00DB1DCE" w:rsidP="00DB1DCE">
            <w:pPr>
              <w:spacing w:line="240" w:lineRule="auto"/>
              <w:jc w:val="left"/>
              <w:rPr>
                <w:rFonts w:cs="Frankruhel" w:hint="cs"/>
                <w:sz w:val="24"/>
                <w:rtl/>
              </w:rPr>
            </w:pPr>
            <w:r>
              <w:rPr>
                <w:rFonts w:cs="Times New Roman"/>
                <w:sz w:val="24"/>
                <w:rtl/>
              </w:rPr>
              <w:t xml:space="preserve">סעיף 4 </w:t>
            </w:r>
          </w:p>
        </w:tc>
        <w:tc>
          <w:tcPr>
            <w:tcW w:w="5669" w:type="dxa"/>
          </w:tcPr>
          <w:p w14:paraId="7AAFE099" w14:textId="77777777" w:rsidR="00DB1DCE" w:rsidRPr="00DB1DCE" w:rsidRDefault="00DB1DCE" w:rsidP="00DB1DCE">
            <w:pPr>
              <w:spacing w:line="240" w:lineRule="auto"/>
              <w:jc w:val="left"/>
              <w:rPr>
                <w:rFonts w:cs="Frankruhel" w:hint="cs"/>
                <w:sz w:val="24"/>
                <w:rtl/>
              </w:rPr>
            </w:pPr>
            <w:r>
              <w:rPr>
                <w:rFonts w:cs="Times New Roman"/>
                <w:sz w:val="24"/>
                <w:rtl/>
              </w:rPr>
              <w:t>רצף זמנים</w:t>
            </w:r>
          </w:p>
        </w:tc>
        <w:tc>
          <w:tcPr>
            <w:tcW w:w="567" w:type="dxa"/>
          </w:tcPr>
          <w:p w14:paraId="48484564" w14:textId="77777777" w:rsidR="00DB1DCE" w:rsidRPr="00DB1DCE" w:rsidRDefault="00DB1DCE" w:rsidP="00DB1DCE">
            <w:pPr>
              <w:spacing w:line="240" w:lineRule="auto"/>
              <w:jc w:val="left"/>
              <w:rPr>
                <w:rStyle w:val="Hyperlink"/>
                <w:rFonts w:hint="cs"/>
                <w:rtl/>
              </w:rPr>
            </w:pPr>
            <w:hyperlink w:anchor="Seif4" w:tooltip="רצף זמנים" w:history="1">
              <w:r w:rsidRPr="00DB1DCE">
                <w:rPr>
                  <w:rStyle w:val="Hyperlink"/>
                </w:rPr>
                <w:t>Go</w:t>
              </w:r>
            </w:hyperlink>
          </w:p>
        </w:tc>
        <w:tc>
          <w:tcPr>
            <w:tcW w:w="850" w:type="dxa"/>
          </w:tcPr>
          <w:p w14:paraId="179AF841" w14:textId="77777777" w:rsidR="00DB1DCE" w:rsidRPr="00DB1DCE" w:rsidRDefault="00DB1DCE" w:rsidP="00DB1DC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1DCE" w:rsidRPr="00DB1DCE" w14:paraId="5198AEA9" w14:textId="77777777">
        <w:tblPrEx>
          <w:tblCellMar>
            <w:top w:w="0" w:type="dxa"/>
            <w:bottom w:w="0" w:type="dxa"/>
          </w:tblCellMar>
        </w:tblPrEx>
        <w:tc>
          <w:tcPr>
            <w:tcW w:w="1247" w:type="dxa"/>
          </w:tcPr>
          <w:p w14:paraId="41EA1BB5" w14:textId="77777777" w:rsidR="00DB1DCE" w:rsidRPr="00DB1DCE" w:rsidRDefault="00DB1DCE" w:rsidP="00DB1DCE">
            <w:pPr>
              <w:spacing w:line="240" w:lineRule="auto"/>
              <w:jc w:val="left"/>
              <w:rPr>
                <w:rFonts w:cs="Frankruhel" w:hint="cs"/>
                <w:sz w:val="24"/>
                <w:rtl/>
              </w:rPr>
            </w:pPr>
            <w:r>
              <w:rPr>
                <w:rFonts w:cs="Times New Roman"/>
                <w:sz w:val="24"/>
                <w:rtl/>
              </w:rPr>
              <w:t xml:space="preserve">סעיף 5 </w:t>
            </w:r>
          </w:p>
        </w:tc>
        <w:tc>
          <w:tcPr>
            <w:tcW w:w="5669" w:type="dxa"/>
          </w:tcPr>
          <w:p w14:paraId="4D35C5AC" w14:textId="77777777" w:rsidR="00DB1DCE" w:rsidRPr="00DB1DCE" w:rsidRDefault="00DB1DCE" w:rsidP="00DB1DCE">
            <w:pPr>
              <w:spacing w:line="240" w:lineRule="auto"/>
              <w:jc w:val="left"/>
              <w:rPr>
                <w:rFonts w:cs="Frankruhel" w:hint="cs"/>
                <w:sz w:val="24"/>
                <w:rtl/>
              </w:rPr>
            </w:pPr>
            <w:r>
              <w:rPr>
                <w:rFonts w:cs="Times New Roman"/>
                <w:sz w:val="24"/>
                <w:rtl/>
              </w:rPr>
              <w:t>התרת ההוצאה</w:t>
            </w:r>
          </w:p>
        </w:tc>
        <w:tc>
          <w:tcPr>
            <w:tcW w:w="567" w:type="dxa"/>
          </w:tcPr>
          <w:p w14:paraId="22ED25F0" w14:textId="77777777" w:rsidR="00DB1DCE" w:rsidRPr="00DB1DCE" w:rsidRDefault="00DB1DCE" w:rsidP="00DB1DCE">
            <w:pPr>
              <w:spacing w:line="240" w:lineRule="auto"/>
              <w:jc w:val="left"/>
              <w:rPr>
                <w:rStyle w:val="Hyperlink"/>
                <w:rFonts w:hint="cs"/>
                <w:rtl/>
              </w:rPr>
            </w:pPr>
            <w:hyperlink w:anchor="Seif5" w:tooltip="התרת ההוצאה" w:history="1">
              <w:r w:rsidRPr="00DB1DCE">
                <w:rPr>
                  <w:rStyle w:val="Hyperlink"/>
                </w:rPr>
                <w:t>Go</w:t>
              </w:r>
            </w:hyperlink>
          </w:p>
        </w:tc>
        <w:tc>
          <w:tcPr>
            <w:tcW w:w="850" w:type="dxa"/>
          </w:tcPr>
          <w:p w14:paraId="7ED5227A" w14:textId="77777777" w:rsidR="00DB1DCE" w:rsidRPr="00DB1DCE" w:rsidRDefault="00DB1DCE" w:rsidP="00DB1DC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1DCE" w:rsidRPr="00DB1DCE" w14:paraId="5370016C" w14:textId="77777777">
        <w:tblPrEx>
          <w:tblCellMar>
            <w:top w:w="0" w:type="dxa"/>
            <w:bottom w:w="0" w:type="dxa"/>
          </w:tblCellMar>
        </w:tblPrEx>
        <w:tc>
          <w:tcPr>
            <w:tcW w:w="1247" w:type="dxa"/>
          </w:tcPr>
          <w:p w14:paraId="69716B79" w14:textId="77777777" w:rsidR="00DB1DCE" w:rsidRPr="00DB1DCE" w:rsidRDefault="00DB1DCE" w:rsidP="00DB1DCE">
            <w:pPr>
              <w:spacing w:line="240" w:lineRule="auto"/>
              <w:jc w:val="left"/>
              <w:rPr>
                <w:rFonts w:cs="Frankruhel" w:hint="cs"/>
                <w:sz w:val="24"/>
                <w:rtl/>
              </w:rPr>
            </w:pPr>
            <w:r>
              <w:rPr>
                <w:rFonts w:cs="Times New Roman"/>
                <w:sz w:val="24"/>
                <w:rtl/>
              </w:rPr>
              <w:t xml:space="preserve">סעיף 6 </w:t>
            </w:r>
          </w:p>
        </w:tc>
        <w:tc>
          <w:tcPr>
            <w:tcW w:w="5669" w:type="dxa"/>
          </w:tcPr>
          <w:p w14:paraId="3F34F83E" w14:textId="77777777" w:rsidR="00DB1DCE" w:rsidRPr="00DB1DCE" w:rsidRDefault="00DB1DCE" w:rsidP="00DB1DCE">
            <w:pPr>
              <w:spacing w:line="240" w:lineRule="auto"/>
              <w:jc w:val="left"/>
              <w:rPr>
                <w:rFonts w:cs="Frankruhel" w:hint="cs"/>
                <w:sz w:val="24"/>
                <w:rtl/>
              </w:rPr>
            </w:pPr>
            <w:r>
              <w:rPr>
                <w:rFonts w:cs="Times New Roman"/>
                <w:sz w:val="24"/>
                <w:rtl/>
              </w:rPr>
              <w:t>ביטול</w:t>
            </w:r>
          </w:p>
        </w:tc>
        <w:tc>
          <w:tcPr>
            <w:tcW w:w="567" w:type="dxa"/>
          </w:tcPr>
          <w:p w14:paraId="6E2442F4" w14:textId="77777777" w:rsidR="00DB1DCE" w:rsidRPr="00DB1DCE" w:rsidRDefault="00DB1DCE" w:rsidP="00DB1DCE">
            <w:pPr>
              <w:spacing w:line="240" w:lineRule="auto"/>
              <w:jc w:val="left"/>
              <w:rPr>
                <w:rStyle w:val="Hyperlink"/>
                <w:rFonts w:hint="cs"/>
                <w:rtl/>
              </w:rPr>
            </w:pPr>
            <w:hyperlink w:anchor="Seif6" w:tooltip="ביטול" w:history="1">
              <w:r w:rsidRPr="00DB1DCE">
                <w:rPr>
                  <w:rStyle w:val="Hyperlink"/>
                </w:rPr>
                <w:t>Go</w:t>
              </w:r>
            </w:hyperlink>
          </w:p>
        </w:tc>
        <w:tc>
          <w:tcPr>
            <w:tcW w:w="850" w:type="dxa"/>
          </w:tcPr>
          <w:p w14:paraId="00298215" w14:textId="77777777" w:rsidR="00DB1DCE" w:rsidRPr="00DB1DCE" w:rsidRDefault="00DB1DCE" w:rsidP="00DB1DC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B1DCE" w:rsidRPr="00DB1DCE" w14:paraId="7C75F202" w14:textId="77777777">
        <w:tblPrEx>
          <w:tblCellMar>
            <w:top w:w="0" w:type="dxa"/>
            <w:bottom w:w="0" w:type="dxa"/>
          </w:tblCellMar>
        </w:tblPrEx>
        <w:tc>
          <w:tcPr>
            <w:tcW w:w="1247" w:type="dxa"/>
          </w:tcPr>
          <w:p w14:paraId="0AF36302" w14:textId="77777777" w:rsidR="00DB1DCE" w:rsidRPr="00DB1DCE" w:rsidRDefault="00DB1DCE" w:rsidP="00DB1DCE">
            <w:pPr>
              <w:spacing w:line="240" w:lineRule="auto"/>
              <w:jc w:val="left"/>
              <w:rPr>
                <w:rFonts w:cs="Frankruhel" w:hint="cs"/>
                <w:sz w:val="24"/>
                <w:rtl/>
              </w:rPr>
            </w:pPr>
            <w:r>
              <w:rPr>
                <w:rFonts w:cs="Times New Roman"/>
                <w:sz w:val="24"/>
                <w:rtl/>
              </w:rPr>
              <w:t xml:space="preserve">סעיף 7 </w:t>
            </w:r>
          </w:p>
        </w:tc>
        <w:tc>
          <w:tcPr>
            <w:tcW w:w="5669" w:type="dxa"/>
          </w:tcPr>
          <w:p w14:paraId="3629EC44" w14:textId="77777777" w:rsidR="00DB1DCE" w:rsidRPr="00DB1DCE" w:rsidRDefault="00DB1DCE" w:rsidP="00DB1DCE">
            <w:pPr>
              <w:spacing w:line="240" w:lineRule="auto"/>
              <w:jc w:val="left"/>
              <w:rPr>
                <w:rFonts w:cs="Frankruhel" w:hint="cs"/>
                <w:sz w:val="24"/>
                <w:rtl/>
              </w:rPr>
            </w:pPr>
            <w:r>
              <w:rPr>
                <w:rFonts w:cs="Times New Roman"/>
                <w:sz w:val="24"/>
                <w:rtl/>
              </w:rPr>
              <w:t>תחילה ותחולה</w:t>
            </w:r>
          </w:p>
        </w:tc>
        <w:tc>
          <w:tcPr>
            <w:tcW w:w="567" w:type="dxa"/>
          </w:tcPr>
          <w:p w14:paraId="0159AA73" w14:textId="77777777" w:rsidR="00DB1DCE" w:rsidRPr="00DB1DCE" w:rsidRDefault="00DB1DCE" w:rsidP="00DB1DCE">
            <w:pPr>
              <w:spacing w:line="240" w:lineRule="auto"/>
              <w:jc w:val="left"/>
              <w:rPr>
                <w:rStyle w:val="Hyperlink"/>
                <w:rFonts w:hint="cs"/>
                <w:rtl/>
              </w:rPr>
            </w:pPr>
            <w:hyperlink w:anchor="Seif7" w:tooltip="תחילה ותחולה" w:history="1">
              <w:r w:rsidRPr="00DB1DCE">
                <w:rPr>
                  <w:rStyle w:val="Hyperlink"/>
                </w:rPr>
                <w:t>Go</w:t>
              </w:r>
            </w:hyperlink>
          </w:p>
        </w:tc>
        <w:tc>
          <w:tcPr>
            <w:tcW w:w="850" w:type="dxa"/>
          </w:tcPr>
          <w:p w14:paraId="67ECA4AA" w14:textId="77777777" w:rsidR="00DB1DCE" w:rsidRPr="00DB1DCE" w:rsidRDefault="00DB1DCE" w:rsidP="00DB1DC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53D243BE" w14:textId="77777777" w:rsidR="001255F8" w:rsidRDefault="001255F8" w:rsidP="001255F8">
      <w:pPr>
        <w:pStyle w:val="big-header"/>
        <w:ind w:left="0" w:right="1134"/>
        <w:rPr>
          <w:rFonts w:hint="cs"/>
          <w:rtl/>
        </w:rPr>
      </w:pPr>
    </w:p>
    <w:p w14:paraId="447DA42B" w14:textId="77777777" w:rsidR="001255F8" w:rsidRDefault="001255F8" w:rsidP="007E178C">
      <w:pPr>
        <w:pStyle w:val="big-header"/>
        <w:ind w:left="0" w:right="1134"/>
        <w:rPr>
          <w:rStyle w:val="default"/>
          <w:rFonts w:cs="FrankRuehl" w:hint="cs"/>
          <w:rtl/>
        </w:rPr>
      </w:pPr>
      <w:r>
        <w:rPr>
          <w:rtl/>
        </w:rPr>
        <w:br w:type="page"/>
      </w:r>
      <w:r>
        <w:rPr>
          <w:rFonts w:hint="cs"/>
          <w:rtl/>
        </w:rPr>
        <w:lastRenderedPageBreak/>
        <w:t>כללי מס הכנסה (תיאומים לענין סעיף 102 במיזוג או בפיצול), תשס"ג-2003</w:t>
      </w:r>
      <w:r>
        <w:rPr>
          <w:rStyle w:val="default"/>
          <w:sz w:val="22"/>
          <w:szCs w:val="22"/>
          <w:rtl/>
        </w:rPr>
        <w:footnoteReference w:customMarkFollows="1" w:id="1"/>
        <w:t>*</w:t>
      </w:r>
    </w:p>
    <w:p w14:paraId="230FDECA" w14:textId="77777777" w:rsidR="004014F6" w:rsidRDefault="004014F6">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סעיפים 103טז ו-105ח(א) לפקודת מס הכנסה (להלן </w:t>
      </w:r>
      <w:r>
        <w:rPr>
          <w:rStyle w:val="default"/>
          <w:rFonts w:cs="FrankRuehl"/>
          <w:rtl/>
        </w:rPr>
        <w:t>–</w:t>
      </w:r>
      <w:r>
        <w:rPr>
          <w:rStyle w:val="default"/>
          <w:rFonts w:cs="FrankRuehl" w:hint="cs"/>
          <w:rtl/>
        </w:rPr>
        <w:t xml:space="preserve"> הפקודה), אני מתקינה כללים אלה:</w:t>
      </w:r>
    </w:p>
    <w:p w14:paraId="32E2A4B4" w14:textId="77777777" w:rsidR="004014F6" w:rsidRDefault="004014F6">
      <w:pPr>
        <w:pStyle w:val="P00"/>
        <w:spacing w:before="72"/>
        <w:ind w:left="0" w:right="1134"/>
        <w:rPr>
          <w:rStyle w:val="default"/>
          <w:rFonts w:cs="FrankRuehl" w:hint="cs"/>
          <w:rtl/>
        </w:rPr>
      </w:pPr>
      <w:bookmarkStart w:id="0" w:name="Seif1"/>
      <w:bookmarkEnd w:id="0"/>
      <w:r>
        <w:rPr>
          <w:lang w:val="he-IL"/>
        </w:rPr>
        <w:pict w14:anchorId="7D7C5C49">
          <v:rect id="_x0000_s1026" style="position:absolute;left:0;text-align:left;margin-left:464.5pt;margin-top:8.05pt;width:75.05pt;height:10.4pt;z-index:251654656" o:allowincell="f" filled="f" stroked="f" strokecolor="lime" strokeweight=".25pt">
            <v:textbox style="mso-next-textbox:#_x0000_s1026" inset="0,0,0,0">
              <w:txbxContent>
                <w:p w14:paraId="68443C8F" w14:textId="77777777" w:rsidR="004014F6" w:rsidRDefault="004014F6">
                  <w:pPr>
                    <w:spacing w:line="160" w:lineRule="exact"/>
                    <w:jc w:val="left"/>
                    <w:rPr>
                      <w:rFonts w:cs="Miriam" w:hint="cs"/>
                      <w:noProof/>
                      <w:szCs w:val="18"/>
                      <w:rtl/>
                    </w:rPr>
                  </w:pPr>
                  <w:r>
                    <w:rPr>
                      <w:rFonts w:cs="Miriam" w:hint="cs"/>
                      <w:szCs w:val="18"/>
                      <w:rtl/>
                    </w:rPr>
                    <w:t>פרשנות</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לכל מונח בכללים אלה תהיה המשמעות הנודעת לו בסעיף 102 לפקודה, זולת אם נאמר במפורש אחרת.</w:t>
      </w:r>
    </w:p>
    <w:p w14:paraId="3BD56582" w14:textId="77777777" w:rsidR="004014F6" w:rsidRDefault="004014F6">
      <w:pPr>
        <w:pStyle w:val="P00"/>
        <w:spacing w:before="72"/>
        <w:ind w:left="0" w:right="1134"/>
        <w:rPr>
          <w:rStyle w:val="default"/>
          <w:rFonts w:cs="FrankRuehl" w:hint="cs"/>
          <w:rtl/>
        </w:rPr>
      </w:pPr>
      <w:bookmarkStart w:id="1" w:name="Seif2"/>
      <w:bookmarkEnd w:id="1"/>
      <w:r>
        <w:rPr>
          <w:rFonts w:cs="Miriam"/>
          <w:szCs w:val="32"/>
          <w:rtl/>
          <w:lang w:val="he-IL"/>
        </w:rPr>
        <w:pict w14:anchorId="26ED5EF9">
          <v:shapetype id="_x0000_t202" coordsize="21600,21600" o:spt="202" path="m,l,21600r21600,l21600,xe">
            <v:stroke joinstyle="miter"/>
            <v:path gradientshapeok="t" o:connecttype="rect"/>
          </v:shapetype>
          <v:shape id="_x0000_s1036" type="#_x0000_t202" style="position:absolute;left:0;text-align:left;margin-left:470.25pt;margin-top:2.2pt;width:1in;height:22.35pt;z-index:251655680" filled="f" stroked="f">
            <v:textbox inset="1mm,,1mm">
              <w:txbxContent>
                <w:p w14:paraId="1215DAE2" w14:textId="77777777" w:rsidR="004014F6" w:rsidRDefault="004014F6">
                  <w:pPr>
                    <w:pStyle w:val="3"/>
                    <w:rPr>
                      <w:rFonts w:hint="cs"/>
                      <w:rtl/>
                    </w:rPr>
                  </w:pPr>
                  <w:r>
                    <w:rPr>
                      <w:rFonts w:hint="cs"/>
                      <w:rtl/>
                    </w:rPr>
                    <w:t>מניות שהתקבלו במיזוג</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מניות שהוקצו בחברה הקולטת חלף מניות שהוקצו לעובד בחברה המעבירה בהקצאת מניות באמצעות נאמן, יופקדו בידי הנאמן וייראו כאילו הוקצו מלכתחילה בידי החברה הקולטת, לכל דבר וענין.</w:t>
      </w:r>
    </w:p>
    <w:p w14:paraId="04A3F715" w14:textId="77777777" w:rsidR="004014F6" w:rsidRDefault="004014F6">
      <w:pPr>
        <w:pStyle w:val="P00"/>
        <w:spacing w:before="72"/>
        <w:ind w:left="0" w:right="1134"/>
        <w:rPr>
          <w:rStyle w:val="default"/>
          <w:rFonts w:cs="FrankRuehl" w:hint="cs"/>
          <w:rtl/>
        </w:rPr>
      </w:pPr>
      <w:bookmarkStart w:id="2" w:name="Seif3"/>
      <w:bookmarkEnd w:id="2"/>
      <w:r>
        <w:rPr>
          <w:rFonts w:cs="Miriam"/>
          <w:szCs w:val="32"/>
          <w:rtl/>
          <w:lang w:val="he-IL"/>
        </w:rPr>
        <w:pict w14:anchorId="7B614175">
          <v:shape id="_x0000_s1099" type="#_x0000_t202" style="position:absolute;left:0;text-align:left;margin-left:470.25pt;margin-top:2.8pt;width:1in;height:27pt;z-index:251656704" filled="f" stroked="f">
            <v:textbox inset="1mm,,1mm">
              <w:txbxContent>
                <w:p w14:paraId="5E5AA5B2" w14:textId="77777777" w:rsidR="004014F6" w:rsidRDefault="004014F6">
                  <w:pPr>
                    <w:pStyle w:val="3"/>
                    <w:rPr>
                      <w:rFonts w:hint="cs"/>
                      <w:rtl/>
                    </w:rPr>
                  </w:pPr>
                  <w:r>
                    <w:rPr>
                      <w:rFonts w:hint="cs"/>
                      <w:rtl/>
                    </w:rPr>
                    <w:t>מניות שהתקבלו בפיצול</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מניות שהוקצו בחברה חדשה במסגרת הליך פיצול לפי סעיף 105א1 לפקודה, לעובדים שהוקצו להם מניות באמצעות נאמן בחברה המתפצלת, יופקדו בידי הנאמן וייראום כאילו הוקצו מלכתחילה בידי החברה החדשה, לכל דבר וענין.</w:t>
      </w:r>
    </w:p>
    <w:p w14:paraId="214AA5B7" w14:textId="77777777" w:rsidR="004014F6" w:rsidRDefault="004014F6">
      <w:pPr>
        <w:pStyle w:val="P00"/>
        <w:spacing w:before="72"/>
        <w:ind w:left="0" w:right="1134"/>
        <w:rPr>
          <w:rStyle w:val="default"/>
          <w:rFonts w:cs="FrankRuehl" w:hint="cs"/>
          <w:rtl/>
        </w:rPr>
      </w:pPr>
      <w:bookmarkStart w:id="3" w:name="Seif4"/>
      <w:bookmarkEnd w:id="3"/>
      <w:r>
        <w:rPr>
          <w:rFonts w:cs="Miriam"/>
          <w:szCs w:val="32"/>
          <w:rtl/>
          <w:lang w:val="he-IL"/>
        </w:rPr>
        <w:pict w14:anchorId="5D191EE3">
          <v:shape id="_x0000_s1100" type="#_x0000_t202" style="position:absolute;left:0;text-align:left;margin-left:470.25pt;margin-top:5.5pt;width:1in;height:16.8pt;z-index:251657728" filled="f" stroked="f">
            <v:textbox style="mso-next-textbox:#_x0000_s1100" inset="1mm,,1mm">
              <w:txbxContent>
                <w:p w14:paraId="762DB590" w14:textId="77777777" w:rsidR="004014F6" w:rsidRDefault="004014F6">
                  <w:pPr>
                    <w:pStyle w:val="3"/>
                    <w:rPr>
                      <w:rFonts w:hint="cs"/>
                      <w:rtl/>
                    </w:rPr>
                  </w:pPr>
                  <w:r>
                    <w:rPr>
                      <w:rFonts w:hint="cs"/>
                      <w:rtl/>
                    </w:rPr>
                    <w:t>רצף זמנים</w:t>
                  </w:r>
                </w:p>
              </w:txbxContent>
            </v:textbox>
            <w10:anchorlock/>
          </v:shape>
        </w:pict>
      </w:r>
      <w:r>
        <w:rPr>
          <w:rStyle w:val="default"/>
          <w:rFonts w:cs="Miriam" w:hint="cs"/>
          <w:sz w:val="32"/>
          <w:szCs w:val="32"/>
          <w:rtl/>
        </w:rPr>
        <w:t>4</w:t>
      </w:r>
      <w:r>
        <w:rPr>
          <w:rStyle w:val="default"/>
          <w:rFonts w:cs="FrankRuehl" w:hint="cs"/>
          <w:rtl/>
        </w:rPr>
        <w:t>.</w:t>
      </w:r>
      <w:r>
        <w:rPr>
          <w:rStyle w:val="default"/>
          <w:rFonts w:cs="FrankRuehl" w:hint="cs"/>
          <w:rtl/>
        </w:rPr>
        <w:tab/>
        <w:t>לענין מניות כאמור בסעיף 2 או 3, יימנה תום התקופה מיום שהוקצו המניות בהקצאת מניות באמצעות נאמן בחברה המעבירה, או בחברה המתפצלת, לפי הענין.</w:t>
      </w:r>
    </w:p>
    <w:p w14:paraId="47C42317" w14:textId="77777777" w:rsidR="004014F6" w:rsidRDefault="004014F6">
      <w:pPr>
        <w:pStyle w:val="P00"/>
        <w:spacing w:before="72"/>
        <w:ind w:left="0" w:right="1134"/>
        <w:rPr>
          <w:rStyle w:val="default"/>
          <w:rFonts w:cs="FrankRuehl" w:hint="cs"/>
          <w:rtl/>
        </w:rPr>
      </w:pPr>
      <w:bookmarkStart w:id="4" w:name="Seif5"/>
      <w:bookmarkEnd w:id="4"/>
      <w:r>
        <w:rPr>
          <w:rFonts w:cs="Miriam"/>
          <w:szCs w:val="32"/>
          <w:rtl/>
          <w:lang w:val="he-IL"/>
        </w:rPr>
        <w:pict w14:anchorId="27C2CE32">
          <v:shape id="_x0000_s1101" type="#_x0000_t202" style="position:absolute;left:0;text-align:left;margin-left:470.25pt;margin-top:6.15pt;width:1in;height:16.8pt;z-index:251658752" filled="f" stroked="f">
            <v:textbox inset="1mm,,1mm">
              <w:txbxContent>
                <w:p w14:paraId="2918DE23" w14:textId="77777777" w:rsidR="004014F6" w:rsidRDefault="004014F6">
                  <w:pPr>
                    <w:pStyle w:val="3"/>
                    <w:rPr>
                      <w:rFonts w:hint="cs"/>
                      <w:rtl/>
                    </w:rPr>
                  </w:pPr>
                  <w:r>
                    <w:rPr>
                      <w:rFonts w:hint="cs"/>
                      <w:rtl/>
                    </w:rPr>
                    <w:t>התרת ההוצאה</w:t>
                  </w:r>
                </w:p>
              </w:txbxContent>
            </v:textbox>
            <w10:anchorlock/>
          </v:shape>
        </w:pict>
      </w:r>
      <w:r>
        <w:rPr>
          <w:rStyle w:val="default"/>
          <w:rFonts w:cs="Miriam" w:hint="cs"/>
          <w:sz w:val="32"/>
          <w:szCs w:val="32"/>
          <w:rtl/>
        </w:rPr>
        <w:t>5</w:t>
      </w:r>
      <w:r>
        <w:rPr>
          <w:rStyle w:val="default"/>
          <w:rFonts w:cs="FrankRuehl" w:hint="cs"/>
          <w:rtl/>
        </w:rPr>
        <w:t>.</w:t>
      </w:r>
      <w:r>
        <w:rPr>
          <w:rStyle w:val="default"/>
          <w:rFonts w:cs="FrankRuehl" w:hint="cs"/>
          <w:rtl/>
        </w:rPr>
        <w:tab/>
        <w:t>בכפוף לאמור בסעיף 102(2), תותר ההוצאה לחברה המעבידה שבה מועסק העובד במועד ניכוי המס ותשלומו לפקיד השומה.</w:t>
      </w:r>
    </w:p>
    <w:p w14:paraId="4A82F961" w14:textId="77777777" w:rsidR="004014F6" w:rsidRDefault="004014F6">
      <w:pPr>
        <w:pStyle w:val="P00"/>
        <w:spacing w:before="72"/>
        <w:ind w:left="0" w:right="1134"/>
        <w:rPr>
          <w:rStyle w:val="default"/>
          <w:rFonts w:cs="FrankRuehl" w:hint="cs"/>
          <w:rtl/>
        </w:rPr>
      </w:pPr>
      <w:bookmarkStart w:id="5" w:name="Seif6"/>
      <w:bookmarkEnd w:id="5"/>
      <w:r>
        <w:rPr>
          <w:rFonts w:cs="Miriam"/>
          <w:szCs w:val="32"/>
          <w:rtl/>
          <w:lang w:val="he-IL"/>
        </w:rPr>
        <w:pict w14:anchorId="776D24EF">
          <v:shape id="_x0000_s1102" type="#_x0000_t202" style="position:absolute;left:0;text-align:left;margin-left:470.25pt;margin-top:6.85pt;width:1in;height:16.8pt;z-index:251659776" filled="f" stroked="f">
            <v:textbox inset="1mm,,1mm">
              <w:txbxContent>
                <w:p w14:paraId="60699982" w14:textId="77777777" w:rsidR="004014F6" w:rsidRDefault="004014F6">
                  <w:pPr>
                    <w:pStyle w:val="3"/>
                    <w:rPr>
                      <w:rFonts w:hint="cs"/>
                      <w:rtl/>
                    </w:rPr>
                  </w:pPr>
                  <w:r>
                    <w:rPr>
                      <w:rFonts w:hint="cs"/>
                      <w:rtl/>
                    </w:rPr>
                    <w:t>ביטול</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 xml:space="preserve">כללי מס הכנסה (תיאומים לענין סעיף 102 במיזוג או בפיצול), התשנ"ה-1995 </w:t>
      </w:r>
      <w:r>
        <w:rPr>
          <w:rStyle w:val="default"/>
          <w:rFonts w:cs="FrankRuehl"/>
          <w:rtl/>
        </w:rPr>
        <w:t>–</w:t>
      </w:r>
      <w:r>
        <w:rPr>
          <w:rStyle w:val="default"/>
          <w:rFonts w:cs="FrankRuehl" w:hint="cs"/>
          <w:rtl/>
        </w:rPr>
        <w:t xml:space="preserve"> בטלים.</w:t>
      </w:r>
    </w:p>
    <w:p w14:paraId="1DA5D7C8" w14:textId="77777777" w:rsidR="004014F6" w:rsidRDefault="004014F6">
      <w:pPr>
        <w:pStyle w:val="P00"/>
        <w:spacing w:before="72"/>
        <w:ind w:left="0" w:right="1134"/>
        <w:rPr>
          <w:rStyle w:val="default"/>
          <w:rFonts w:cs="FrankRuehl" w:hint="cs"/>
          <w:rtl/>
        </w:rPr>
      </w:pPr>
      <w:bookmarkStart w:id="6" w:name="Seif7"/>
      <w:bookmarkEnd w:id="6"/>
      <w:r>
        <w:rPr>
          <w:rFonts w:cs="Miriam"/>
          <w:szCs w:val="32"/>
          <w:rtl/>
          <w:lang w:val="he-IL"/>
        </w:rPr>
        <w:pict w14:anchorId="312EDDAF">
          <v:shape id="_x0000_s1104" type="#_x0000_t202" style="position:absolute;left:0;text-align:left;margin-left:470.25pt;margin-top:3.7pt;width:1in;height:16.8pt;z-index:251660800" filled="f" stroked="f">
            <v:textbox inset="1mm,,1mm">
              <w:txbxContent>
                <w:p w14:paraId="16DC4B37" w14:textId="77777777" w:rsidR="004014F6" w:rsidRDefault="004014F6">
                  <w:pPr>
                    <w:pStyle w:val="3"/>
                    <w:rPr>
                      <w:rFonts w:hint="cs"/>
                      <w:rtl/>
                    </w:rPr>
                  </w:pPr>
                  <w:r>
                    <w:rPr>
                      <w:rFonts w:hint="cs"/>
                      <w:rtl/>
                    </w:rPr>
                    <w:t>תחילה ותחולה</w:t>
                  </w:r>
                </w:p>
              </w:txbxContent>
            </v:textbox>
            <w10:anchorlock/>
          </v:shape>
        </w:pict>
      </w:r>
      <w:r>
        <w:rPr>
          <w:rStyle w:val="default"/>
          <w:rFonts w:cs="Miriam" w:hint="cs"/>
          <w:sz w:val="32"/>
          <w:szCs w:val="32"/>
          <w:rtl/>
        </w:rPr>
        <w:t>7</w:t>
      </w:r>
      <w:r>
        <w:rPr>
          <w:rStyle w:val="default"/>
          <w:rFonts w:cs="FrankRuehl" w:hint="cs"/>
          <w:rtl/>
        </w:rPr>
        <w:t>.</w:t>
      </w:r>
      <w:r>
        <w:rPr>
          <w:rStyle w:val="default"/>
          <w:rFonts w:cs="FrankRuehl" w:hint="cs"/>
          <w:rtl/>
        </w:rPr>
        <w:tab/>
        <w:t xml:space="preserve">תחילתם של כללים אלה ביום כ"ז בטבת התשס"ג (1 בינואר 2003) והם יחולו על מניות שהוקצו </w:t>
      </w:r>
      <w:r w:rsidR="0017379C">
        <w:rPr>
          <w:rStyle w:val="default"/>
          <w:rFonts w:cs="FrankRuehl" w:hint="cs"/>
          <w:rtl/>
        </w:rPr>
        <w:t>ה</w:t>
      </w:r>
      <w:r>
        <w:rPr>
          <w:rStyle w:val="default"/>
          <w:rFonts w:cs="FrankRuehl" w:hint="cs"/>
          <w:rtl/>
        </w:rPr>
        <w:t>חל באותו מועד, והכללים שבוטלו כאמור בכלל 6 ימשיכו לחול על הקצאה מזכה שנעשתה לפני אותו מועד.</w:t>
      </w:r>
    </w:p>
    <w:p w14:paraId="7E53C974" w14:textId="77777777" w:rsidR="004014F6" w:rsidRDefault="004014F6">
      <w:pPr>
        <w:pStyle w:val="P00"/>
        <w:spacing w:before="72"/>
        <w:ind w:left="0" w:right="1134"/>
        <w:rPr>
          <w:rStyle w:val="default"/>
          <w:rFonts w:cs="FrankRuehl" w:hint="cs"/>
          <w:rtl/>
        </w:rPr>
      </w:pPr>
    </w:p>
    <w:p w14:paraId="6F645103" w14:textId="77777777" w:rsidR="004014F6" w:rsidRDefault="004014F6">
      <w:pPr>
        <w:pStyle w:val="P00"/>
        <w:spacing w:before="72"/>
        <w:ind w:left="0" w:right="1134"/>
        <w:rPr>
          <w:rStyle w:val="default"/>
          <w:rFonts w:cs="FrankRuehl" w:hint="cs"/>
          <w:rtl/>
        </w:rPr>
      </w:pPr>
    </w:p>
    <w:p w14:paraId="7684D340" w14:textId="77777777" w:rsidR="004014F6" w:rsidRDefault="004014F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כ"ז בטבת התשס"ג (1 בינואר 2003)</w:t>
      </w:r>
      <w:r>
        <w:rPr>
          <w:rStyle w:val="default"/>
          <w:rFonts w:cs="FrankRuehl" w:hint="cs"/>
          <w:rtl/>
        </w:rPr>
        <w:tab/>
        <w:t>טל ירון-אלדר</w:t>
      </w:r>
    </w:p>
    <w:p w14:paraId="60A9457E" w14:textId="77777777" w:rsidR="004014F6" w:rsidRDefault="004014F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Pr>
          <w:rStyle w:val="default"/>
          <w:rFonts w:cs="FrankRuehl" w:hint="cs"/>
          <w:sz w:val="22"/>
          <w:szCs w:val="22"/>
          <w:rtl/>
        </w:rPr>
        <w:tab/>
        <w:t>נציבת מס הכנסה</w:t>
      </w:r>
    </w:p>
    <w:p w14:paraId="58DBEDBB" w14:textId="77777777" w:rsidR="001255F8" w:rsidRPr="001255F8" w:rsidRDefault="001255F8" w:rsidP="001255F8">
      <w:pPr>
        <w:pStyle w:val="P00"/>
        <w:spacing w:before="72"/>
        <w:ind w:left="0" w:right="1134"/>
        <w:rPr>
          <w:rStyle w:val="default"/>
          <w:rFonts w:cs="FrankRuehl" w:hint="cs"/>
          <w:rtl/>
        </w:rPr>
      </w:pPr>
    </w:p>
    <w:p w14:paraId="083BFB8C" w14:textId="77777777" w:rsidR="001255F8" w:rsidRPr="001255F8" w:rsidRDefault="001255F8" w:rsidP="001255F8">
      <w:pPr>
        <w:pStyle w:val="P00"/>
        <w:spacing w:before="72"/>
        <w:ind w:left="0" w:right="1134"/>
        <w:rPr>
          <w:rStyle w:val="default"/>
          <w:rFonts w:cs="FrankRuehl" w:hint="cs"/>
          <w:rtl/>
        </w:rPr>
      </w:pPr>
    </w:p>
    <w:p w14:paraId="002DF0D2" w14:textId="77777777" w:rsidR="001255F8" w:rsidRPr="001255F8" w:rsidRDefault="001255F8" w:rsidP="001255F8">
      <w:pPr>
        <w:pStyle w:val="P00"/>
        <w:spacing w:before="72"/>
        <w:ind w:left="0" w:right="1134"/>
        <w:rPr>
          <w:rStyle w:val="default"/>
          <w:rFonts w:cs="FrankRuehl" w:hint="cs"/>
          <w:rtl/>
        </w:rPr>
      </w:pPr>
    </w:p>
    <w:sectPr w:rsidR="001255F8" w:rsidRPr="001255F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45B07" w14:textId="77777777" w:rsidR="00B64E4A" w:rsidRDefault="00B64E4A">
      <w:r>
        <w:separator/>
      </w:r>
    </w:p>
  </w:endnote>
  <w:endnote w:type="continuationSeparator" w:id="0">
    <w:p w14:paraId="3D0D8D8B" w14:textId="77777777" w:rsidR="00B64E4A" w:rsidRDefault="00B6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5DE14" w14:textId="77777777" w:rsidR="004014F6" w:rsidRDefault="004014F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A257AD5" w14:textId="77777777" w:rsidR="004014F6" w:rsidRDefault="004014F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AE627DB" w14:textId="77777777" w:rsidR="004014F6" w:rsidRDefault="004014F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1DCE">
      <w:rPr>
        <w:rFonts w:cs="TopType Jerushalmi"/>
        <w:noProof/>
        <w:color w:val="000000"/>
        <w:sz w:val="14"/>
        <w:szCs w:val="14"/>
      </w:rPr>
      <w:t>Z:\000000000000-law\yael\08-10-12\999_095.doc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8F391" w14:textId="77777777" w:rsidR="004014F6" w:rsidRDefault="004014F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E178C">
      <w:rPr>
        <w:rFonts w:hAnsi="FrankRuehl" w:cs="FrankRuehl"/>
        <w:noProof/>
        <w:sz w:val="24"/>
        <w:szCs w:val="24"/>
        <w:rtl/>
      </w:rPr>
      <w:t>2</w:t>
    </w:r>
    <w:r>
      <w:rPr>
        <w:rFonts w:hAnsi="FrankRuehl" w:cs="FrankRuehl"/>
        <w:sz w:val="24"/>
        <w:szCs w:val="24"/>
        <w:rtl/>
      </w:rPr>
      <w:fldChar w:fldCharType="end"/>
    </w:r>
  </w:p>
  <w:p w14:paraId="3E24FCB5" w14:textId="77777777" w:rsidR="004014F6" w:rsidRDefault="004014F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BFF8F56" w14:textId="77777777" w:rsidR="004014F6" w:rsidRDefault="004014F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B1DCE">
      <w:rPr>
        <w:rFonts w:cs="TopType Jerushalmi"/>
        <w:noProof/>
        <w:color w:val="000000"/>
        <w:sz w:val="14"/>
        <w:szCs w:val="14"/>
      </w:rPr>
      <w:t>Z:\000000000000-law\yael\08-10-12\999_095.doc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B5BF6" w14:textId="77777777" w:rsidR="00B64E4A" w:rsidRDefault="00B64E4A" w:rsidP="001255F8">
      <w:pPr>
        <w:spacing w:before="60" w:line="240" w:lineRule="auto"/>
        <w:ind w:right="1134"/>
      </w:pPr>
      <w:r>
        <w:separator/>
      </w:r>
    </w:p>
  </w:footnote>
  <w:footnote w:type="continuationSeparator" w:id="0">
    <w:p w14:paraId="32D9E2C2" w14:textId="77777777" w:rsidR="00B64E4A" w:rsidRDefault="00B64E4A">
      <w:r>
        <w:continuationSeparator/>
      </w:r>
    </w:p>
  </w:footnote>
  <w:footnote w:id="1">
    <w:p w14:paraId="3B9251EE" w14:textId="77777777" w:rsidR="001255F8" w:rsidRDefault="001255F8" w:rsidP="001255F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5767BC">
          <w:rPr>
            <w:rStyle w:val="Hyperlink"/>
            <w:rFonts w:hint="cs"/>
            <w:sz w:val="20"/>
            <w:rtl/>
          </w:rPr>
          <w:t>ק"ת תשס"ג מס' 6222</w:t>
        </w:r>
      </w:hyperlink>
      <w:r>
        <w:rPr>
          <w:rFonts w:hint="cs"/>
          <w:sz w:val="20"/>
          <w:rtl/>
        </w:rPr>
        <w:t xml:space="preserve"> מיום 21.1.2003 עמ' 447.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24082" w14:textId="77777777" w:rsidR="004014F6" w:rsidRDefault="004014F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14:paraId="324170F4" w14:textId="77777777" w:rsidR="004014F6" w:rsidRDefault="004014F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396FD30" w14:textId="77777777" w:rsidR="004014F6" w:rsidRDefault="004014F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E6B34" w14:textId="77777777" w:rsidR="004014F6" w:rsidRDefault="004014F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כללי מס הכנסה (תיאומים לענין סעיף 102 במיזוג או בפיצול), תשס"ג-2003</w:t>
    </w:r>
  </w:p>
  <w:p w14:paraId="52A358B8" w14:textId="77777777" w:rsidR="004014F6" w:rsidRDefault="004014F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F8F78D7" w14:textId="77777777" w:rsidR="004014F6" w:rsidRDefault="004014F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67BC"/>
    <w:rsid w:val="000771B1"/>
    <w:rsid w:val="001255F8"/>
    <w:rsid w:val="0017379C"/>
    <w:rsid w:val="002C686F"/>
    <w:rsid w:val="004014F6"/>
    <w:rsid w:val="0040302E"/>
    <w:rsid w:val="005767BC"/>
    <w:rsid w:val="005C6A44"/>
    <w:rsid w:val="006D3135"/>
    <w:rsid w:val="007E178C"/>
    <w:rsid w:val="00A02B9B"/>
    <w:rsid w:val="00B64E4A"/>
    <w:rsid w:val="00DB1D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298581AA"/>
  <w15:chartTrackingRefBased/>
  <w15:docId w15:val="{836B6FF2-D876-4135-851D-3B1082D9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2000</CharactersWithSpaces>
  <SharedDoc>false</SharedDoc>
  <HLinks>
    <vt:vector size="48" baseType="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8192008</vt:i4>
      </vt:variant>
      <vt:variant>
        <vt:i4>0</vt:i4>
      </vt:variant>
      <vt:variant>
        <vt:i4>0</vt:i4>
      </vt:variant>
      <vt:variant>
        <vt:i4>5</vt:i4>
      </vt:variant>
      <vt:variant>
        <vt:lpwstr>http://www.nevo.co.il/Law_word/law06/TAK-6222.pdf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hofit</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כללי מס הכנסה (תיאומים לענין סעיף 102 במיזוג או בפיצול), תשס"ג-2003</vt:lpwstr>
  </property>
  <property fmtid="{D5CDD505-2E9C-101B-9397-08002B2CF9AE}" pid="4" name="LAWNUMBER">
    <vt:lpwstr>0095</vt:lpwstr>
  </property>
  <property fmtid="{D5CDD505-2E9C-101B-9397-08002B2CF9AE}" pid="5" name="TYPE">
    <vt:lpwstr>01</vt:lpwstr>
  </property>
  <property fmtid="{D5CDD505-2E9C-101B-9397-08002B2CF9AE}" pid="6" name="MEKOR_NAME1">
    <vt:lpwstr>פקודת מס הכנסה </vt:lpwstr>
  </property>
  <property fmtid="{D5CDD505-2E9C-101B-9397-08002B2CF9AE}" pid="7" name="MEKOR_SAIF1">
    <vt:lpwstr>103טזX;105חXאX</vt:lpwstr>
  </property>
  <property fmtid="{D5CDD505-2E9C-101B-9397-08002B2CF9AE}" pid="8" name="NOSE11">
    <vt:lpwstr>מסים</vt:lpwstr>
  </property>
  <property fmtid="{D5CDD505-2E9C-101B-9397-08002B2CF9AE}" pid="9" name="NOSE21">
    <vt:lpwstr>מס הכנסה</vt:lpwstr>
  </property>
  <property fmtid="{D5CDD505-2E9C-101B-9397-08002B2CF9AE}" pid="10" name="NOSE31">
    <vt:lpwstr>תיאומים</vt:lpwstr>
  </property>
  <property fmtid="{D5CDD505-2E9C-101B-9397-08002B2CF9AE}" pid="11" name="NOSE41">
    <vt:lpwstr>תיאומים לענין מיזוג</vt:lpwstr>
  </property>
  <property fmtid="{D5CDD505-2E9C-101B-9397-08002B2CF9AE}" pid="12" name="NOSE12">
    <vt:lpwstr>מסים</vt:lpwstr>
  </property>
  <property fmtid="{D5CDD505-2E9C-101B-9397-08002B2CF9AE}" pid="13" name="NOSE22">
    <vt:lpwstr>מס הכנסה</vt:lpwstr>
  </property>
  <property fmtid="{D5CDD505-2E9C-101B-9397-08002B2CF9AE}" pid="14" name="NOSE32">
    <vt:lpwstr>חברות</vt:lpwstr>
  </property>
  <property fmtid="{D5CDD505-2E9C-101B-9397-08002B2CF9AE}" pid="15" name="NOSE42">
    <vt:lpwstr>מיזוג</vt:lpwstr>
  </property>
  <property fmtid="{D5CDD505-2E9C-101B-9397-08002B2CF9AE}" pid="16" name="NOSE13">
    <vt:lpwstr/>
  </property>
  <property fmtid="{D5CDD505-2E9C-101B-9397-08002B2CF9AE}" pid="17" name="NOSE23">
    <vt:lpwstr/>
  </property>
  <property fmtid="{D5CDD505-2E9C-101B-9397-08002B2CF9AE}" pid="18" name="NOSE33">
    <vt:lpwstr/>
  </property>
  <property fmtid="{D5CDD505-2E9C-101B-9397-08002B2CF9AE}" pid="19" name="NOSE43">
    <vt:lpwstr/>
  </property>
  <property fmtid="{D5CDD505-2E9C-101B-9397-08002B2CF9AE}" pid="20" name="NOSE14">
    <vt:lpwstr/>
  </property>
  <property fmtid="{D5CDD505-2E9C-101B-9397-08002B2CF9AE}" pid="21" name="NOSE24">
    <vt:lpwstr/>
  </property>
  <property fmtid="{D5CDD505-2E9C-101B-9397-08002B2CF9AE}" pid="22" name="NOSE34">
    <vt:lpwstr/>
  </property>
  <property fmtid="{D5CDD505-2E9C-101B-9397-08002B2CF9AE}" pid="23" name="NOSE44">
    <vt:lpwstr/>
  </property>
  <property fmtid="{D5CDD505-2E9C-101B-9397-08002B2CF9AE}" pid="24" name="NOSE15">
    <vt:lpwstr/>
  </property>
  <property fmtid="{D5CDD505-2E9C-101B-9397-08002B2CF9AE}" pid="25" name="NOSE25">
    <vt:lpwstr/>
  </property>
  <property fmtid="{D5CDD505-2E9C-101B-9397-08002B2CF9AE}" pid="26" name="NOSE35">
    <vt:lpwstr/>
  </property>
  <property fmtid="{D5CDD505-2E9C-101B-9397-08002B2CF9AE}" pid="27" name="NOSE45">
    <vt:lpwstr/>
  </property>
  <property fmtid="{D5CDD505-2E9C-101B-9397-08002B2CF9AE}" pid="28" name="NOSE16">
    <vt:lpwstr/>
  </property>
  <property fmtid="{D5CDD505-2E9C-101B-9397-08002B2CF9AE}" pid="29" name="NOSE26">
    <vt:lpwstr/>
  </property>
  <property fmtid="{D5CDD505-2E9C-101B-9397-08002B2CF9AE}" pid="30" name="NOSE36">
    <vt:lpwstr/>
  </property>
  <property fmtid="{D5CDD505-2E9C-101B-9397-08002B2CF9AE}" pid="31" name="NOSE46">
    <vt:lpwstr/>
  </property>
  <property fmtid="{D5CDD505-2E9C-101B-9397-08002B2CF9AE}" pid="32" name="NOSE17">
    <vt:lpwstr/>
  </property>
  <property fmtid="{D5CDD505-2E9C-101B-9397-08002B2CF9AE}" pid="33" name="NOSE27">
    <vt:lpwstr/>
  </property>
  <property fmtid="{D5CDD505-2E9C-101B-9397-08002B2CF9AE}" pid="34" name="NOSE37">
    <vt:lpwstr/>
  </property>
  <property fmtid="{D5CDD505-2E9C-101B-9397-08002B2CF9AE}" pid="35" name="NOSE47">
    <vt:lpwstr/>
  </property>
  <property fmtid="{D5CDD505-2E9C-101B-9397-08002B2CF9AE}" pid="36" name="NOSE18">
    <vt:lpwstr/>
  </property>
  <property fmtid="{D5CDD505-2E9C-101B-9397-08002B2CF9AE}" pid="37" name="NOSE28">
    <vt:lpwstr/>
  </property>
  <property fmtid="{D5CDD505-2E9C-101B-9397-08002B2CF9AE}" pid="38" name="NOSE38">
    <vt:lpwstr/>
  </property>
  <property fmtid="{D5CDD505-2E9C-101B-9397-08002B2CF9AE}" pid="39" name="NOSE48">
    <vt:lpwstr/>
  </property>
  <property fmtid="{D5CDD505-2E9C-101B-9397-08002B2CF9AE}" pid="40" name="NOSE19">
    <vt:lpwstr/>
  </property>
  <property fmtid="{D5CDD505-2E9C-101B-9397-08002B2CF9AE}" pid="41" name="NOSE29">
    <vt:lpwstr/>
  </property>
  <property fmtid="{D5CDD505-2E9C-101B-9397-08002B2CF9AE}" pid="42" name="NOSE39">
    <vt:lpwstr/>
  </property>
  <property fmtid="{D5CDD505-2E9C-101B-9397-08002B2CF9AE}" pid="43" name="NOSE49">
    <vt:lpwstr/>
  </property>
  <property fmtid="{D5CDD505-2E9C-101B-9397-08002B2CF9AE}" pid="44" name="NOSE110">
    <vt:lpwstr/>
  </property>
  <property fmtid="{D5CDD505-2E9C-101B-9397-08002B2CF9AE}" pid="45" name="NOSE210">
    <vt:lpwstr/>
  </property>
  <property fmtid="{D5CDD505-2E9C-101B-9397-08002B2CF9AE}" pid="46" name="NOSE310">
    <vt:lpwstr/>
  </property>
  <property fmtid="{D5CDD505-2E9C-101B-9397-08002B2CF9AE}" pid="47" name="NOSE410">
    <vt:lpwstr/>
  </property>
</Properties>
</file>