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E36" w:rsidRDefault="004353AC" w:rsidP="004353AC">
      <w:pPr>
        <w:pStyle w:val="big-header"/>
        <w:ind w:left="0" w:right="1134"/>
        <w:rPr>
          <w:rFonts w:cs="FrankRuehl" w:hint="cs"/>
          <w:sz w:val="32"/>
          <w:rtl/>
        </w:rPr>
      </w:pPr>
      <w:r>
        <w:rPr>
          <w:rFonts w:cs="FrankRuehl" w:hint="cs"/>
          <w:sz w:val="32"/>
          <w:rtl/>
        </w:rPr>
        <w:t>כללי</w:t>
      </w:r>
      <w:r w:rsidR="00081E36">
        <w:rPr>
          <w:rFonts w:cs="FrankRuehl" w:hint="cs"/>
          <w:sz w:val="32"/>
          <w:rtl/>
        </w:rPr>
        <w:t xml:space="preserve"> ניירות ערך (</w:t>
      </w:r>
      <w:r>
        <w:rPr>
          <w:rFonts w:cs="FrankRuehl" w:hint="cs"/>
          <w:sz w:val="32"/>
          <w:rtl/>
        </w:rPr>
        <w:t>מקרים שבהם פרסום דוח הצעת מדף יהיה טעון היתר מאת רשות ניירות ערך), תשע"ו-2016</w:t>
      </w:r>
    </w:p>
    <w:p w:rsidR="00D02944" w:rsidRDefault="00D02944" w:rsidP="00D02944">
      <w:pPr>
        <w:spacing w:line="320" w:lineRule="auto"/>
        <w:rPr>
          <w:rStyle w:val="default"/>
          <w:rFonts w:hint="cs"/>
          <w:sz w:val="22"/>
          <w:szCs w:val="22"/>
          <w:rtl/>
        </w:rPr>
      </w:pPr>
    </w:p>
    <w:p w:rsidR="004D0387" w:rsidRDefault="004D0387" w:rsidP="00D02944">
      <w:pPr>
        <w:spacing w:line="320" w:lineRule="auto"/>
        <w:rPr>
          <w:rStyle w:val="default"/>
          <w:rFonts w:hint="cs"/>
          <w:sz w:val="22"/>
          <w:szCs w:val="22"/>
          <w:rtl/>
        </w:rPr>
      </w:pPr>
    </w:p>
    <w:p w:rsidR="00D02944" w:rsidRDefault="00D02944" w:rsidP="00D02944">
      <w:pPr>
        <w:spacing w:line="320" w:lineRule="auto"/>
        <w:rPr>
          <w:rStyle w:val="default"/>
          <w:rFonts w:cs="FrankRuehl"/>
          <w:sz w:val="22"/>
          <w:rtl/>
        </w:rPr>
      </w:pPr>
      <w:r w:rsidRPr="00D02944">
        <w:rPr>
          <w:rStyle w:val="default"/>
          <w:rFonts w:cs="Miriam"/>
          <w:sz w:val="22"/>
          <w:szCs w:val="22"/>
          <w:rtl/>
        </w:rPr>
        <w:t>משפט פרטי וכלכלה</w:t>
      </w:r>
      <w:r w:rsidRPr="00D02944">
        <w:rPr>
          <w:rStyle w:val="default"/>
          <w:rFonts w:cs="FrankRuehl"/>
          <w:sz w:val="22"/>
          <w:rtl/>
        </w:rPr>
        <w:t xml:space="preserve"> – תאגידים וניירות ערך – ניירות ערך</w:t>
      </w:r>
    </w:p>
    <w:p w:rsidR="00D02944" w:rsidRPr="00D02944" w:rsidRDefault="00D02944" w:rsidP="00D02944">
      <w:pPr>
        <w:spacing w:line="320" w:lineRule="auto"/>
        <w:rPr>
          <w:rStyle w:val="default"/>
          <w:rFonts w:cs="Miriam" w:hint="cs"/>
          <w:sz w:val="22"/>
          <w:szCs w:val="22"/>
          <w:rtl/>
        </w:rPr>
      </w:pPr>
      <w:r w:rsidRPr="00D02944">
        <w:rPr>
          <w:rStyle w:val="default"/>
          <w:rFonts w:cs="Miriam"/>
          <w:sz w:val="22"/>
          <w:szCs w:val="22"/>
          <w:rtl/>
        </w:rPr>
        <w:t>משפט פרטי וכלכלה</w:t>
      </w:r>
      <w:r w:rsidRPr="00D02944">
        <w:rPr>
          <w:rStyle w:val="default"/>
          <w:rFonts w:cs="FrankRuehl"/>
          <w:sz w:val="22"/>
          <w:rtl/>
        </w:rPr>
        <w:t xml:space="preserve"> – תאגידים וניירות ערך – תשקיפים</w:t>
      </w:r>
    </w:p>
    <w:p w:rsidR="00081E36" w:rsidRDefault="00081E3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2372F" w:rsidRPr="0082372F" w:rsidTr="0082372F">
        <w:tblPrEx>
          <w:tblCellMar>
            <w:top w:w="0" w:type="dxa"/>
            <w:bottom w:w="0" w:type="dxa"/>
          </w:tblCellMar>
        </w:tblPrEx>
        <w:tc>
          <w:tcPr>
            <w:tcW w:w="1247" w:type="dxa"/>
          </w:tcPr>
          <w:p w:rsidR="0082372F" w:rsidRPr="0082372F" w:rsidRDefault="0082372F" w:rsidP="0082372F">
            <w:pPr>
              <w:rPr>
                <w:rFonts w:cs="Frankruhel" w:hint="cs"/>
                <w:rtl/>
              </w:rPr>
            </w:pPr>
            <w:r>
              <w:rPr>
                <w:rtl/>
              </w:rPr>
              <w:t xml:space="preserve">סעיף 1 </w:t>
            </w:r>
          </w:p>
        </w:tc>
        <w:tc>
          <w:tcPr>
            <w:tcW w:w="5669" w:type="dxa"/>
          </w:tcPr>
          <w:p w:rsidR="0082372F" w:rsidRPr="0082372F" w:rsidRDefault="0082372F" w:rsidP="0082372F">
            <w:pPr>
              <w:rPr>
                <w:rFonts w:cs="Frankruhel" w:hint="cs"/>
                <w:rtl/>
              </w:rPr>
            </w:pPr>
            <w:r>
              <w:rPr>
                <w:rtl/>
              </w:rPr>
              <w:t>הגדרות</w:t>
            </w:r>
          </w:p>
        </w:tc>
        <w:tc>
          <w:tcPr>
            <w:tcW w:w="567" w:type="dxa"/>
          </w:tcPr>
          <w:p w:rsidR="0082372F" w:rsidRPr="0082372F" w:rsidRDefault="0082372F" w:rsidP="0082372F">
            <w:pPr>
              <w:rPr>
                <w:rStyle w:val="Hyperlink"/>
                <w:rFonts w:hint="cs"/>
                <w:rtl/>
              </w:rPr>
            </w:pPr>
            <w:hyperlink w:anchor="Seif1" w:tooltip="הגדרות" w:history="1">
              <w:r w:rsidRPr="0082372F">
                <w:rPr>
                  <w:rStyle w:val="Hyperlink"/>
                </w:rPr>
                <w:t>Go</w:t>
              </w:r>
            </w:hyperlink>
          </w:p>
        </w:tc>
        <w:tc>
          <w:tcPr>
            <w:tcW w:w="850" w:type="dxa"/>
          </w:tcPr>
          <w:p w:rsidR="0082372F" w:rsidRPr="0082372F" w:rsidRDefault="0082372F" w:rsidP="0082372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2372F" w:rsidRPr="0082372F" w:rsidTr="0082372F">
        <w:tblPrEx>
          <w:tblCellMar>
            <w:top w:w="0" w:type="dxa"/>
            <w:bottom w:w="0" w:type="dxa"/>
          </w:tblCellMar>
        </w:tblPrEx>
        <w:tc>
          <w:tcPr>
            <w:tcW w:w="1247" w:type="dxa"/>
          </w:tcPr>
          <w:p w:rsidR="0082372F" w:rsidRPr="0082372F" w:rsidRDefault="0082372F" w:rsidP="0082372F">
            <w:pPr>
              <w:rPr>
                <w:rFonts w:cs="Frankruhel" w:hint="cs"/>
                <w:rtl/>
              </w:rPr>
            </w:pPr>
            <w:r>
              <w:rPr>
                <w:rtl/>
              </w:rPr>
              <w:t xml:space="preserve">סעיף 2 </w:t>
            </w:r>
          </w:p>
        </w:tc>
        <w:tc>
          <w:tcPr>
            <w:tcW w:w="5669" w:type="dxa"/>
          </w:tcPr>
          <w:p w:rsidR="0082372F" w:rsidRPr="0082372F" w:rsidRDefault="0082372F" w:rsidP="0082372F">
            <w:pPr>
              <w:rPr>
                <w:rFonts w:cs="Frankruhel" w:hint="cs"/>
                <w:rtl/>
              </w:rPr>
            </w:pPr>
            <w:r>
              <w:rPr>
                <w:rtl/>
              </w:rPr>
              <w:t>מקרים שבהם נדרש היתר</w:t>
            </w:r>
          </w:p>
        </w:tc>
        <w:tc>
          <w:tcPr>
            <w:tcW w:w="567" w:type="dxa"/>
          </w:tcPr>
          <w:p w:rsidR="0082372F" w:rsidRPr="0082372F" w:rsidRDefault="0082372F" w:rsidP="0082372F">
            <w:pPr>
              <w:rPr>
                <w:rStyle w:val="Hyperlink"/>
                <w:rFonts w:hint="cs"/>
                <w:rtl/>
              </w:rPr>
            </w:pPr>
            <w:hyperlink w:anchor="Seif2" w:tooltip="מקרים שבהם נדרש היתר" w:history="1">
              <w:r w:rsidRPr="0082372F">
                <w:rPr>
                  <w:rStyle w:val="Hyperlink"/>
                </w:rPr>
                <w:t>Go</w:t>
              </w:r>
            </w:hyperlink>
          </w:p>
        </w:tc>
        <w:tc>
          <w:tcPr>
            <w:tcW w:w="850" w:type="dxa"/>
          </w:tcPr>
          <w:p w:rsidR="0082372F" w:rsidRPr="0082372F" w:rsidRDefault="0082372F" w:rsidP="0082372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2372F" w:rsidRPr="0082372F" w:rsidTr="0082372F">
        <w:tblPrEx>
          <w:tblCellMar>
            <w:top w:w="0" w:type="dxa"/>
            <w:bottom w:w="0" w:type="dxa"/>
          </w:tblCellMar>
        </w:tblPrEx>
        <w:tc>
          <w:tcPr>
            <w:tcW w:w="1247" w:type="dxa"/>
          </w:tcPr>
          <w:p w:rsidR="0082372F" w:rsidRPr="0082372F" w:rsidRDefault="0082372F" w:rsidP="0082372F">
            <w:pPr>
              <w:rPr>
                <w:rFonts w:cs="Frankruhel" w:hint="cs"/>
                <w:rtl/>
              </w:rPr>
            </w:pPr>
            <w:r>
              <w:rPr>
                <w:rtl/>
              </w:rPr>
              <w:t xml:space="preserve">סעיף 3 </w:t>
            </w:r>
          </w:p>
        </w:tc>
        <w:tc>
          <w:tcPr>
            <w:tcW w:w="5669" w:type="dxa"/>
          </w:tcPr>
          <w:p w:rsidR="0082372F" w:rsidRPr="0082372F" w:rsidRDefault="0082372F" w:rsidP="0082372F">
            <w:pPr>
              <w:rPr>
                <w:rFonts w:cs="Frankruhel" w:hint="cs"/>
                <w:rtl/>
              </w:rPr>
            </w:pPr>
            <w:r>
              <w:rPr>
                <w:rtl/>
              </w:rPr>
              <w:t>תחילה</w:t>
            </w:r>
          </w:p>
        </w:tc>
        <w:tc>
          <w:tcPr>
            <w:tcW w:w="567" w:type="dxa"/>
          </w:tcPr>
          <w:p w:rsidR="0082372F" w:rsidRPr="0082372F" w:rsidRDefault="0082372F" w:rsidP="0082372F">
            <w:pPr>
              <w:rPr>
                <w:rStyle w:val="Hyperlink"/>
                <w:rFonts w:hint="cs"/>
                <w:rtl/>
              </w:rPr>
            </w:pPr>
            <w:hyperlink w:anchor="Seif3" w:tooltip="תחילה" w:history="1">
              <w:r w:rsidRPr="0082372F">
                <w:rPr>
                  <w:rStyle w:val="Hyperlink"/>
                </w:rPr>
                <w:t>Go</w:t>
              </w:r>
            </w:hyperlink>
          </w:p>
        </w:tc>
        <w:tc>
          <w:tcPr>
            <w:tcW w:w="850" w:type="dxa"/>
          </w:tcPr>
          <w:p w:rsidR="0082372F" w:rsidRPr="0082372F" w:rsidRDefault="0082372F" w:rsidP="0082372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081E36" w:rsidRDefault="00081E36">
      <w:pPr>
        <w:pStyle w:val="big-header"/>
        <w:ind w:left="0" w:right="1134"/>
        <w:rPr>
          <w:rFonts w:cs="FrankRuehl" w:hint="cs"/>
          <w:sz w:val="32"/>
          <w:rtl/>
        </w:rPr>
      </w:pPr>
    </w:p>
    <w:p w:rsidR="00081E36" w:rsidRDefault="00081E36" w:rsidP="00300C4B">
      <w:pPr>
        <w:pStyle w:val="big-header"/>
        <w:ind w:left="0" w:right="1134"/>
        <w:rPr>
          <w:rStyle w:val="default"/>
          <w:rFonts w:hint="cs"/>
          <w:sz w:val="22"/>
          <w:szCs w:val="22"/>
          <w:rtl/>
        </w:rPr>
      </w:pPr>
      <w:r>
        <w:rPr>
          <w:rFonts w:cs="FrankRuehl"/>
          <w:sz w:val="32"/>
          <w:rtl/>
        </w:rPr>
        <w:br w:type="page"/>
      </w:r>
      <w:r w:rsidR="00300C4B">
        <w:rPr>
          <w:rFonts w:cs="FrankRuehl" w:hint="cs"/>
          <w:sz w:val="32"/>
          <w:rtl/>
        </w:rPr>
        <w:lastRenderedPageBreak/>
        <w:t>כללי</w:t>
      </w:r>
      <w:r>
        <w:rPr>
          <w:rFonts w:cs="FrankRuehl" w:hint="cs"/>
          <w:sz w:val="32"/>
          <w:rtl/>
        </w:rPr>
        <w:t xml:space="preserve"> ניירות ערך (</w:t>
      </w:r>
      <w:r w:rsidR="004353AC">
        <w:rPr>
          <w:rFonts w:cs="FrankRuehl" w:hint="cs"/>
          <w:sz w:val="32"/>
          <w:rtl/>
        </w:rPr>
        <w:t>מקרים שבהם פרסום דוח הצעת מדף יהיה טעון היתר מאת רשות ניירות ערך), תשע"ו-2016</w:t>
      </w:r>
      <w:r>
        <w:rPr>
          <w:rStyle w:val="default"/>
          <w:sz w:val="22"/>
          <w:szCs w:val="22"/>
          <w:rtl/>
        </w:rPr>
        <w:footnoteReference w:customMarkFollows="1" w:id="1"/>
        <w:t>*</w:t>
      </w:r>
    </w:p>
    <w:p w:rsidR="00081E36" w:rsidRDefault="00081E36" w:rsidP="00602685">
      <w:pPr>
        <w:pStyle w:val="P00"/>
        <w:spacing w:before="72"/>
        <w:ind w:left="0" w:right="1134"/>
        <w:rPr>
          <w:rStyle w:val="default"/>
          <w:rFonts w:cs="FrankRuehl" w:hint="cs"/>
          <w:rtl/>
        </w:rPr>
      </w:pPr>
      <w:r>
        <w:rPr>
          <w:rStyle w:val="default"/>
          <w:rFonts w:cs="FrankRuehl" w:hint="cs"/>
          <w:rtl/>
        </w:rPr>
        <w:tab/>
      </w:r>
      <w:r w:rsidR="00602685">
        <w:rPr>
          <w:rStyle w:val="default"/>
          <w:rFonts w:cs="FrankRuehl" w:hint="cs"/>
          <w:rtl/>
        </w:rPr>
        <w:t xml:space="preserve">ניתנת בזה הודעה, כי בתוקף סמכותה לפי סעיף 23א(ז)(1) לחוק ניירות ערך, התשכ"ח-1968 (להלן </w:t>
      </w:r>
      <w:r w:rsidR="00602685">
        <w:rPr>
          <w:rStyle w:val="default"/>
          <w:rFonts w:cs="FrankRuehl"/>
          <w:rtl/>
        </w:rPr>
        <w:t>–</w:t>
      </w:r>
      <w:r w:rsidR="00602685">
        <w:rPr>
          <w:rStyle w:val="default"/>
          <w:rFonts w:cs="FrankRuehl" w:hint="cs"/>
          <w:rtl/>
        </w:rPr>
        <w:t xml:space="preserve"> החוק), קבעה רשות ניירות ערך (להלן </w:t>
      </w:r>
      <w:r w:rsidR="00602685">
        <w:rPr>
          <w:rStyle w:val="default"/>
          <w:rFonts w:cs="FrankRuehl"/>
          <w:rtl/>
        </w:rPr>
        <w:t>–</w:t>
      </w:r>
      <w:r w:rsidR="00602685">
        <w:rPr>
          <w:rStyle w:val="default"/>
          <w:rFonts w:cs="FrankRuehl" w:hint="cs"/>
          <w:rtl/>
        </w:rPr>
        <w:t xml:space="preserve"> הרשות) מקרים שבהם דוח הצעת מדף יהיה טעון היתר מאת הרשות כדלהלן</w:t>
      </w:r>
      <w:r>
        <w:rPr>
          <w:rStyle w:val="default"/>
          <w:rFonts w:cs="FrankRuehl"/>
          <w:rtl/>
        </w:rPr>
        <w:t>:</w:t>
      </w:r>
    </w:p>
    <w:p w:rsidR="00081E36" w:rsidRDefault="00081E36" w:rsidP="00162F22">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8.05pt;width:70.55pt;height:9.35pt;z-index:251654144" filled="f" stroked="f" strokecolor="lime" strokeweight=".25pt">
            <v:textbox style="mso-next-textbox:#_x0000_s1026" inset="1mm,0,1mm,0">
              <w:txbxContent>
                <w:p w:rsidR="00222CC3" w:rsidRDefault="00162F2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4D0387">
        <w:rPr>
          <w:rStyle w:val="default"/>
          <w:rFonts w:cs="FrankRuehl"/>
          <w:rtl/>
        </w:rPr>
        <w:t>.</w:t>
      </w:r>
      <w:r w:rsidRPr="004D0387">
        <w:rPr>
          <w:rStyle w:val="default"/>
          <w:rFonts w:cs="FrankRuehl"/>
          <w:rtl/>
        </w:rPr>
        <w:tab/>
      </w:r>
      <w:r w:rsidR="00162F22">
        <w:rPr>
          <w:rStyle w:val="default"/>
          <w:rFonts w:cs="FrankRuehl" w:hint="cs"/>
          <w:rtl/>
        </w:rPr>
        <w:t>בכללים אלה</w:t>
      </w:r>
      <w:r w:rsidRPr="004D0387">
        <w:rPr>
          <w:rStyle w:val="default"/>
          <w:rFonts w:cs="FrankRuehl"/>
          <w:rtl/>
        </w:rPr>
        <w:t>:</w:t>
      </w:r>
    </w:p>
    <w:p w:rsidR="00162F22" w:rsidRDefault="00656DBA" w:rsidP="00656DBA">
      <w:pPr>
        <w:pStyle w:val="P00"/>
        <w:spacing w:before="72"/>
        <w:ind w:left="0" w:right="1134"/>
        <w:rPr>
          <w:rStyle w:val="default"/>
          <w:rFonts w:cs="FrankRuehl"/>
          <w:rtl/>
        </w:rPr>
      </w:pPr>
      <w:r>
        <w:rPr>
          <w:rFonts w:cs="FrankRuehl" w:hint="cs"/>
          <w:sz w:val="26"/>
          <w:rtl/>
          <w:lang w:eastAsia="en-US"/>
        </w:rPr>
        <w:pict>
          <v:shapetype id="_x0000_t202" coordsize="21600,21600" o:spt="202" path="m,l,21600r21600,l21600,xe">
            <v:stroke joinstyle="miter"/>
            <v:path gradientshapeok="t" o:connecttype="rect"/>
          </v:shapetype>
          <v:shape id="_x0000_s1202" type="#_x0000_t202" style="position:absolute;left:0;text-align:left;margin-left:463.75pt;margin-top:7.1pt;width:78.6pt;height:11.45pt;z-index:251657216" filled="f" stroked="f">
            <v:textbox inset="1mm,0,1mm,0">
              <w:txbxContent>
                <w:p w:rsidR="00656DBA" w:rsidRDefault="00656DBA" w:rsidP="00656DBA">
                  <w:pPr>
                    <w:spacing w:line="160" w:lineRule="exact"/>
                    <w:rPr>
                      <w:rFonts w:cs="Miriam" w:hint="cs"/>
                      <w:sz w:val="18"/>
                      <w:szCs w:val="18"/>
                      <w:rtl/>
                    </w:rPr>
                  </w:pPr>
                  <w:r>
                    <w:rPr>
                      <w:rFonts w:cs="Miriam" w:hint="cs"/>
                      <w:sz w:val="18"/>
                      <w:szCs w:val="18"/>
                      <w:rtl/>
                    </w:rPr>
                    <w:t>כללים תשע"ח-2018</w:t>
                  </w:r>
                </w:p>
              </w:txbxContent>
            </v:textbox>
          </v:shape>
        </w:pict>
      </w:r>
      <w:r>
        <w:rPr>
          <w:rStyle w:val="default"/>
          <w:rFonts w:cs="FrankRuehl" w:hint="cs"/>
          <w:rtl/>
        </w:rPr>
        <w:tab/>
        <w:t xml:space="preserve">"בטוחות" </w:t>
      </w:r>
      <w:r>
        <w:rPr>
          <w:rStyle w:val="default"/>
          <w:rFonts w:cs="FrankRuehl"/>
          <w:rtl/>
        </w:rPr>
        <w:t>–</w:t>
      </w:r>
      <w:r>
        <w:rPr>
          <w:rStyle w:val="default"/>
          <w:rFonts w:cs="FrankRuehl" w:hint="cs"/>
          <w:rtl/>
        </w:rPr>
        <w:t xml:space="preserve"> כמשמעותן </w:t>
      </w:r>
      <w:r w:rsidR="00162F22">
        <w:rPr>
          <w:rStyle w:val="default"/>
          <w:rFonts w:cs="FrankRuehl" w:hint="cs"/>
          <w:rtl/>
        </w:rPr>
        <w:t>בסעיף 35ו(א) לחוק למעט שעבוד שלילי</w:t>
      </w:r>
      <w:r>
        <w:rPr>
          <w:rStyle w:val="default"/>
          <w:rFonts w:cs="FrankRuehl" w:hint="cs"/>
          <w:rtl/>
        </w:rPr>
        <w:t xml:space="preserve"> ושעבוד צף</w:t>
      </w:r>
      <w:r w:rsidR="00162F22">
        <w:rPr>
          <w:rStyle w:val="default"/>
          <w:rFonts w:cs="FrankRuehl" w:hint="cs"/>
          <w:rtl/>
        </w:rPr>
        <w:t>;</w:t>
      </w:r>
    </w:p>
    <w:p w:rsidR="00656DBA" w:rsidRPr="00F4206E" w:rsidRDefault="00656DBA" w:rsidP="00656DBA">
      <w:pPr>
        <w:pStyle w:val="P00"/>
        <w:spacing w:before="0"/>
        <w:ind w:left="0" w:right="1134"/>
        <w:rPr>
          <w:rStyle w:val="default"/>
          <w:rFonts w:cs="FrankRuehl"/>
          <w:vanish/>
          <w:color w:val="FF0000"/>
          <w:sz w:val="20"/>
          <w:szCs w:val="20"/>
          <w:shd w:val="clear" w:color="auto" w:fill="FFFF99"/>
          <w:rtl/>
        </w:rPr>
      </w:pPr>
      <w:bookmarkStart w:id="1" w:name="Rov4"/>
      <w:r w:rsidRPr="00F4206E">
        <w:rPr>
          <w:rStyle w:val="default"/>
          <w:rFonts w:cs="FrankRuehl" w:hint="cs"/>
          <w:vanish/>
          <w:color w:val="FF0000"/>
          <w:sz w:val="20"/>
          <w:szCs w:val="20"/>
          <w:shd w:val="clear" w:color="auto" w:fill="FFFF99"/>
          <w:rtl/>
        </w:rPr>
        <w:t>מיום 10.7.2018</w:t>
      </w:r>
    </w:p>
    <w:p w:rsidR="00656DBA" w:rsidRPr="00F4206E" w:rsidRDefault="00656DBA" w:rsidP="00656DBA">
      <w:pPr>
        <w:pStyle w:val="P00"/>
        <w:spacing w:before="0"/>
        <w:ind w:left="0" w:right="1134"/>
        <w:rPr>
          <w:rStyle w:val="default"/>
          <w:rFonts w:cs="FrankRuehl"/>
          <w:vanish/>
          <w:sz w:val="20"/>
          <w:szCs w:val="20"/>
          <w:shd w:val="clear" w:color="auto" w:fill="FFFF99"/>
          <w:rtl/>
        </w:rPr>
      </w:pPr>
      <w:r w:rsidRPr="00F4206E">
        <w:rPr>
          <w:rStyle w:val="default"/>
          <w:rFonts w:cs="FrankRuehl" w:hint="cs"/>
          <w:b/>
          <w:bCs/>
          <w:vanish/>
          <w:sz w:val="20"/>
          <w:szCs w:val="20"/>
          <w:shd w:val="clear" w:color="auto" w:fill="FFFF99"/>
          <w:rtl/>
        </w:rPr>
        <w:t>כללים תשע"ח-2018</w:t>
      </w:r>
    </w:p>
    <w:p w:rsidR="00656DBA" w:rsidRPr="00F4206E" w:rsidRDefault="00656DBA" w:rsidP="00656DBA">
      <w:pPr>
        <w:pStyle w:val="P00"/>
        <w:spacing w:before="0"/>
        <w:ind w:left="0" w:right="1134"/>
        <w:rPr>
          <w:rStyle w:val="default"/>
          <w:rFonts w:cs="FrankRuehl"/>
          <w:vanish/>
          <w:sz w:val="20"/>
          <w:szCs w:val="20"/>
          <w:shd w:val="clear" w:color="auto" w:fill="FFFF99"/>
          <w:rtl/>
        </w:rPr>
      </w:pPr>
      <w:hyperlink r:id="rId7" w:history="1">
        <w:r w:rsidRPr="00F4206E">
          <w:rPr>
            <w:rStyle w:val="Hyperlink"/>
            <w:rFonts w:cs="FrankRuehl" w:hint="cs"/>
            <w:vanish/>
            <w:szCs w:val="20"/>
            <w:shd w:val="clear" w:color="auto" w:fill="FFFF99"/>
            <w:rtl/>
          </w:rPr>
          <w:t>ק"ת תשע"ח מס' 8016</w:t>
        </w:r>
      </w:hyperlink>
      <w:r w:rsidRPr="00F4206E">
        <w:rPr>
          <w:rStyle w:val="default"/>
          <w:rFonts w:cs="FrankRuehl" w:hint="cs"/>
          <w:vanish/>
          <w:sz w:val="20"/>
          <w:szCs w:val="20"/>
          <w:shd w:val="clear" w:color="auto" w:fill="FFFF99"/>
          <w:rtl/>
        </w:rPr>
        <w:t xml:space="preserve"> מיום 10.6.2018 עמ' 2147</w:t>
      </w:r>
    </w:p>
    <w:p w:rsidR="00656DBA" w:rsidRPr="00656DBA" w:rsidRDefault="00656DBA" w:rsidP="00656DBA">
      <w:pPr>
        <w:pStyle w:val="P00"/>
        <w:ind w:left="0" w:right="1134"/>
        <w:rPr>
          <w:rStyle w:val="default"/>
          <w:rFonts w:cs="FrankRuehl"/>
          <w:sz w:val="2"/>
          <w:szCs w:val="2"/>
          <w:rtl/>
        </w:rPr>
      </w:pPr>
      <w:r w:rsidRPr="00F4206E">
        <w:rPr>
          <w:rStyle w:val="default"/>
          <w:rFonts w:cs="FrankRuehl" w:hint="cs"/>
          <w:vanish/>
          <w:sz w:val="22"/>
          <w:szCs w:val="22"/>
          <w:shd w:val="clear" w:color="auto" w:fill="FFFF99"/>
          <w:rtl/>
        </w:rPr>
        <w:tab/>
        <w:t xml:space="preserve">"בטוחות" </w:t>
      </w:r>
      <w:r w:rsidRPr="00F4206E">
        <w:rPr>
          <w:rStyle w:val="default"/>
          <w:rFonts w:cs="FrankRuehl"/>
          <w:vanish/>
          <w:sz w:val="22"/>
          <w:szCs w:val="22"/>
          <w:shd w:val="clear" w:color="auto" w:fill="FFFF99"/>
          <w:rtl/>
        </w:rPr>
        <w:t>–</w:t>
      </w:r>
      <w:r w:rsidRPr="00F4206E">
        <w:rPr>
          <w:rStyle w:val="default"/>
          <w:rFonts w:cs="FrankRuehl" w:hint="cs"/>
          <w:vanish/>
          <w:sz w:val="22"/>
          <w:szCs w:val="22"/>
          <w:shd w:val="clear" w:color="auto" w:fill="FFFF99"/>
          <w:rtl/>
        </w:rPr>
        <w:t xml:space="preserve"> כמשמעותן בסעיף 35ו(א) לחוק למעט שעבוד שלילי </w:t>
      </w:r>
      <w:r w:rsidRPr="00F4206E">
        <w:rPr>
          <w:rStyle w:val="default"/>
          <w:rFonts w:cs="FrankRuehl" w:hint="cs"/>
          <w:vanish/>
          <w:sz w:val="22"/>
          <w:szCs w:val="22"/>
          <w:u w:val="single"/>
          <w:shd w:val="clear" w:color="auto" w:fill="FFFF99"/>
          <w:rtl/>
        </w:rPr>
        <w:t>ושעבוד צף</w:t>
      </w:r>
      <w:r w:rsidRPr="00F4206E">
        <w:rPr>
          <w:rStyle w:val="default"/>
          <w:rFonts w:cs="FrankRuehl" w:hint="cs"/>
          <w:vanish/>
          <w:sz w:val="22"/>
          <w:szCs w:val="22"/>
          <w:shd w:val="clear" w:color="auto" w:fill="FFFF99"/>
          <w:rtl/>
        </w:rPr>
        <w:t>;</w:t>
      </w:r>
      <w:bookmarkEnd w:id="1"/>
    </w:p>
    <w:p w:rsidR="00162F22" w:rsidRDefault="00162F22" w:rsidP="00162F22">
      <w:pPr>
        <w:pStyle w:val="P00"/>
        <w:spacing w:before="72"/>
        <w:ind w:left="0" w:right="1134"/>
        <w:rPr>
          <w:rStyle w:val="default"/>
          <w:rFonts w:cs="FrankRuehl" w:hint="cs"/>
          <w:rtl/>
        </w:rPr>
      </w:pPr>
      <w:r>
        <w:rPr>
          <w:rStyle w:val="default"/>
          <w:rFonts w:cs="FrankRuehl" w:hint="cs"/>
          <w:rtl/>
        </w:rPr>
        <w:tab/>
        <w:t xml:space="preserve">"הצעת רכש חליפין" </w:t>
      </w:r>
      <w:r>
        <w:rPr>
          <w:rStyle w:val="default"/>
          <w:rFonts w:cs="FrankRuehl"/>
          <w:rtl/>
        </w:rPr>
        <w:t>–</w:t>
      </w:r>
      <w:r>
        <w:rPr>
          <w:rStyle w:val="default"/>
          <w:rFonts w:cs="FrankRuehl" w:hint="cs"/>
          <w:rtl/>
        </w:rPr>
        <w:t xml:space="preserve"> כהגדרתה בתקנות ניירות ערך (הצעת רכש), התש"ס-2000;</w:t>
      </w:r>
    </w:p>
    <w:p w:rsidR="00162F22" w:rsidRDefault="00162F22" w:rsidP="00162F22">
      <w:pPr>
        <w:pStyle w:val="P00"/>
        <w:spacing w:before="72"/>
        <w:ind w:left="0" w:right="1134"/>
        <w:rPr>
          <w:rStyle w:val="default"/>
          <w:rFonts w:cs="FrankRuehl" w:hint="cs"/>
          <w:rtl/>
        </w:rPr>
      </w:pPr>
      <w:r>
        <w:rPr>
          <w:rStyle w:val="default"/>
          <w:rFonts w:cs="FrankRuehl" w:hint="cs"/>
          <w:rtl/>
        </w:rPr>
        <w:tab/>
        <w:t xml:space="preserve">"הרחבת סדרה" </w:t>
      </w:r>
      <w:r>
        <w:rPr>
          <w:rStyle w:val="default"/>
          <w:rFonts w:cs="FrankRuehl"/>
          <w:rtl/>
        </w:rPr>
        <w:t>–</w:t>
      </w:r>
      <w:r>
        <w:rPr>
          <w:rStyle w:val="default"/>
          <w:rFonts w:cs="FrankRuehl" w:hint="cs"/>
          <w:rtl/>
        </w:rPr>
        <w:t xml:space="preserve"> הצעה לציבור של תעודות התחייבות מסדרת תעודות התחייבות הנסחרת בבורסה;</w:t>
      </w:r>
    </w:p>
    <w:p w:rsidR="00162F22" w:rsidRDefault="00162F22" w:rsidP="00162F22">
      <w:pPr>
        <w:pStyle w:val="P00"/>
        <w:spacing w:before="72"/>
        <w:ind w:left="0" w:right="1134"/>
        <w:rPr>
          <w:rStyle w:val="default"/>
          <w:rFonts w:cs="FrankRuehl" w:hint="cs"/>
          <w:rtl/>
        </w:rPr>
      </w:pPr>
      <w:r>
        <w:rPr>
          <w:rStyle w:val="default"/>
          <w:rFonts w:cs="FrankRuehl" w:hint="cs"/>
          <w:rtl/>
        </w:rPr>
        <w:tab/>
        <w:t xml:space="preserve">"הרחבת סדרת תעודות סל" </w:t>
      </w:r>
      <w:r>
        <w:rPr>
          <w:rStyle w:val="default"/>
          <w:rFonts w:cs="FrankRuehl"/>
          <w:rtl/>
        </w:rPr>
        <w:t>–</w:t>
      </w:r>
      <w:r>
        <w:rPr>
          <w:rStyle w:val="default"/>
          <w:rFonts w:cs="FrankRuehl" w:hint="cs"/>
          <w:rtl/>
        </w:rPr>
        <w:t xml:space="preserve"> הצעה לציבור של תעודות סל מסדרת תעודות סל הנסחרת בבורסה לרבות רישום למסחר של תעודות סל כאמור;</w:t>
      </w:r>
    </w:p>
    <w:p w:rsidR="00162F22" w:rsidRDefault="00162F22" w:rsidP="00162F22">
      <w:pPr>
        <w:pStyle w:val="P00"/>
        <w:spacing w:before="72"/>
        <w:ind w:left="0" w:right="1134"/>
        <w:rPr>
          <w:rStyle w:val="default"/>
          <w:rFonts w:cs="FrankRuehl" w:hint="cs"/>
          <w:rtl/>
        </w:rPr>
      </w:pPr>
      <w:r>
        <w:rPr>
          <w:rStyle w:val="default"/>
          <w:rFonts w:cs="FrankRuehl" w:hint="cs"/>
          <w:rtl/>
        </w:rPr>
        <w:tab/>
        <w:t xml:space="preserve">"כתב אופציה" </w:t>
      </w:r>
      <w:r>
        <w:rPr>
          <w:rStyle w:val="default"/>
          <w:rFonts w:cs="FrankRuehl"/>
          <w:rtl/>
        </w:rPr>
        <w:t>–</w:t>
      </w:r>
      <w:r>
        <w:rPr>
          <w:rStyle w:val="default"/>
          <w:rFonts w:cs="FrankRuehl" w:hint="cs"/>
          <w:rtl/>
        </w:rPr>
        <w:t xml:space="preserve"> כהגדרתו בסעיף 35טז3 לחוק;</w:t>
      </w:r>
    </w:p>
    <w:p w:rsidR="00162F22" w:rsidRDefault="00162F22" w:rsidP="00162F22">
      <w:pPr>
        <w:pStyle w:val="P00"/>
        <w:spacing w:before="72"/>
        <w:ind w:left="0" w:right="1134"/>
        <w:rPr>
          <w:rStyle w:val="default"/>
          <w:rFonts w:cs="FrankRuehl" w:hint="cs"/>
          <w:rtl/>
        </w:rPr>
      </w:pPr>
      <w:r>
        <w:rPr>
          <w:rStyle w:val="default"/>
          <w:rFonts w:cs="FrankRuehl" w:hint="cs"/>
          <w:rtl/>
        </w:rPr>
        <w:tab/>
        <w:t xml:space="preserve">"שעבוד שלילי" </w:t>
      </w:r>
      <w:r>
        <w:rPr>
          <w:rStyle w:val="default"/>
          <w:rFonts w:cs="FrankRuehl"/>
          <w:rtl/>
        </w:rPr>
        <w:t>–</w:t>
      </w:r>
      <w:r>
        <w:rPr>
          <w:rStyle w:val="default"/>
          <w:rFonts w:cs="FrankRuehl" w:hint="cs"/>
          <w:rtl/>
        </w:rPr>
        <w:t xml:space="preserve"> התחייבות לאי-יצירת שעבודים;</w:t>
      </w:r>
    </w:p>
    <w:p w:rsidR="00162F22" w:rsidRDefault="00162F22" w:rsidP="00162F22">
      <w:pPr>
        <w:pStyle w:val="P00"/>
        <w:spacing w:before="72"/>
        <w:ind w:left="0" w:right="1134"/>
        <w:rPr>
          <w:rStyle w:val="default"/>
          <w:rFonts w:cs="FrankRuehl" w:hint="cs"/>
          <w:rtl/>
        </w:rPr>
      </w:pPr>
      <w:r>
        <w:rPr>
          <w:rStyle w:val="default"/>
          <w:rFonts w:cs="FrankRuehl" w:hint="cs"/>
          <w:rtl/>
        </w:rPr>
        <w:tab/>
        <w:t xml:space="preserve">"תעודות התחייבות" </w:t>
      </w:r>
      <w:r>
        <w:rPr>
          <w:rStyle w:val="default"/>
          <w:rFonts w:cs="FrankRuehl"/>
          <w:rtl/>
        </w:rPr>
        <w:t>–</w:t>
      </w:r>
      <w:r>
        <w:rPr>
          <w:rStyle w:val="default"/>
          <w:rFonts w:cs="FrankRuehl" w:hint="cs"/>
          <w:rtl/>
        </w:rPr>
        <w:t xml:space="preserve"> כהגדרתן בסעיף 35א לחוק;</w:t>
      </w:r>
    </w:p>
    <w:p w:rsidR="00162F22" w:rsidRDefault="00656DBA" w:rsidP="00656DBA">
      <w:pPr>
        <w:pStyle w:val="P00"/>
        <w:spacing w:before="72"/>
        <w:ind w:left="0" w:right="1134"/>
        <w:rPr>
          <w:rStyle w:val="default"/>
          <w:rFonts w:cs="FrankRuehl"/>
          <w:rtl/>
        </w:rPr>
      </w:pPr>
      <w:r>
        <w:rPr>
          <w:rFonts w:cs="FrankRuehl" w:hint="cs"/>
          <w:sz w:val="26"/>
          <w:rtl/>
          <w:lang w:eastAsia="en-US"/>
        </w:rPr>
        <w:pict>
          <v:shape id="_x0000_s1203" type="#_x0000_t202" style="position:absolute;left:0;text-align:left;margin-left:463.75pt;margin-top:7.1pt;width:78.6pt;height:11.45pt;z-index:251658240" filled="f" stroked="f">
            <v:textbox inset="1mm,0,1mm,0">
              <w:txbxContent>
                <w:p w:rsidR="00656DBA" w:rsidRDefault="00656DBA" w:rsidP="00656DBA">
                  <w:pPr>
                    <w:spacing w:line="160" w:lineRule="exact"/>
                    <w:rPr>
                      <w:rFonts w:cs="Miriam" w:hint="cs"/>
                      <w:sz w:val="18"/>
                      <w:szCs w:val="18"/>
                      <w:rtl/>
                    </w:rPr>
                  </w:pPr>
                  <w:r>
                    <w:rPr>
                      <w:rFonts w:cs="Miriam" w:hint="cs"/>
                      <w:sz w:val="18"/>
                      <w:szCs w:val="18"/>
                      <w:rtl/>
                    </w:rPr>
                    <w:t>כללים תשע"ח-2018</w:t>
                  </w:r>
                </w:p>
              </w:txbxContent>
            </v:textbox>
          </v:shape>
        </w:pict>
      </w:r>
      <w:r>
        <w:rPr>
          <w:rStyle w:val="default"/>
          <w:rFonts w:cs="FrankRuehl" w:hint="cs"/>
          <w:rtl/>
        </w:rPr>
        <w:tab/>
        <w:t>"</w:t>
      </w:r>
      <w:r w:rsidR="00162F22">
        <w:rPr>
          <w:rStyle w:val="default"/>
          <w:rFonts w:cs="FrankRuehl" w:hint="cs"/>
          <w:rtl/>
        </w:rPr>
        <w:t>תעודת סל"</w:t>
      </w:r>
      <w:r>
        <w:rPr>
          <w:rStyle w:val="default"/>
          <w:rFonts w:cs="FrankRuehl" w:hint="cs"/>
          <w:rtl/>
        </w:rPr>
        <w:t>, "חברת מעטפת"</w:t>
      </w:r>
      <w:r w:rsidR="00162F22">
        <w:rPr>
          <w:rStyle w:val="default"/>
          <w:rFonts w:cs="FrankRuehl" w:hint="cs"/>
          <w:rtl/>
        </w:rPr>
        <w:t xml:space="preserve"> </w:t>
      </w:r>
      <w:r w:rsidR="00162F22">
        <w:rPr>
          <w:rStyle w:val="default"/>
          <w:rFonts w:cs="FrankRuehl"/>
          <w:rtl/>
        </w:rPr>
        <w:t>–</w:t>
      </w:r>
      <w:r w:rsidR="00162F22">
        <w:rPr>
          <w:rStyle w:val="default"/>
          <w:rFonts w:cs="FrankRuehl" w:hint="cs"/>
          <w:rtl/>
        </w:rPr>
        <w:t xml:space="preserve"> כהגדרת</w:t>
      </w:r>
      <w:r>
        <w:rPr>
          <w:rStyle w:val="default"/>
          <w:rFonts w:cs="FrankRuehl" w:hint="cs"/>
          <w:rtl/>
        </w:rPr>
        <w:t>ן</w:t>
      </w:r>
      <w:r w:rsidR="00162F22">
        <w:rPr>
          <w:rStyle w:val="default"/>
          <w:rFonts w:cs="FrankRuehl" w:hint="cs"/>
          <w:rtl/>
        </w:rPr>
        <w:t xml:space="preserve"> בתקנון הבורסה לפי סעיף 46 לחוק;</w:t>
      </w:r>
    </w:p>
    <w:p w:rsidR="00656DBA" w:rsidRPr="00F4206E" w:rsidRDefault="00656DBA" w:rsidP="00656DBA">
      <w:pPr>
        <w:pStyle w:val="P00"/>
        <w:spacing w:before="0"/>
        <w:ind w:left="0" w:right="1134"/>
        <w:rPr>
          <w:rStyle w:val="default"/>
          <w:rFonts w:cs="FrankRuehl"/>
          <w:vanish/>
          <w:color w:val="FF0000"/>
          <w:sz w:val="20"/>
          <w:szCs w:val="20"/>
          <w:shd w:val="clear" w:color="auto" w:fill="FFFF99"/>
          <w:rtl/>
        </w:rPr>
      </w:pPr>
      <w:bookmarkStart w:id="2" w:name="Rov5"/>
      <w:r w:rsidRPr="00F4206E">
        <w:rPr>
          <w:rStyle w:val="default"/>
          <w:rFonts w:cs="FrankRuehl" w:hint="cs"/>
          <w:vanish/>
          <w:color w:val="FF0000"/>
          <w:sz w:val="20"/>
          <w:szCs w:val="20"/>
          <w:shd w:val="clear" w:color="auto" w:fill="FFFF99"/>
          <w:rtl/>
        </w:rPr>
        <w:t>מיום 10.7.2018</w:t>
      </w:r>
    </w:p>
    <w:p w:rsidR="00656DBA" w:rsidRPr="00F4206E" w:rsidRDefault="00656DBA" w:rsidP="00656DBA">
      <w:pPr>
        <w:pStyle w:val="P00"/>
        <w:spacing w:before="0"/>
        <w:ind w:left="0" w:right="1134"/>
        <w:rPr>
          <w:rStyle w:val="default"/>
          <w:rFonts w:cs="FrankRuehl"/>
          <w:vanish/>
          <w:sz w:val="20"/>
          <w:szCs w:val="20"/>
          <w:shd w:val="clear" w:color="auto" w:fill="FFFF99"/>
          <w:rtl/>
        </w:rPr>
      </w:pPr>
      <w:r w:rsidRPr="00F4206E">
        <w:rPr>
          <w:rStyle w:val="default"/>
          <w:rFonts w:cs="FrankRuehl" w:hint="cs"/>
          <w:b/>
          <w:bCs/>
          <w:vanish/>
          <w:sz w:val="20"/>
          <w:szCs w:val="20"/>
          <w:shd w:val="clear" w:color="auto" w:fill="FFFF99"/>
          <w:rtl/>
        </w:rPr>
        <w:t>כללים תשע"ח-2018</w:t>
      </w:r>
    </w:p>
    <w:p w:rsidR="00656DBA" w:rsidRPr="00F4206E" w:rsidRDefault="00656DBA" w:rsidP="00656DBA">
      <w:pPr>
        <w:pStyle w:val="P00"/>
        <w:spacing w:before="0"/>
        <w:ind w:left="0" w:right="1134"/>
        <w:rPr>
          <w:rStyle w:val="default"/>
          <w:rFonts w:cs="FrankRuehl"/>
          <w:vanish/>
          <w:sz w:val="20"/>
          <w:szCs w:val="20"/>
          <w:shd w:val="clear" w:color="auto" w:fill="FFFF99"/>
          <w:rtl/>
        </w:rPr>
      </w:pPr>
      <w:hyperlink r:id="rId8" w:history="1">
        <w:r w:rsidRPr="00F4206E">
          <w:rPr>
            <w:rStyle w:val="Hyperlink"/>
            <w:rFonts w:cs="FrankRuehl" w:hint="cs"/>
            <w:vanish/>
            <w:szCs w:val="20"/>
            <w:shd w:val="clear" w:color="auto" w:fill="FFFF99"/>
            <w:rtl/>
          </w:rPr>
          <w:t>ק"ת תשע"ח מס' 8016</w:t>
        </w:r>
      </w:hyperlink>
      <w:r w:rsidRPr="00F4206E">
        <w:rPr>
          <w:rStyle w:val="default"/>
          <w:rFonts w:cs="FrankRuehl" w:hint="cs"/>
          <w:vanish/>
          <w:sz w:val="20"/>
          <w:szCs w:val="20"/>
          <w:shd w:val="clear" w:color="auto" w:fill="FFFF99"/>
          <w:rtl/>
        </w:rPr>
        <w:t xml:space="preserve"> מיום 10.6.2018 עמ' 2147</w:t>
      </w:r>
    </w:p>
    <w:p w:rsidR="00656DBA" w:rsidRPr="00F4206E" w:rsidRDefault="00656DBA" w:rsidP="00656DBA">
      <w:pPr>
        <w:pStyle w:val="P00"/>
        <w:spacing w:before="0"/>
        <w:ind w:left="0" w:right="1134"/>
        <w:rPr>
          <w:rStyle w:val="default"/>
          <w:rFonts w:cs="FrankRuehl"/>
          <w:vanish/>
          <w:sz w:val="20"/>
          <w:szCs w:val="20"/>
          <w:shd w:val="clear" w:color="auto" w:fill="FFFF99"/>
          <w:rtl/>
        </w:rPr>
      </w:pPr>
      <w:r w:rsidRPr="00F4206E">
        <w:rPr>
          <w:rStyle w:val="default"/>
          <w:rFonts w:cs="FrankRuehl" w:hint="cs"/>
          <w:b/>
          <w:bCs/>
          <w:vanish/>
          <w:sz w:val="20"/>
          <w:szCs w:val="20"/>
          <w:shd w:val="clear" w:color="auto" w:fill="FFFF99"/>
          <w:rtl/>
        </w:rPr>
        <w:t>החלפת הגדרת "תעודת סל" בהגדרת ""תעודת סל", "חברת מעטפת""</w:t>
      </w:r>
    </w:p>
    <w:p w:rsidR="00656DBA" w:rsidRPr="00F4206E" w:rsidRDefault="00656DBA" w:rsidP="00656DBA">
      <w:pPr>
        <w:pStyle w:val="P00"/>
        <w:ind w:left="0" w:right="1134"/>
        <w:rPr>
          <w:rStyle w:val="default"/>
          <w:rFonts w:cs="FrankRuehl"/>
          <w:vanish/>
          <w:sz w:val="20"/>
          <w:szCs w:val="20"/>
          <w:shd w:val="clear" w:color="auto" w:fill="FFFF99"/>
          <w:rtl/>
        </w:rPr>
      </w:pPr>
      <w:r w:rsidRPr="00F4206E">
        <w:rPr>
          <w:rStyle w:val="default"/>
          <w:rFonts w:cs="FrankRuehl" w:hint="cs"/>
          <w:vanish/>
          <w:sz w:val="20"/>
          <w:szCs w:val="20"/>
          <w:shd w:val="clear" w:color="auto" w:fill="FFFF99"/>
          <w:rtl/>
        </w:rPr>
        <w:t>הנוסח הקודם:</w:t>
      </w:r>
    </w:p>
    <w:p w:rsidR="00656DBA" w:rsidRPr="00656DBA" w:rsidRDefault="00656DBA" w:rsidP="00656DBA">
      <w:pPr>
        <w:pStyle w:val="P00"/>
        <w:spacing w:before="0"/>
        <w:ind w:left="0" w:right="1134"/>
        <w:rPr>
          <w:rStyle w:val="default"/>
          <w:rFonts w:cs="FrankRuehl"/>
          <w:strike/>
          <w:sz w:val="2"/>
          <w:szCs w:val="2"/>
          <w:rtl/>
        </w:rPr>
      </w:pPr>
      <w:r w:rsidRPr="00F4206E">
        <w:rPr>
          <w:rStyle w:val="default"/>
          <w:rFonts w:cs="FrankRuehl" w:hint="cs"/>
          <w:vanish/>
          <w:sz w:val="22"/>
          <w:szCs w:val="22"/>
          <w:shd w:val="clear" w:color="auto" w:fill="FFFF99"/>
          <w:rtl/>
        </w:rPr>
        <w:tab/>
      </w:r>
      <w:r w:rsidRPr="00F4206E">
        <w:rPr>
          <w:rStyle w:val="default"/>
          <w:rFonts w:cs="FrankRuehl" w:hint="cs"/>
          <w:strike/>
          <w:vanish/>
          <w:sz w:val="22"/>
          <w:szCs w:val="22"/>
          <w:shd w:val="clear" w:color="auto" w:fill="FFFF99"/>
          <w:rtl/>
        </w:rPr>
        <w:t xml:space="preserve">"תעודת סל" </w:t>
      </w:r>
      <w:r w:rsidRPr="00F4206E">
        <w:rPr>
          <w:rStyle w:val="default"/>
          <w:rFonts w:cs="FrankRuehl"/>
          <w:strike/>
          <w:vanish/>
          <w:sz w:val="22"/>
          <w:szCs w:val="22"/>
          <w:shd w:val="clear" w:color="auto" w:fill="FFFF99"/>
          <w:rtl/>
        </w:rPr>
        <w:t>–</w:t>
      </w:r>
      <w:r w:rsidRPr="00F4206E">
        <w:rPr>
          <w:rStyle w:val="default"/>
          <w:rFonts w:cs="FrankRuehl" w:hint="cs"/>
          <w:strike/>
          <w:vanish/>
          <w:sz w:val="22"/>
          <w:szCs w:val="22"/>
          <w:shd w:val="clear" w:color="auto" w:fill="FFFF99"/>
          <w:rtl/>
        </w:rPr>
        <w:t xml:space="preserve"> כהגדרתה בתקנון הבורסה לפי סעיף 46 לחוק;</w:t>
      </w:r>
      <w:bookmarkEnd w:id="2"/>
    </w:p>
    <w:p w:rsidR="00162F22" w:rsidRDefault="00162F22" w:rsidP="00162F22">
      <w:pPr>
        <w:pStyle w:val="P00"/>
        <w:spacing w:before="72"/>
        <w:ind w:left="0" w:right="1134"/>
        <w:rPr>
          <w:rStyle w:val="default"/>
          <w:rFonts w:cs="FrankRuehl" w:hint="cs"/>
          <w:rtl/>
        </w:rPr>
      </w:pPr>
      <w:r>
        <w:rPr>
          <w:rStyle w:val="default"/>
          <w:rFonts w:cs="FrankRuehl" w:hint="cs"/>
          <w:rtl/>
        </w:rPr>
        <w:tab/>
        <w:t xml:space="preserve">"תקנות דוחות תקופתיים ומיידיים" </w:t>
      </w:r>
      <w:r>
        <w:rPr>
          <w:rStyle w:val="default"/>
          <w:rFonts w:cs="FrankRuehl"/>
          <w:rtl/>
        </w:rPr>
        <w:t>–</w:t>
      </w:r>
      <w:r>
        <w:rPr>
          <w:rStyle w:val="default"/>
          <w:rFonts w:cs="FrankRuehl" w:hint="cs"/>
          <w:rtl/>
        </w:rPr>
        <w:t xml:space="preserve"> תקנות ניירות ערך (דוחות תקופתיים ומיידיים), התש"ל-1970.</w:t>
      </w:r>
    </w:p>
    <w:p w:rsidR="00081E36" w:rsidRDefault="00081E36" w:rsidP="00162F22">
      <w:pPr>
        <w:pStyle w:val="P00"/>
        <w:spacing w:before="72"/>
        <w:ind w:left="0" w:right="1134"/>
        <w:rPr>
          <w:rStyle w:val="default"/>
          <w:rFonts w:cs="FrankRuehl" w:hint="cs"/>
          <w:rtl/>
        </w:rPr>
      </w:pPr>
      <w:bookmarkStart w:id="3" w:name="Seif2"/>
      <w:bookmarkEnd w:id="3"/>
      <w:r>
        <w:rPr>
          <w:rFonts w:cs="Miriam"/>
          <w:lang w:val="he-IL"/>
        </w:rPr>
        <w:pict>
          <v:rect id="_x0000_s1152" style="position:absolute;left:0;text-align:left;margin-left:468pt;margin-top:8.05pt;width:70.55pt;height:17.05pt;z-index:251655168" filled="f" stroked="f" strokecolor="lime" strokeweight=".25pt">
            <v:textbox style="mso-next-textbox:#_x0000_s1152" inset="1mm,0,1mm,0">
              <w:txbxContent>
                <w:p w:rsidR="00081E36" w:rsidRDefault="00162F22">
                  <w:pPr>
                    <w:spacing w:line="160" w:lineRule="exact"/>
                    <w:rPr>
                      <w:rFonts w:cs="Miriam" w:hint="cs"/>
                      <w:noProof/>
                      <w:sz w:val="18"/>
                      <w:szCs w:val="18"/>
                      <w:rtl/>
                    </w:rPr>
                  </w:pPr>
                  <w:r>
                    <w:rPr>
                      <w:rFonts w:cs="Miriam" w:hint="cs"/>
                      <w:sz w:val="18"/>
                      <w:szCs w:val="18"/>
                      <w:rtl/>
                    </w:rPr>
                    <w:t>מקרים שבהם נדרש היתר</w:t>
                  </w:r>
                </w:p>
              </w:txbxContent>
            </v:textbox>
            <w10:anchorlock/>
          </v:rect>
        </w:pict>
      </w:r>
      <w:r>
        <w:rPr>
          <w:rStyle w:val="big-number"/>
          <w:rFonts w:cs="Miriam" w:hint="cs"/>
          <w:rtl/>
        </w:rPr>
        <w:t>2</w:t>
      </w:r>
      <w:r w:rsidRPr="004D0387">
        <w:rPr>
          <w:rStyle w:val="default"/>
          <w:rFonts w:cs="FrankRuehl" w:hint="cs"/>
          <w:rtl/>
        </w:rPr>
        <w:t>.</w:t>
      </w:r>
      <w:r w:rsidRPr="004D0387">
        <w:rPr>
          <w:rStyle w:val="default"/>
          <w:rFonts w:cs="FrankRuehl"/>
          <w:rtl/>
        </w:rPr>
        <w:tab/>
      </w:r>
      <w:r w:rsidR="00162F22">
        <w:rPr>
          <w:rStyle w:val="default"/>
          <w:rFonts w:cs="FrankRuehl" w:hint="cs"/>
          <w:rtl/>
        </w:rPr>
        <w:t>פרסום דוח הצעת מדף יהיה טעון היתר מאת הרשות בכל אחד מאלה:</w:t>
      </w:r>
    </w:p>
    <w:p w:rsidR="00162F22" w:rsidRDefault="00162F22" w:rsidP="00162F2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תאגיד מדווח שתעודות התחייבות שלו רשומות למסחר בבורסה מציע הצעה לראשונה של מניות;</w:t>
      </w:r>
    </w:p>
    <w:p w:rsidR="00162F22" w:rsidRDefault="00162F22" w:rsidP="00162F2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הצעת ניירות ערך במסגרת הצעת רכש חליפין למעט הצעת תעודות התחייבות חלף תעודות התחייבות אחרות של המנפיק שלא מתקיימים בה אחד מהמקרים המנויים בהגדרה הסדר חוב על רקע קשיים פיננסיים שבתקנות דוחות תקופתיים ומיידיים;</w:t>
      </w:r>
    </w:p>
    <w:p w:rsidR="00162F22" w:rsidRDefault="00162F22" w:rsidP="00162F2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הצעת תעודת התחייבות המגובות בבטוחות למעט הרחבת סדרה, בלא הוספה או שינוי בטוחות;</w:t>
      </w:r>
    </w:p>
    <w:p w:rsidR="00162F22" w:rsidRDefault="00162F22" w:rsidP="00162F22">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הצעת ניירות ערך מורכבת או חדשנית, מבחינת אופן ההצעה ותנאיה או מבחינת סוג נייר הערך המוצע ותנאיו; לעניין זה, לא יראו כהצעה מורכבת או חדשנית, הצעה של אחד מאלה:</w:t>
      </w:r>
    </w:p>
    <w:p w:rsidR="00162F22" w:rsidRDefault="00162F22" w:rsidP="00162F22">
      <w:pPr>
        <w:pStyle w:val="P00"/>
        <w:spacing w:before="72"/>
        <w:ind w:left="1021"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מניות רגילות של המנפיק;</w:t>
      </w:r>
    </w:p>
    <w:p w:rsidR="00162F22" w:rsidRDefault="00162F22" w:rsidP="00162F22">
      <w:pPr>
        <w:pStyle w:val="P00"/>
        <w:spacing w:before="72"/>
        <w:ind w:left="1021"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תעודות התחייבות שאינן ניתנות להמרה ובלבד שאינן כוללות תנאים ייחודיים;</w:t>
      </w:r>
    </w:p>
    <w:p w:rsidR="00162F22" w:rsidRDefault="00162F22" w:rsidP="00162F22">
      <w:pPr>
        <w:pStyle w:val="P00"/>
        <w:spacing w:before="72"/>
        <w:ind w:left="1021"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תעודות התחייבות הניתנות להמרה למניות התאגיד, לפי שיקול דעת המחזיק ולפי יחס המרה קבוע, ובלבד שאינן כוללות תנאים ייחודיים;</w:t>
      </w:r>
    </w:p>
    <w:p w:rsidR="00162F22" w:rsidRDefault="00162F22" w:rsidP="00162F22">
      <w:pPr>
        <w:pStyle w:val="P00"/>
        <w:spacing w:before="72"/>
        <w:ind w:left="1021" w:right="1134"/>
        <w:rPr>
          <w:rStyle w:val="big-number"/>
          <w:rFonts w:cs="FrankRuehl" w:hint="cs"/>
          <w:sz w:val="26"/>
          <w:szCs w:val="26"/>
          <w:rtl/>
        </w:rPr>
      </w:pPr>
      <w:r>
        <w:rPr>
          <w:rStyle w:val="big-number"/>
          <w:rFonts w:cs="FrankRuehl" w:hint="cs"/>
          <w:sz w:val="26"/>
          <w:szCs w:val="26"/>
          <w:rtl/>
        </w:rPr>
        <w:t>(ד)</w:t>
      </w:r>
      <w:r>
        <w:rPr>
          <w:rStyle w:val="big-number"/>
          <w:rFonts w:cs="FrankRuehl" w:hint="cs"/>
          <w:sz w:val="26"/>
          <w:szCs w:val="26"/>
          <w:rtl/>
        </w:rPr>
        <w:tab/>
        <w:t>כתבי אופציה המקנים זכות לרכישת מניות רגילות של התאגיד או לרכישת תעודות התחייבות שאינן ניתנות להמרה או תעודות התחייבות הניתנות להמרה למניות התאגיד לפי שיקול דעת המחזיק ולפי יחס המרה קבוע, ובלבד שאינם כוללים תנאים ייחודייים;</w:t>
      </w:r>
    </w:p>
    <w:p w:rsidR="00162F22" w:rsidRDefault="00162F22" w:rsidP="00162F22">
      <w:pPr>
        <w:pStyle w:val="P00"/>
        <w:spacing w:before="72"/>
        <w:ind w:left="1021" w:right="1134"/>
        <w:rPr>
          <w:rStyle w:val="big-number"/>
          <w:rFonts w:cs="FrankRuehl" w:hint="cs"/>
          <w:sz w:val="26"/>
          <w:szCs w:val="26"/>
          <w:rtl/>
        </w:rPr>
      </w:pPr>
      <w:r>
        <w:rPr>
          <w:rStyle w:val="big-number"/>
          <w:rFonts w:cs="FrankRuehl" w:hint="cs"/>
          <w:sz w:val="26"/>
          <w:szCs w:val="26"/>
          <w:rtl/>
        </w:rPr>
        <w:t>(ה)</w:t>
      </w:r>
      <w:r>
        <w:rPr>
          <w:rStyle w:val="big-number"/>
          <w:rFonts w:cs="FrankRuehl" w:hint="cs"/>
          <w:sz w:val="26"/>
          <w:szCs w:val="26"/>
          <w:rtl/>
        </w:rPr>
        <w:tab/>
        <w:t>ניירות ערך מסחריים;</w:t>
      </w:r>
    </w:p>
    <w:p w:rsidR="00162F22" w:rsidRDefault="00162F22" w:rsidP="00162F22">
      <w:pPr>
        <w:pStyle w:val="P00"/>
        <w:spacing w:before="72"/>
        <w:ind w:left="624" w:right="1134"/>
        <w:rPr>
          <w:rStyle w:val="big-number"/>
          <w:rFonts w:cs="FrankRuehl"/>
          <w:sz w:val="26"/>
          <w:szCs w:val="26"/>
          <w:rtl/>
        </w:rPr>
      </w:pPr>
      <w:r>
        <w:rPr>
          <w:rStyle w:val="big-number"/>
          <w:rFonts w:cs="FrankRuehl" w:hint="cs"/>
          <w:sz w:val="26"/>
          <w:szCs w:val="26"/>
          <w:rtl/>
        </w:rPr>
        <w:lastRenderedPageBreak/>
        <w:t>(5)</w:t>
      </w:r>
      <w:r>
        <w:rPr>
          <w:rStyle w:val="big-number"/>
          <w:rFonts w:cs="FrankRuehl" w:hint="cs"/>
          <w:sz w:val="26"/>
          <w:szCs w:val="26"/>
          <w:rtl/>
        </w:rPr>
        <w:tab/>
        <w:t>הצעת תעודות סל למעט הרחבת סדרת תעודות סל</w:t>
      </w:r>
      <w:r w:rsidR="00656DBA">
        <w:rPr>
          <w:rStyle w:val="big-number"/>
          <w:rFonts w:cs="FrankRuehl" w:hint="cs"/>
          <w:sz w:val="26"/>
          <w:szCs w:val="26"/>
          <w:rtl/>
        </w:rPr>
        <w:t>;</w:t>
      </w:r>
    </w:p>
    <w:p w:rsidR="00656DBA" w:rsidRDefault="00656DBA" w:rsidP="00656DBA">
      <w:pPr>
        <w:pStyle w:val="P00"/>
        <w:spacing w:before="72"/>
        <w:ind w:left="624" w:right="1134"/>
        <w:rPr>
          <w:rStyle w:val="default"/>
          <w:rFonts w:cs="FrankRuehl"/>
          <w:rtl/>
        </w:rPr>
      </w:pPr>
      <w:r>
        <w:rPr>
          <w:rFonts w:cs="FrankRuehl" w:hint="cs"/>
          <w:sz w:val="26"/>
          <w:rtl/>
          <w:lang w:eastAsia="en-US"/>
        </w:rPr>
        <w:pict>
          <v:shape id="_x0000_s1204" type="#_x0000_t202" style="position:absolute;left:0;text-align:left;margin-left:463.75pt;margin-top:7.1pt;width:78.6pt;height:11.45pt;z-index:251659264" filled="f" stroked="f">
            <v:textbox inset="1mm,0,1mm,0">
              <w:txbxContent>
                <w:p w:rsidR="00656DBA" w:rsidRDefault="00656DBA" w:rsidP="00656DBA">
                  <w:pPr>
                    <w:spacing w:line="160" w:lineRule="exact"/>
                    <w:rPr>
                      <w:rFonts w:cs="Miriam" w:hint="cs"/>
                      <w:sz w:val="18"/>
                      <w:szCs w:val="18"/>
                      <w:rtl/>
                    </w:rPr>
                  </w:pPr>
                  <w:r>
                    <w:rPr>
                      <w:rFonts w:cs="Miriam" w:hint="cs"/>
                      <w:sz w:val="18"/>
                      <w:szCs w:val="18"/>
                      <w:rtl/>
                    </w:rPr>
                    <w:t>כללים תשע"ח-2018</w:t>
                  </w:r>
                </w:p>
              </w:txbxContent>
            </v:textbox>
          </v:shape>
        </w:pict>
      </w:r>
      <w:r>
        <w:rPr>
          <w:rStyle w:val="default"/>
          <w:rFonts w:cs="FrankRuehl" w:hint="cs"/>
          <w:rtl/>
        </w:rPr>
        <w:t>(6)</w:t>
      </w:r>
      <w:r>
        <w:rPr>
          <w:rStyle w:val="default"/>
          <w:rFonts w:cs="FrankRuehl" w:hint="cs"/>
          <w:rtl/>
        </w:rPr>
        <w:tab/>
        <w:t>הצעה לציבור של ניירות ערך שאינם רשומים למסחר בבורסה;</w:t>
      </w:r>
    </w:p>
    <w:p w:rsidR="00656DBA" w:rsidRDefault="00656DBA" w:rsidP="00656DBA">
      <w:pPr>
        <w:pStyle w:val="P00"/>
        <w:spacing w:before="72"/>
        <w:ind w:left="624" w:right="1134"/>
        <w:rPr>
          <w:rStyle w:val="default"/>
          <w:rFonts w:cs="FrankRuehl"/>
          <w:rtl/>
        </w:rPr>
      </w:pPr>
      <w:r>
        <w:rPr>
          <w:rFonts w:cs="FrankRuehl" w:hint="cs"/>
          <w:sz w:val="26"/>
          <w:rtl/>
          <w:lang w:eastAsia="en-US"/>
        </w:rPr>
        <w:pict>
          <v:shape id="_x0000_s1205" type="#_x0000_t202" style="position:absolute;left:0;text-align:left;margin-left:463.75pt;margin-top:7.1pt;width:78.6pt;height:11.45pt;z-index:251660288" filled="f" stroked="f">
            <v:textbox inset="1mm,0,1mm,0">
              <w:txbxContent>
                <w:p w:rsidR="00656DBA" w:rsidRDefault="00656DBA" w:rsidP="00656DBA">
                  <w:pPr>
                    <w:spacing w:line="160" w:lineRule="exact"/>
                    <w:rPr>
                      <w:rFonts w:cs="Miriam" w:hint="cs"/>
                      <w:sz w:val="18"/>
                      <w:szCs w:val="18"/>
                      <w:rtl/>
                    </w:rPr>
                  </w:pPr>
                  <w:r>
                    <w:rPr>
                      <w:rFonts w:cs="Miriam" w:hint="cs"/>
                      <w:sz w:val="18"/>
                      <w:szCs w:val="18"/>
                      <w:rtl/>
                    </w:rPr>
                    <w:t>כללים תשע"ח-2018</w:t>
                  </w:r>
                </w:p>
              </w:txbxContent>
            </v:textbox>
          </v:shape>
        </w:pict>
      </w:r>
      <w:r>
        <w:rPr>
          <w:rStyle w:val="default"/>
          <w:rFonts w:cs="FrankRuehl" w:hint="cs"/>
          <w:rtl/>
        </w:rPr>
        <w:t>(7)</w:t>
      </w:r>
      <w:r>
        <w:rPr>
          <w:rStyle w:val="default"/>
          <w:rFonts w:cs="FrankRuehl"/>
          <w:rtl/>
        </w:rPr>
        <w:tab/>
      </w:r>
      <w:r>
        <w:rPr>
          <w:rStyle w:val="default"/>
          <w:rFonts w:cs="FrankRuehl" w:hint="cs"/>
          <w:rtl/>
        </w:rPr>
        <w:t>הצעת ניירות ערך של חברת מעטפת או תאגיד מדווח ששינה את עיקר עסקיו לאחר קבלת היתר לתשקיף מדף או שבכוונתו לעשות שימוש בתמורת ההנפקה לצורך רכישת נכסים או פעילות שיהוו לאחר ההנפקה את עיקר עסקיו</w:t>
      </w:r>
      <w:r w:rsidR="00F4206E">
        <w:rPr>
          <w:rStyle w:val="default"/>
          <w:rFonts w:cs="FrankRuehl" w:hint="cs"/>
          <w:rtl/>
        </w:rPr>
        <w:t>;</w:t>
      </w:r>
    </w:p>
    <w:p w:rsidR="00F4206E" w:rsidRDefault="00F4206E" w:rsidP="00F4206E">
      <w:pPr>
        <w:pStyle w:val="P00"/>
        <w:spacing w:before="72"/>
        <w:ind w:left="624" w:right="1134"/>
        <w:rPr>
          <w:rStyle w:val="default"/>
          <w:rFonts w:cs="FrankRuehl"/>
          <w:rtl/>
        </w:rPr>
      </w:pPr>
      <w:r>
        <w:rPr>
          <w:rFonts w:cs="FrankRuehl" w:hint="cs"/>
          <w:sz w:val="26"/>
          <w:rtl/>
          <w:lang w:eastAsia="en-US"/>
        </w:rPr>
        <w:pict>
          <v:shape id="_x0000_s1206" type="#_x0000_t202" style="position:absolute;left:0;text-align:left;margin-left:463.75pt;margin-top:7.1pt;width:78.6pt;height:11.45pt;z-index:251661312" filled="f" stroked="f">
            <v:textbox inset="1mm,0,1mm,0">
              <w:txbxContent>
                <w:p w:rsidR="00F4206E" w:rsidRDefault="00F4206E" w:rsidP="00F4206E">
                  <w:pPr>
                    <w:spacing w:line="160" w:lineRule="exact"/>
                    <w:rPr>
                      <w:rFonts w:cs="Miriam" w:hint="cs"/>
                      <w:sz w:val="18"/>
                      <w:szCs w:val="18"/>
                      <w:rtl/>
                    </w:rPr>
                  </w:pPr>
                  <w:r>
                    <w:rPr>
                      <w:rFonts w:cs="Miriam" w:hint="cs"/>
                      <w:sz w:val="18"/>
                      <w:szCs w:val="18"/>
                      <w:rtl/>
                    </w:rPr>
                    <w:t>כללים תש"ף-2020</w:t>
                  </w:r>
                </w:p>
              </w:txbxContent>
            </v:textbox>
          </v:shape>
        </w:pict>
      </w:r>
      <w:r>
        <w:rPr>
          <w:rStyle w:val="default"/>
          <w:rFonts w:cs="FrankRuehl" w:hint="cs"/>
          <w:rtl/>
        </w:rPr>
        <w:t>(8)</w:t>
      </w:r>
      <w:r>
        <w:rPr>
          <w:rStyle w:val="default"/>
          <w:rFonts w:cs="FrankRuehl"/>
          <w:rtl/>
        </w:rPr>
        <w:tab/>
      </w:r>
      <w:r>
        <w:rPr>
          <w:rStyle w:val="default"/>
          <w:rFonts w:cs="FrankRuehl" w:hint="cs"/>
          <w:rtl/>
        </w:rPr>
        <w:t>נודע לתאגיד כי החל בירור מינהלי או חקירה פלילית נגד התאגיד, נושאי משרה בו או בעל השליטה בו לגבי קיומה של הפרה או עבירה לפי החוק, וכל עוד מתקיים הליך בקשר להפרה או העבירה כאמור, אלא אם כן הודיעה לו הרשות אחרת.</w:t>
      </w:r>
    </w:p>
    <w:p w:rsidR="00656DBA" w:rsidRPr="00F4206E" w:rsidRDefault="00656DBA" w:rsidP="00656DBA">
      <w:pPr>
        <w:pStyle w:val="P00"/>
        <w:spacing w:before="0"/>
        <w:ind w:left="624" w:right="1134"/>
        <w:rPr>
          <w:rStyle w:val="default"/>
          <w:rFonts w:cs="FrankRuehl"/>
          <w:vanish/>
          <w:color w:val="FF0000"/>
          <w:sz w:val="20"/>
          <w:szCs w:val="20"/>
          <w:shd w:val="clear" w:color="auto" w:fill="FFFF99"/>
          <w:rtl/>
        </w:rPr>
      </w:pPr>
      <w:bookmarkStart w:id="4" w:name="Rov6"/>
      <w:r w:rsidRPr="00F4206E">
        <w:rPr>
          <w:rStyle w:val="default"/>
          <w:rFonts w:cs="FrankRuehl" w:hint="cs"/>
          <w:vanish/>
          <w:color w:val="FF0000"/>
          <w:sz w:val="20"/>
          <w:szCs w:val="20"/>
          <w:shd w:val="clear" w:color="auto" w:fill="FFFF99"/>
          <w:rtl/>
        </w:rPr>
        <w:t>מיום 10.7.2018</w:t>
      </w:r>
    </w:p>
    <w:p w:rsidR="00656DBA" w:rsidRPr="00F4206E" w:rsidRDefault="00656DBA" w:rsidP="00656DBA">
      <w:pPr>
        <w:pStyle w:val="P00"/>
        <w:spacing w:before="0"/>
        <w:ind w:left="624" w:right="1134"/>
        <w:rPr>
          <w:rStyle w:val="default"/>
          <w:rFonts w:cs="FrankRuehl"/>
          <w:vanish/>
          <w:sz w:val="20"/>
          <w:szCs w:val="20"/>
          <w:shd w:val="clear" w:color="auto" w:fill="FFFF99"/>
          <w:rtl/>
        </w:rPr>
      </w:pPr>
      <w:r w:rsidRPr="00F4206E">
        <w:rPr>
          <w:rStyle w:val="default"/>
          <w:rFonts w:cs="FrankRuehl" w:hint="cs"/>
          <w:b/>
          <w:bCs/>
          <w:vanish/>
          <w:sz w:val="20"/>
          <w:szCs w:val="20"/>
          <w:shd w:val="clear" w:color="auto" w:fill="FFFF99"/>
          <w:rtl/>
        </w:rPr>
        <w:t>כללים תשע"ח-2018</w:t>
      </w:r>
    </w:p>
    <w:p w:rsidR="00656DBA" w:rsidRPr="00F4206E" w:rsidRDefault="00656DBA" w:rsidP="00656DBA">
      <w:pPr>
        <w:pStyle w:val="P00"/>
        <w:spacing w:before="0"/>
        <w:ind w:left="624" w:right="1134"/>
        <w:rPr>
          <w:rStyle w:val="default"/>
          <w:rFonts w:cs="FrankRuehl"/>
          <w:vanish/>
          <w:sz w:val="20"/>
          <w:szCs w:val="20"/>
          <w:shd w:val="clear" w:color="auto" w:fill="FFFF99"/>
          <w:rtl/>
        </w:rPr>
      </w:pPr>
      <w:hyperlink r:id="rId9" w:history="1">
        <w:r w:rsidRPr="00F4206E">
          <w:rPr>
            <w:rStyle w:val="Hyperlink"/>
            <w:rFonts w:cs="FrankRuehl" w:hint="cs"/>
            <w:vanish/>
            <w:szCs w:val="20"/>
            <w:shd w:val="clear" w:color="auto" w:fill="FFFF99"/>
            <w:rtl/>
          </w:rPr>
          <w:t>ק"ת תשע"ח מס' 8016</w:t>
        </w:r>
      </w:hyperlink>
      <w:r w:rsidRPr="00F4206E">
        <w:rPr>
          <w:rStyle w:val="default"/>
          <w:rFonts w:cs="FrankRuehl" w:hint="cs"/>
          <w:vanish/>
          <w:sz w:val="20"/>
          <w:szCs w:val="20"/>
          <w:shd w:val="clear" w:color="auto" w:fill="FFFF99"/>
          <w:rtl/>
        </w:rPr>
        <w:t xml:space="preserve"> מיום 10.6.2018 עמ' 2147</w:t>
      </w:r>
    </w:p>
    <w:p w:rsidR="00F4206E" w:rsidRPr="00F4206E" w:rsidRDefault="00F4206E" w:rsidP="00656DBA">
      <w:pPr>
        <w:pStyle w:val="P00"/>
        <w:spacing w:before="0"/>
        <w:ind w:left="624" w:right="1134"/>
        <w:rPr>
          <w:rStyle w:val="default"/>
          <w:rFonts w:cs="FrankRuehl"/>
          <w:vanish/>
          <w:sz w:val="20"/>
          <w:szCs w:val="20"/>
          <w:shd w:val="clear" w:color="auto" w:fill="FFFF99"/>
          <w:rtl/>
        </w:rPr>
      </w:pPr>
      <w:r w:rsidRPr="00F4206E">
        <w:rPr>
          <w:rStyle w:val="default"/>
          <w:rFonts w:cs="FrankRuehl" w:hint="cs"/>
          <w:b/>
          <w:bCs/>
          <w:vanish/>
          <w:sz w:val="20"/>
          <w:szCs w:val="20"/>
          <w:shd w:val="clear" w:color="auto" w:fill="FFFF99"/>
          <w:rtl/>
        </w:rPr>
        <w:t>הוספת פסקאות 2(6), 2(7)</w:t>
      </w:r>
    </w:p>
    <w:p w:rsidR="00F4206E" w:rsidRPr="00F4206E" w:rsidRDefault="00F4206E" w:rsidP="00656DBA">
      <w:pPr>
        <w:pStyle w:val="P00"/>
        <w:spacing w:before="0"/>
        <w:ind w:left="624" w:right="1134"/>
        <w:rPr>
          <w:rStyle w:val="default"/>
          <w:rFonts w:cs="FrankRuehl"/>
          <w:vanish/>
          <w:sz w:val="20"/>
          <w:szCs w:val="20"/>
          <w:shd w:val="clear" w:color="auto" w:fill="FFFF99"/>
          <w:rtl/>
        </w:rPr>
      </w:pPr>
    </w:p>
    <w:p w:rsidR="00F4206E" w:rsidRPr="00F4206E" w:rsidRDefault="00F4206E" w:rsidP="00656DBA">
      <w:pPr>
        <w:pStyle w:val="P00"/>
        <w:spacing w:before="0"/>
        <w:ind w:left="624" w:right="1134"/>
        <w:rPr>
          <w:rStyle w:val="default"/>
          <w:rFonts w:cs="FrankRuehl"/>
          <w:vanish/>
          <w:color w:val="FF0000"/>
          <w:sz w:val="20"/>
          <w:szCs w:val="20"/>
          <w:shd w:val="clear" w:color="auto" w:fill="FFFF99"/>
          <w:rtl/>
        </w:rPr>
      </w:pPr>
      <w:r w:rsidRPr="00F4206E">
        <w:rPr>
          <w:rStyle w:val="default"/>
          <w:rFonts w:cs="FrankRuehl" w:hint="cs"/>
          <w:vanish/>
          <w:color w:val="FF0000"/>
          <w:sz w:val="20"/>
          <w:szCs w:val="20"/>
          <w:shd w:val="clear" w:color="auto" w:fill="FFFF99"/>
          <w:rtl/>
        </w:rPr>
        <w:t>מיום 7.6.2020</w:t>
      </w:r>
    </w:p>
    <w:p w:rsidR="00F4206E" w:rsidRPr="00F4206E" w:rsidRDefault="00F4206E" w:rsidP="00656DBA">
      <w:pPr>
        <w:pStyle w:val="P00"/>
        <w:spacing w:before="0"/>
        <w:ind w:left="624" w:right="1134"/>
        <w:rPr>
          <w:rStyle w:val="default"/>
          <w:rFonts w:cs="FrankRuehl"/>
          <w:vanish/>
          <w:sz w:val="20"/>
          <w:szCs w:val="20"/>
          <w:shd w:val="clear" w:color="auto" w:fill="FFFF99"/>
          <w:rtl/>
        </w:rPr>
      </w:pPr>
      <w:r w:rsidRPr="00F4206E">
        <w:rPr>
          <w:rStyle w:val="default"/>
          <w:rFonts w:cs="FrankRuehl" w:hint="cs"/>
          <w:b/>
          <w:bCs/>
          <w:vanish/>
          <w:sz w:val="20"/>
          <w:szCs w:val="20"/>
          <w:shd w:val="clear" w:color="auto" w:fill="FFFF99"/>
          <w:rtl/>
        </w:rPr>
        <w:t>כללים תש"ף-2020</w:t>
      </w:r>
    </w:p>
    <w:p w:rsidR="00F4206E" w:rsidRPr="00F4206E" w:rsidRDefault="00F4206E" w:rsidP="00656DBA">
      <w:pPr>
        <w:pStyle w:val="P00"/>
        <w:spacing w:before="0"/>
        <w:ind w:left="624" w:right="1134"/>
        <w:rPr>
          <w:rStyle w:val="default"/>
          <w:rFonts w:cs="FrankRuehl"/>
          <w:vanish/>
          <w:sz w:val="20"/>
          <w:szCs w:val="20"/>
          <w:shd w:val="clear" w:color="auto" w:fill="FFFF99"/>
          <w:rtl/>
        </w:rPr>
      </w:pPr>
      <w:hyperlink r:id="rId10" w:history="1">
        <w:r w:rsidRPr="00F4206E">
          <w:rPr>
            <w:rStyle w:val="Hyperlink"/>
            <w:rFonts w:cs="FrankRuehl" w:hint="cs"/>
            <w:vanish/>
            <w:szCs w:val="20"/>
            <w:shd w:val="clear" w:color="auto" w:fill="FFFF99"/>
            <w:rtl/>
          </w:rPr>
          <w:t>ק"ת תש"ף מס' 8590</w:t>
        </w:r>
      </w:hyperlink>
      <w:r w:rsidRPr="00F4206E">
        <w:rPr>
          <w:rStyle w:val="default"/>
          <w:rFonts w:cs="FrankRuehl" w:hint="cs"/>
          <w:vanish/>
          <w:sz w:val="20"/>
          <w:szCs w:val="20"/>
          <w:shd w:val="clear" w:color="auto" w:fill="FFFF99"/>
          <w:rtl/>
        </w:rPr>
        <w:t xml:space="preserve"> מיום 7.6.2020 עמ' 1504</w:t>
      </w:r>
    </w:p>
    <w:p w:rsidR="00656DBA" w:rsidRPr="00656DBA" w:rsidRDefault="00656DBA" w:rsidP="00656DBA">
      <w:pPr>
        <w:pStyle w:val="P00"/>
        <w:spacing w:before="0"/>
        <w:ind w:left="624" w:right="1134"/>
        <w:rPr>
          <w:rStyle w:val="default"/>
          <w:rFonts w:cs="FrankRuehl"/>
          <w:sz w:val="2"/>
          <w:szCs w:val="2"/>
          <w:rtl/>
        </w:rPr>
      </w:pPr>
      <w:r w:rsidRPr="00F4206E">
        <w:rPr>
          <w:rStyle w:val="default"/>
          <w:rFonts w:cs="FrankRuehl" w:hint="cs"/>
          <w:b/>
          <w:bCs/>
          <w:vanish/>
          <w:sz w:val="20"/>
          <w:szCs w:val="20"/>
          <w:shd w:val="clear" w:color="auto" w:fill="FFFF99"/>
          <w:rtl/>
        </w:rPr>
        <w:t>הוספת פסק</w:t>
      </w:r>
      <w:r w:rsidR="00F4206E" w:rsidRPr="00F4206E">
        <w:rPr>
          <w:rStyle w:val="default"/>
          <w:rFonts w:cs="FrankRuehl" w:hint="cs"/>
          <w:b/>
          <w:bCs/>
          <w:vanish/>
          <w:sz w:val="20"/>
          <w:szCs w:val="20"/>
          <w:shd w:val="clear" w:color="auto" w:fill="FFFF99"/>
          <w:rtl/>
        </w:rPr>
        <w:t>ה</w:t>
      </w:r>
      <w:r w:rsidRPr="00F4206E">
        <w:rPr>
          <w:rStyle w:val="default"/>
          <w:rFonts w:cs="FrankRuehl" w:hint="cs"/>
          <w:b/>
          <w:bCs/>
          <w:vanish/>
          <w:sz w:val="20"/>
          <w:szCs w:val="20"/>
          <w:shd w:val="clear" w:color="auto" w:fill="FFFF99"/>
          <w:rtl/>
        </w:rPr>
        <w:t xml:space="preserve"> 2(</w:t>
      </w:r>
      <w:r w:rsidR="00F4206E" w:rsidRPr="00F4206E">
        <w:rPr>
          <w:rStyle w:val="default"/>
          <w:rFonts w:cs="FrankRuehl" w:hint="cs"/>
          <w:b/>
          <w:bCs/>
          <w:vanish/>
          <w:sz w:val="20"/>
          <w:szCs w:val="20"/>
          <w:shd w:val="clear" w:color="auto" w:fill="FFFF99"/>
          <w:rtl/>
        </w:rPr>
        <w:t>8</w:t>
      </w:r>
      <w:r w:rsidRPr="00F4206E">
        <w:rPr>
          <w:rStyle w:val="default"/>
          <w:rFonts w:cs="FrankRuehl" w:hint="cs"/>
          <w:b/>
          <w:bCs/>
          <w:vanish/>
          <w:sz w:val="20"/>
          <w:szCs w:val="20"/>
          <w:shd w:val="clear" w:color="auto" w:fill="FFFF99"/>
          <w:rtl/>
        </w:rPr>
        <w:t>)</w:t>
      </w:r>
      <w:bookmarkEnd w:id="4"/>
    </w:p>
    <w:p w:rsidR="00602685" w:rsidRDefault="00602685" w:rsidP="00162F22">
      <w:pPr>
        <w:pStyle w:val="P00"/>
        <w:spacing w:before="72"/>
        <w:ind w:left="0" w:right="1134"/>
        <w:rPr>
          <w:rStyle w:val="big-number"/>
          <w:rFonts w:cs="FrankRuehl" w:hint="cs"/>
          <w:sz w:val="26"/>
          <w:szCs w:val="26"/>
          <w:rtl/>
        </w:rPr>
      </w:pPr>
      <w:bookmarkStart w:id="5" w:name="Seif3"/>
      <w:bookmarkEnd w:id="5"/>
      <w:r>
        <w:rPr>
          <w:rFonts w:cs="Miriam"/>
          <w:lang w:val="he-IL"/>
        </w:rPr>
        <w:pict>
          <v:rect id="_x0000_s1201" style="position:absolute;left:0;text-align:left;margin-left:468pt;margin-top:8.05pt;width:70.55pt;height:9.1pt;z-index:251656192" filled="f" stroked="f" strokecolor="lime" strokeweight=".25pt">
            <v:textbox style="mso-next-textbox:#_x0000_s1201" inset="1mm,0,1mm,0">
              <w:txbxContent>
                <w:p w:rsidR="00602685" w:rsidRDefault="00602685" w:rsidP="00602685">
                  <w:pPr>
                    <w:spacing w:line="160" w:lineRule="exact"/>
                    <w:rPr>
                      <w:rFonts w:cs="Miriam" w:hint="cs"/>
                      <w:noProof/>
                      <w:sz w:val="18"/>
                      <w:szCs w:val="18"/>
                      <w:rtl/>
                    </w:rPr>
                  </w:pPr>
                  <w:r>
                    <w:rPr>
                      <w:rFonts w:cs="Miriam" w:hint="cs"/>
                      <w:sz w:val="18"/>
                      <w:szCs w:val="18"/>
                      <w:rtl/>
                    </w:rPr>
                    <w:t>תחילה</w:t>
                  </w:r>
                </w:p>
              </w:txbxContent>
            </v:textbox>
            <w10:anchorlock/>
          </v:rect>
        </w:pict>
      </w:r>
      <w:r w:rsidR="00162F22">
        <w:rPr>
          <w:rStyle w:val="big-number"/>
          <w:rFonts w:cs="Miriam" w:hint="cs"/>
          <w:rtl/>
        </w:rPr>
        <w:t>3</w:t>
      </w:r>
      <w:r w:rsidRPr="004D0387">
        <w:rPr>
          <w:rStyle w:val="default"/>
          <w:rFonts w:cs="FrankRuehl" w:hint="cs"/>
          <w:rtl/>
        </w:rPr>
        <w:t>.</w:t>
      </w:r>
      <w:r w:rsidRPr="004D0387">
        <w:rPr>
          <w:rStyle w:val="default"/>
          <w:rFonts w:cs="FrankRuehl"/>
          <w:rtl/>
        </w:rPr>
        <w:tab/>
      </w:r>
      <w:r w:rsidR="00162F22">
        <w:rPr>
          <w:rStyle w:val="default"/>
          <w:rFonts w:cs="FrankRuehl" w:hint="cs"/>
          <w:rtl/>
        </w:rPr>
        <w:t>תחילתם של כללים אלה 30 ימים מיום פרסומם</w:t>
      </w:r>
      <w:r w:rsidRPr="004D0387">
        <w:rPr>
          <w:rStyle w:val="default"/>
          <w:rFonts w:cs="FrankRuehl"/>
          <w:rtl/>
        </w:rPr>
        <w:t>.</w:t>
      </w:r>
    </w:p>
    <w:p w:rsidR="00081E36" w:rsidRDefault="00081E36">
      <w:pPr>
        <w:pStyle w:val="P00"/>
        <w:spacing w:before="72"/>
        <w:ind w:left="0" w:right="1134"/>
        <w:rPr>
          <w:rStyle w:val="default"/>
          <w:rFonts w:cs="FrankRuehl" w:hint="cs"/>
          <w:rtl/>
        </w:rPr>
      </w:pPr>
    </w:p>
    <w:p w:rsidR="00081E36" w:rsidRDefault="00081E36">
      <w:pPr>
        <w:pStyle w:val="P00"/>
        <w:spacing w:before="72"/>
        <w:ind w:left="0" w:right="1134"/>
        <w:rPr>
          <w:rStyle w:val="default"/>
          <w:rFonts w:cs="FrankRuehl" w:hint="cs"/>
          <w:rtl/>
        </w:rPr>
      </w:pPr>
    </w:p>
    <w:p w:rsidR="00081E36" w:rsidRDefault="00162F22" w:rsidP="00162F22">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כ"ו באדר א' התשע"ו (6 במרס 2016</w:t>
      </w:r>
      <w:r w:rsidR="00081E36">
        <w:rPr>
          <w:rFonts w:cs="FrankRuehl" w:hint="cs"/>
          <w:sz w:val="26"/>
          <w:szCs w:val="26"/>
          <w:rtl/>
        </w:rPr>
        <w:t>)</w:t>
      </w:r>
      <w:r>
        <w:rPr>
          <w:rFonts w:cs="FrankRuehl" w:hint="cs"/>
          <w:sz w:val="26"/>
          <w:szCs w:val="26"/>
          <w:rtl/>
        </w:rPr>
        <w:tab/>
        <w:t>שמואל האוזר</w:t>
      </w:r>
    </w:p>
    <w:p w:rsidR="00081E36" w:rsidRDefault="00081E36" w:rsidP="00162F2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162F22">
        <w:rPr>
          <w:rFonts w:cs="FrankRuehl" w:hint="cs"/>
          <w:sz w:val="22"/>
          <w:rtl/>
        </w:rPr>
        <w:t>יושב ראש רשות ניירות ערך</w:t>
      </w:r>
    </w:p>
    <w:p w:rsidR="00602685" w:rsidRDefault="00602685">
      <w:pPr>
        <w:pStyle w:val="sig-1"/>
        <w:widowControl/>
        <w:tabs>
          <w:tab w:val="clear" w:pos="851"/>
          <w:tab w:val="clear" w:pos="2835"/>
          <w:tab w:val="clear" w:pos="4820"/>
          <w:tab w:val="center" w:pos="5103"/>
        </w:tabs>
        <w:ind w:left="0" w:right="1134"/>
        <w:rPr>
          <w:rFonts w:cs="FrankRuehl" w:hint="cs"/>
          <w:sz w:val="26"/>
          <w:szCs w:val="26"/>
          <w:rtl/>
        </w:rPr>
      </w:pPr>
    </w:p>
    <w:p w:rsidR="003340F3" w:rsidRDefault="003340F3">
      <w:pPr>
        <w:pStyle w:val="sig-1"/>
        <w:widowControl/>
        <w:tabs>
          <w:tab w:val="clear" w:pos="851"/>
          <w:tab w:val="clear" w:pos="2835"/>
          <w:tab w:val="clear" w:pos="4820"/>
          <w:tab w:val="center" w:pos="5103"/>
        </w:tabs>
        <w:ind w:left="0" w:right="1134"/>
        <w:rPr>
          <w:rFonts w:cs="FrankRuehl"/>
          <w:sz w:val="26"/>
          <w:szCs w:val="26"/>
          <w:rtl/>
        </w:rPr>
      </w:pPr>
    </w:p>
    <w:p w:rsidR="0082372F" w:rsidRDefault="0082372F">
      <w:pPr>
        <w:pStyle w:val="sig-1"/>
        <w:widowControl/>
        <w:tabs>
          <w:tab w:val="clear" w:pos="851"/>
          <w:tab w:val="clear" w:pos="2835"/>
          <w:tab w:val="clear" w:pos="4820"/>
          <w:tab w:val="center" w:pos="5103"/>
        </w:tabs>
        <w:ind w:left="0" w:right="1134"/>
        <w:rPr>
          <w:rFonts w:cs="FrankRuehl"/>
          <w:sz w:val="26"/>
          <w:szCs w:val="26"/>
          <w:rtl/>
        </w:rPr>
      </w:pPr>
    </w:p>
    <w:p w:rsidR="0082372F" w:rsidRDefault="0082372F">
      <w:pPr>
        <w:pStyle w:val="sig-1"/>
        <w:widowControl/>
        <w:tabs>
          <w:tab w:val="clear" w:pos="851"/>
          <w:tab w:val="clear" w:pos="2835"/>
          <w:tab w:val="clear" w:pos="4820"/>
          <w:tab w:val="center" w:pos="5103"/>
        </w:tabs>
        <w:ind w:left="0" w:right="1134"/>
        <w:rPr>
          <w:rFonts w:cs="FrankRuehl"/>
          <w:sz w:val="26"/>
          <w:szCs w:val="26"/>
          <w:rtl/>
        </w:rPr>
      </w:pPr>
    </w:p>
    <w:p w:rsidR="0082372F" w:rsidRDefault="0082372F" w:rsidP="0082372F">
      <w:pPr>
        <w:pStyle w:val="sig-1"/>
        <w:widowControl/>
        <w:tabs>
          <w:tab w:val="clear" w:pos="851"/>
          <w:tab w:val="clear" w:pos="2835"/>
          <w:tab w:val="clear" w:pos="4820"/>
          <w:tab w:val="center" w:pos="5103"/>
        </w:tabs>
        <w:ind w:left="0" w:right="1134"/>
        <w:jc w:val="center"/>
        <w:rPr>
          <w:rFonts w:cs="David"/>
          <w:color w:val="0000FF"/>
          <w:sz w:val="26"/>
          <w:szCs w:val="24"/>
          <w:u w:val="single"/>
          <w:rtl/>
        </w:rPr>
      </w:pPr>
      <w:hyperlink r:id="rId11" w:history="1">
        <w:r>
          <w:rPr>
            <w:rFonts w:cs="David"/>
            <w:color w:val="0000FF"/>
            <w:sz w:val="26"/>
            <w:szCs w:val="24"/>
            <w:u w:val="single"/>
            <w:rtl/>
          </w:rPr>
          <w:t>הודעה למנויים על עריכה ושינויים במסמכי פסיקה, חקיקה ועוד באתר נבו - הקש כאן</w:t>
        </w:r>
      </w:hyperlink>
    </w:p>
    <w:p w:rsidR="003340F3" w:rsidRPr="0082372F" w:rsidRDefault="003340F3" w:rsidP="0082372F">
      <w:pPr>
        <w:pStyle w:val="sig-1"/>
        <w:widowControl/>
        <w:tabs>
          <w:tab w:val="clear" w:pos="851"/>
          <w:tab w:val="clear" w:pos="2835"/>
          <w:tab w:val="clear" w:pos="4820"/>
          <w:tab w:val="center" w:pos="5103"/>
        </w:tabs>
        <w:ind w:left="0" w:right="1134"/>
        <w:jc w:val="center"/>
        <w:rPr>
          <w:rFonts w:cs="David"/>
          <w:color w:val="0000FF"/>
          <w:sz w:val="26"/>
          <w:szCs w:val="24"/>
          <w:u w:val="single"/>
          <w:rtl/>
        </w:rPr>
      </w:pPr>
    </w:p>
    <w:sectPr w:rsidR="003340F3" w:rsidRPr="0082372F">
      <w:headerReference w:type="even" r:id="rId12"/>
      <w:headerReference w:type="default" r:id="rId13"/>
      <w:footerReference w:type="even" r:id="rId14"/>
      <w:footerReference w:type="default" r:id="rId15"/>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3C39" w:rsidRDefault="002A3C39">
      <w:r>
        <w:separator/>
      </w:r>
    </w:p>
  </w:endnote>
  <w:endnote w:type="continuationSeparator" w:id="0">
    <w:p w:rsidR="002A3C39" w:rsidRDefault="002A3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E36" w:rsidRDefault="00081E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81E36" w:rsidRDefault="00081E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81E36" w:rsidRDefault="00081E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T:\00000000-law\yael\05-11-01\999_503.doc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E36" w:rsidRDefault="00081E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86AFE">
      <w:rPr>
        <w:rFonts w:hAnsi="FrankRuehl" w:cs="FrankRuehl"/>
        <w:noProof/>
        <w:sz w:val="24"/>
        <w:szCs w:val="24"/>
        <w:rtl/>
      </w:rPr>
      <w:t>3</w:t>
    </w:r>
    <w:r>
      <w:rPr>
        <w:rFonts w:hAnsi="FrankRuehl" w:cs="FrankRuehl"/>
        <w:sz w:val="24"/>
        <w:szCs w:val="24"/>
        <w:rtl/>
      </w:rPr>
      <w:fldChar w:fldCharType="end"/>
    </w:r>
  </w:p>
  <w:p w:rsidR="00081E36" w:rsidRDefault="00081E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81E36" w:rsidRDefault="00081E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T:\00000000-law\yael\05-11-01\999_503.doc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3C39" w:rsidRDefault="002A3C39">
      <w:r>
        <w:separator/>
      </w:r>
    </w:p>
  </w:footnote>
  <w:footnote w:type="continuationSeparator" w:id="0">
    <w:p w:rsidR="002A3C39" w:rsidRDefault="002A3C39">
      <w:r>
        <w:continuationSeparator/>
      </w:r>
    </w:p>
  </w:footnote>
  <w:footnote w:id="1">
    <w:p w:rsidR="00595874" w:rsidRDefault="00081E36" w:rsidP="00300C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w:t>
      </w:r>
      <w:r w:rsidR="00300C4B">
        <w:rPr>
          <w:rFonts w:cs="FrankRuehl" w:hint="cs"/>
          <w:rtl/>
        </w:rPr>
        <w:t>מו</w:t>
      </w:r>
      <w:r>
        <w:rPr>
          <w:rFonts w:cs="FrankRuehl" w:hint="cs"/>
          <w:rtl/>
        </w:rPr>
        <w:t xml:space="preserve"> </w:t>
      </w:r>
      <w:hyperlink r:id="rId1" w:history="1">
        <w:r w:rsidRPr="00595874">
          <w:rPr>
            <w:rStyle w:val="Hyperlink"/>
            <w:rFonts w:cs="FrankRuehl" w:hint="cs"/>
            <w:rtl/>
          </w:rPr>
          <w:t>ק"ת תש</w:t>
        </w:r>
        <w:r w:rsidR="004353AC" w:rsidRPr="00595874">
          <w:rPr>
            <w:rStyle w:val="Hyperlink"/>
            <w:rFonts w:cs="FrankRuehl" w:hint="cs"/>
            <w:rtl/>
          </w:rPr>
          <w:t>ע</w:t>
        </w:r>
        <w:r w:rsidRPr="00595874">
          <w:rPr>
            <w:rStyle w:val="Hyperlink"/>
            <w:rFonts w:cs="FrankRuehl" w:hint="cs"/>
            <w:rtl/>
          </w:rPr>
          <w:t xml:space="preserve">"ו מס' </w:t>
        </w:r>
        <w:r w:rsidR="004353AC" w:rsidRPr="00595874">
          <w:rPr>
            <w:rStyle w:val="Hyperlink"/>
            <w:rFonts w:cs="FrankRuehl" w:hint="cs"/>
            <w:rtl/>
          </w:rPr>
          <w:t>7644</w:t>
        </w:r>
      </w:hyperlink>
      <w:r>
        <w:rPr>
          <w:rFonts w:cs="FrankRuehl" w:hint="cs"/>
          <w:rtl/>
        </w:rPr>
        <w:t xml:space="preserve"> מיום </w:t>
      </w:r>
      <w:r w:rsidR="004353AC">
        <w:rPr>
          <w:rFonts w:cs="FrankRuehl" w:hint="cs"/>
          <w:rtl/>
        </w:rPr>
        <w:t>10.4.2016</w:t>
      </w:r>
      <w:r>
        <w:rPr>
          <w:rFonts w:cs="FrankRuehl" w:hint="cs"/>
          <w:rtl/>
        </w:rPr>
        <w:t xml:space="preserve"> עמ' </w:t>
      </w:r>
      <w:r w:rsidR="004353AC">
        <w:rPr>
          <w:rFonts w:cs="FrankRuehl" w:hint="cs"/>
          <w:rtl/>
        </w:rPr>
        <w:t>992</w:t>
      </w:r>
      <w:r>
        <w:rPr>
          <w:rFonts w:cs="FrankRuehl" w:hint="cs"/>
          <w:rtl/>
        </w:rPr>
        <w:t>.</w:t>
      </w:r>
    </w:p>
    <w:p w:rsidR="00220865" w:rsidRDefault="00656DBA" w:rsidP="002208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220865">
          <w:rPr>
            <w:rStyle w:val="Hyperlink"/>
            <w:rFonts w:cs="FrankRuehl" w:hint="cs"/>
            <w:rtl/>
          </w:rPr>
          <w:t>ק"ת תשע"ח מס' 8016</w:t>
        </w:r>
      </w:hyperlink>
      <w:r>
        <w:rPr>
          <w:rFonts w:cs="FrankRuehl" w:hint="cs"/>
          <w:rtl/>
        </w:rPr>
        <w:t xml:space="preserve"> מיום 10.6.2018 עמ' 2147 </w:t>
      </w:r>
      <w:r>
        <w:rPr>
          <w:rFonts w:cs="FrankRuehl"/>
          <w:rtl/>
        </w:rPr>
        <w:t>–</w:t>
      </w:r>
      <w:r>
        <w:rPr>
          <w:rFonts w:cs="FrankRuehl" w:hint="cs"/>
          <w:rtl/>
        </w:rPr>
        <w:t xml:space="preserve"> כללים תשע"ח-2018; תחילתם 30 ימים מיום פרסומם.</w:t>
      </w:r>
    </w:p>
    <w:p w:rsidR="00F86AFE" w:rsidRDefault="00F86AFE" w:rsidP="00F86A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F4206E" w:rsidRPr="00F86AFE">
          <w:rPr>
            <w:rStyle w:val="Hyperlink"/>
            <w:rFonts w:cs="FrankRuehl" w:hint="cs"/>
            <w:rtl/>
          </w:rPr>
          <w:t>ק"ת תש"ף מס' 8590</w:t>
        </w:r>
      </w:hyperlink>
      <w:r w:rsidR="00F4206E">
        <w:rPr>
          <w:rFonts w:cs="FrankRuehl" w:hint="cs"/>
          <w:rtl/>
        </w:rPr>
        <w:t xml:space="preserve"> מיום 7.6.2020 עמ' 1504 </w:t>
      </w:r>
      <w:r w:rsidR="00F4206E">
        <w:rPr>
          <w:rFonts w:cs="FrankRuehl"/>
          <w:rtl/>
        </w:rPr>
        <w:t>–</w:t>
      </w:r>
      <w:r w:rsidR="00F4206E">
        <w:rPr>
          <w:rFonts w:cs="FrankRuehl" w:hint="cs"/>
          <w:rtl/>
        </w:rPr>
        <w:t xml:space="preserve"> כללים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E36" w:rsidRDefault="00081E3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81E36" w:rsidRDefault="00081E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81E36" w:rsidRDefault="00081E3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E36" w:rsidRDefault="004353AC" w:rsidP="004353A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w:t>
    </w:r>
    <w:r w:rsidR="00081E36">
      <w:rPr>
        <w:rFonts w:hAnsi="FrankRuehl" w:cs="FrankRuehl" w:hint="cs"/>
        <w:color w:val="000000"/>
        <w:sz w:val="28"/>
        <w:szCs w:val="28"/>
        <w:rtl/>
      </w:rPr>
      <w:t xml:space="preserve"> ניירות ערך (</w:t>
    </w:r>
    <w:r>
      <w:rPr>
        <w:rFonts w:hAnsi="FrankRuehl" w:cs="FrankRuehl" w:hint="cs"/>
        <w:color w:val="000000"/>
        <w:sz w:val="28"/>
        <w:szCs w:val="28"/>
        <w:rtl/>
      </w:rPr>
      <w:t>מקרים שבהם פרסום דוח הצעת מדף יהיה טעון היתר מאת רשות ניירות ערך), תשע"ו-2016</w:t>
    </w:r>
  </w:p>
  <w:p w:rsidR="00081E36" w:rsidRDefault="00081E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81E36" w:rsidRDefault="00081E3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5026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2CC3"/>
    <w:rsid w:val="00081E36"/>
    <w:rsid w:val="00162F22"/>
    <w:rsid w:val="00220865"/>
    <w:rsid w:val="00222CC3"/>
    <w:rsid w:val="002560D9"/>
    <w:rsid w:val="002A3C39"/>
    <w:rsid w:val="002B5705"/>
    <w:rsid w:val="002D68D3"/>
    <w:rsid w:val="00300C4B"/>
    <w:rsid w:val="003340F3"/>
    <w:rsid w:val="00346EFC"/>
    <w:rsid w:val="00392BD4"/>
    <w:rsid w:val="003E527F"/>
    <w:rsid w:val="00415AC5"/>
    <w:rsid w:val="004353AC"/>
    <w:rsid w:val="004D0387"/>
    <w:rsid w:val="00595874"/>
    <w:rsid w:val="005A0F56"/>
    <w:rsid w:val="00602685"/>
    <w:rsid w:val="00656DBA"/>
    <w:rsid w:val="00820AF8"/>
    <w:rsid w:val="0082372F"/>
    <w:rsid w:val="008266AD"/>
    <w:rsid w:val="0098305D"/>
    <w:rsid w:val="00A17077"/>
    <w:rsid w:val="00A473CD"/>
    <w:rsid w:val="00C65DF2"/>
    <w:rsid w:val="00D02944"/>
    <w:rsid w:val="00EA5D98"/>
    <w:rsid w:val="00F4206E"/>
    <w:rsid w:val="00F7072B"/>
    <w:rsid w:val="00F86AFE"/>
    <w:rsid w:val="00FF11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8DACE17-C0E7-478E-8801-4FD367E6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656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016.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word/law06/tak-8016.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evo.co.il/Law_word/law06/tak-8590.pdf" TargetMode="External"/><Relationship Id="rId4" Type="http://schemas.openxmlformats.org/officeDocument/2006/relationships/webSettings" Target="webSettings.xml"/><Relationship Id="rId9" Type="http://schemas.openxmlformats.org/officeDocument/2006/relationships/hyperlink" Target="http://www.nevo.co.il/Law_word/law06/tak-8016.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590.pdf" TargetMode="External"/><Relationship Id="rId2" Type="http://schemas.openxmlformats.org/officeDocument/2006/relationships/hyperlink" Target="http://www.nevo.co.il/Law_word/law06/TAK-8016.pdf" TargetMode="External"/><Relationship Id="rId1" Type="http://schemas.openxmlformats.org/officeDocument/2006/relationships/hyperlink" Target="http://www.nevo.co.il/Law_word/law06/tak-76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4059</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7536659</vt:i4>
      </vt:variant>
      <vt:variant>
        <vt:i4>27</vt:i4>
      </vt:variant>
      <vt:variant>
        <vt:i4>0</vt:i4>
      </vt:variant>
      <vt:variant>
        <vt:i4>5</vt:i4>
      </vt:variant>
      <vt:variant>
        <vt:lpwstr>https://www.nevo.co.il/Law_word/law06/tak-8590.pdf</vt:lpwstr>
      </vt:variant>
      <vt:variant>
        <vt:lpwstr/>
      </vt:variant>
      <vt:variant>
        <vt:i4>7340046</vt:i4>
      </vt:variant>
      <vt:variant>
        <vt:i4>24</vt:i4>
      </vt:variant>
      <vt:variant>
        <vt:i4>0</vt:i4>
      </vt:variant>
      <vt:variant>
        <vt:i4>5</vt:i4>
      </vt:variant>
      <vt:variant>
        <vt:lpwstr>http://www.nevo.co.il/Law_word/law06/tak-8016.pdf</vt:lpwstr>
      </vt:variant>
      <vt:variant>
        <vt:lpwstr/>
      </vt:variant>
      <vt:variant>
        <vt:i4>7340046</vt:i4>
      </vt:variant>
      <vt:variant>
        <vt:i4>21</vt:i4>
      </vt:variant>
      <vt:variant>
        <vt:i4>0</vt:i4>
      </vt:variant>
      <vt:variant>
        <vt:i4>5</vt:i4>
      </vt:variant>
      <vt:variant>
        <vt:lpwstr>http://www.nevo.co.il/Law_word/law06/tak-8016.pdf</vt:lpwstr>
      </vt:variant>
      <vt:variant>
        <vt:lpwstr/>
      </vt:variant>
      <vt:variant>
        <vt:i4>7340046</vt:i4>
      </vt:variant>
      <vt:variant>
        <vt:i4>18</vt:i4>
      </vt:variant>
      <vt:variant>
        <vt:i4>0</vt:i4>
      </vt:variant>
      <vt:variant>
        <vt:i4>5</vt:i4>
      </vt:variant>
      <vt:variant>
        <vt:lpwstr>http://www.nevo.co.il/Law_word/law06/tak-8016.pdf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7536659</vt:i4>
      </vt:variant>
      <vt:variant>
        <vt:i4>6</vt:i4>
      </vt:variant>
      <vt:variant>
        <vt:i4>0</vt:i4>
      </vt:variant>
      <vt:variant>
        <vt:i4>5</vt:i4>
      </vt:variant>
      <vt:variant>
        <vt:lpwstr>https://www.nevo.co.il/law_word/law06/tak-8590.pdf</vt:lpwstr>
      </vt:variant>
      <vt:variant>
        <vt:lpwstr/>
      </vt:variant>
      <vt:variant>
        <vt:i4>7340046</vt:i4>
      </vt:variant>
      <vt:variant>
        <vt:i4>3</vt:i4>
      </vt:variant>
      <vt:variant>
        <vt:i4>0</vt:i4>
      </vt:variant>
      <vt:variant>
        <vt:i4>5</vt:i4>
      </vt:variant>
      <vt:variant>
        <vt:lpwstr>http://www.nevo.co.il/Law_word/law06/TAK-8016.pdf</vt:lpwstr>
      </vt:variant>
      <vt:variant>
        <vt:lpwstr/>
      </vt:variant>
      <vt:variant>
        <vt:i4>7995402</vt:i4>
      </vt:variant>
      <vt:variant>
        <vt:i4>0</vt:i4>
      </vt:variant>
      <vt:variant>
        <vt:i4>0</vt:i4>
      </vt:variant>
      <vt:variant>
        <vt:i4>5</vt:i4>
      </vt:variant>
      <vt:variant>
        <vt:lpwstr>http://www.nevo.co.il/Law_word/law06/tak-7644.pdf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ניירות ערך (מקרים שבהם פרסום דוח הצעת מדף יהיה טעון היתר מאת רשות ניירות ערך), תשע"ו-2016</vt:lpwstr>
  </property>
  <property fmtid="{D5CDD505-2E9C-101B-9397-08002B2CF9AE}" pid="4" name="LAWNUMBER">
    <vt:lpwstr>0386</vt:lpwstr>
  </property>
  <property fmtid="{D5CDD505-2E9C-101B-9397-08002B2CF9AE}" pid="5" name="TYPE">
    <vt:lpwstr>01</vt:lpwstr>
  </property>
  <property fmtid="{D5CDD505-2E9C-101B-9397-08002B2CF9AE}" pid="6" name="CHNAME">
    <vt:lpwstr>ניירות ערך</vt:lpwstr>
  </property>
  <property fmtid="{D5CDD505-2E9C-101B-9397-08002B2CF9AE}" pid="7" name="LINKK3">
    <vt:lpwstr>https://www.nevo.co.il/law_word/law06/tak-8590.pdf‏;רשומות - תקנות כלליות#ק"ת תש"ף מס' ‏‏8590 #מיום 7.6.2020 עמ' 1504 – כללים תש"ף-2020‏</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NAME1">
    <vt:lpwstr>חוק ניירות ערך</vt:lpwstr>
  </property>
  <property fmtid="{D5CDD505-2E9C-101B-9397-08002B2CF9AE}" pid="21" name="MEKOR_SAIF1">
    <vt:lpwstr>23אXזX1X</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ניירות ערך</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תאגידים וניירות ערך</vt:lpwstr>
  </property>
  <property fmtid="{D5CDD505-2E9C-101B-9397-08002B2CF9AE}" pid="28" name="NOSE32">
    <vt:lpwstr>תשקיפים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LINKK1">
    <vt:lpwstr>http://www.nevo.co.il/Law_word/law06/tak-7644.pdf;‎רשומות - תקנות כלליות#פורסם ק"ת תשע"ו ‏מס' 7644 #מיום 10.4.2016 עמ' 992‏</vt:lpwstr>
  </property>
  <property fmtid="{D5CDD505-2E9C-101B-9397-08002B2CF9AE}" pid="64" name="LINKK2">
    <vt:lpwstr>http://www.nevo.co.il/Law_word/law06/TAK-8016.pdf;רשומות - תקנות כלליות#תוקנו ק"ת תשע"ח מס' 8016 #מיום 10.6.2018 עמ' 2147 – כללים תשע"ח-2018; תחילתם 30 ימים מיום פרסומם</vt:lpwstr>
  </property>
</Properties>
</file>