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3D7" w:rsidRDefault="00320967" w:rsidP="00320967">
      <w:pPr>
        <w:pStyle w:val="big-header"/>
        <w:ind w:left="0" w:right="1134"/>
      </w:pPr>
      <w:r>
        <w:rPr>
          <w:rFonts w:hint="cs"/>
          <w:rtl/>
        </w:rPr>
        <w:t>כללי</w:t>
      </w:r>
      <w:r w:rsidR="00E22C9F">
        <w:rPr>
          <w:rFonts w:hint="cs"/>
          <w:rtl/>
        </w:rPr>
        <w:t xml:space="preserve"> נתוני אשראי (</w:t>
      </w:r>
      <w:r w:rsidR="00E7102F">
        <w:rPr>
          <w:rFonts w:hint="cs"/>
          <w:rtl/>
        </w:rPr>
        <w:t>גמול והחזר הוצאות לחברי הוועדה המייעצת</w:t>
      </w:r>
      <w:r w:rsidR="009816EA">
        <w:rPr>
          <w:rFonts w:hint="cs"/>
          <w:rtl/>
        </w:rPr>
        <w:t xml:space="preserve">), </w:t>
      </w:r>
      <w:r w:rsidR="00E7102F">
        <w:rPr>
          <w:rtl/>
        </w:rPr>
        <w:br/>
      </w:r>
      <w:r>
        <w:rPr>
          <w:rFonts w:hint="cs"/>
          <w:rtl/>
        </w:rPr>
        <w:t>תשע"</w:t>
      </w:r>
      <w:r w:rsidR="00E7102F">
        <w:rPr>
          <w:rFonts w:hint="cs"/>
          <w:rtl/>
        </w:rPr>
        <w:t>ח</w:t>
      </w:r>
      <w:r>
        <w:rPr>
          <w:rFonts w:hint="cs"/>
          <w:rtl/>
        </w:rPr>
        <w:t>-2017</w:t>
      </w:r>
    </w:p>
    <w:p w:rsidR="006D2E19" w:rsidRDefault="006D2E19" w:rsidP="006D2E19">
      <w:pPr>
        <w:spacing w:line="320" w:lineRule="auto"/>
        <w:jc w:val="left"/>
        <w:rPr>
          <w:rFonts w:cs="FrankRuehl"/>
          <w:szCs w:val="26"/>
        </w:rPr>
      </w:pPr>
    </w:p>
    <w:p w:rsidR="006D2E19" w:rsidRDefault="006D2E19" w:rsidP="006D2E19">
      <w:pPr>
        <w:spacing w:line="320" w:lineRule="auto"/>
        <w:jc w:val="left"/>
        <w:rPr>
          <w:rtl/>
        </w:rPr>
      </w:pPr>
    </w:p>
    <w:p w:rsidR="00E7102F" w:rsidRPr="00E7102F" w:rsidRDefault="00E7102F" w:rsidP="00E7102F">
      <w:pPr>
        <w:spacing w:line="320" w:lineRule="auto"/>
        <w:jc w:val="left"/>
        <w:rPr>
          <w:rFonts w:cs="Times New Roman"/>
          <w:color w:val="000000"/>
          <w:szCs w:val="22"/>
          <w:lang w:eastAsia="en-US"/>
        </w:rPr>
      </w:pPr>
      <w:r w:rsidRPr="00E7102F">
        <w:rPr>
          <w:rFonts w:ascii="Miriam" w:hAnsi="Miriam" w:cs="Miriam"/>
          <w:color w:val="000000"/>
          <w:szCs w:val="22"/>
          <w:rtl/>
          <w:lang w:eastAsia="en-US"/>
        </w:rPr>
        <w:t>משפט פרטי וכלכלה</w:t>
      </w:r>
      <w:r w:rsidRPr="00E7102F">
        <w:rPr>
          <w:rFonts w:ascii="FrankRuehl" w:hAnsi="FrankRuehl" w:cs="FrankRuehl"/>
          <w:color w:val="000000"/>
          <w:sz w:val="26"/>
          <w:szCs w:val="26"/>
          <w:rtl/>
          <w:lang w:eastAsia="en-US"/>
        </w:rPr>
        <w:t xml:space="preserve"> – כספים – בנקאות – </w:t>
      </w:r>
      <w:r w:rsidRPr="00E7102F">
        <w:rPr>
          <w:rFonts w:cs="FrankRuehl"/>
          <w:szCs w:val="26"/>
          <w:rtl/>
        </w:rPr>
        <w:t>שירות</w:t>
      </w:r>
      <w:r w:rsidRPr="00E7102F">
        <w:rPr>
          <w:rFonts w:ascii="FrankRuehl" w:hAnsi="FrankRuehl" w:cs="FrankRuehl"/>
          <w:color w:val="000000"/>
          <w:sz w:val="26"/>
          <w:szCs w:val="26"/>
          <w:rtl/>
          <w:lang w:eastAsia="en-US"/>
        </w:rPr>
        <w:t xml:space="preserve"> ללקוח</w:t>
      </w:r>
    </w:p>
    <w:p w:rsidR="00E7102F" w:rsidRPr="00E7102F" w:rsidRDefault="00E7102F" w:rsidP="00E7102F">
      <w:pPr>
        <w:spacing w:line="320" w:lineRule="auto"/>
        <w:jc w:val="left"/>
        <w:rPr>
          <w:rFonts w:cs="Times New Roman"/>
          <w:color w:val="000000"/>
          <w:szCs w:val="22"/>
          <w:rtl/>
          <w:lang w:eastAsia="en-US"/>
        </w:rPr>
      </w:pPr>
      <w:r w:rsidRPr="00E7102F">
        <w:rPr>
          <w:rFonts w:ascii="Miriam" w:hAnsi="Miriam" w:cs="Miriam"/>
          <w:color w:val="000000"/>
          <w:szCs w:val="22"/>
          <w:rtl/>
          <w:lang w:eastAsia="en-US"/>
        </w:rPr>
        <w:t>משפט פרטי וכלכלה</w:t>
      </w:r>
      <w:r w:rsidRPr="00E7102F">
        <w:rPr>
          <w:rFonts w:ascii="FrankRuehl" w:hAnsi="FrankRuehl" w:cs="FrankRuehl"/>
          <w:color w:val="000000"/>
          <w:sz w:val="26"/>
          <w:szCs w:val="26"/>
          <w:rtl/>
          <w:lang w:eastAsia="en-US"/>
        </w:rPr>
        <w:t> – כספים – שירות נתוני אשראי</w:t>
      </w:r>
    </w:p>
    <w:p w:rsidR="00B8420E" w:rsidRPr="00E7102F" w:rsidRDefault="00B8420E" w:rsidP="006D2E19">
      <w:pPr>
        <w:spacing w:line="320" w:lineRule="auto"/>
        <w:jc w:val="left"/>
        <w:rPr>
          <w:rFonts w:cs="FrankRuehl"/>
          <w:szCs w:val="26"/>
          <w:rtl/>
        </w:rPr>
      </w:pPr>
    </w:p>
    <w:p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75003" w:rsidRPr="00B75003" w:rsidTr="00B75003">
        <w:tblPrEx>
          <w:tblCellMar>
            <w:top w:w="0" w:type="dxa"/>
            <w:bottom w:w="0" w:type="dxa"/>
          </w:tblCellMar>
        </w:tblPrEx>
        <w:tc>
          <w:tcPr>
            <w:tcW w:w="1247" w:type="dxa"/>
          </w:tcPr>
          <w:p w:rsidR="00B75003" w:rsidRPr="00B75003" w:rsidRDefault="00B75003" w:rsidP="00B75003">
            <w:pPr>
              <w:spacing w:line="240" w:lineRule="auto"/>
              <w:jc w:val="left"/>
              <w:rPr>
                <w:rFonts w:cs="Frankruhel" w:hint="cs"/>
                <w:sz w:val="24"/>
                <w:rtl/>
              </w:rPr>
            </w:pPr>
            <w:r>
              <w:rPr>
                <w:rFonts w:cs="Times New Roman"/>
                <w:sz w:val="24"/>
                <w:rtl/>
              </w:rPr>
              <w:t xml:space="preserve">סעיף 1 </w:t>
            </w:r>
          </w:p>
        </w:tc>
        <w:tc>
          <w:tcPr>
            <w:tcW w:w="5669" w:type="dxa"/>
          </w:tcPr>
          <w:p w:rsidR="00B75003" w:rsidRPr="00B75003" w:rsidRDefault="00B75003" w:rsidP="00B75003">
            <w:pPr>
              <w:spacing w:line="240" w:lineRule="auto"/>
              <w:jc w:val="left"/>
              <w:rPr>
                <w:rFonts w:cs="Frankruhel" w:hint="cs"/>
                <w:sz w:val="24"/>
                <w:rtl/>
              </w:rPr>
            </w:pPr>
            <w:r>
              <w:rPr>
                <w:rFonts w:cs="Times New Roman"/>
                <w:sz w:val="24"/>
                <w:rtl/>
              </w:rPr>
              <w:t>הגדרות</w:t>
            </w:r>
          </w:p>
        </w:tc>
        <w:tc>
          <w:tcPr>
            <w:tcW w:w="567" w:type="dxa"/>
          </w:tcPr>
          <w:p w:rsidR="00B75003" w:rsidRPr="00B75003" w:rsidRDefault="00B75003" w:rsidP="00B75003">
            <w:pPr>
              <w:spacing w:line="240" w:lineRule="auto"/>
              <w:jc w:val="left"/>
              <w:rPr>
                <w:rStyle w:val="Hyperlink"/>
                <w:rFonts w:hint="cs"/>
                <w:rtl/>
              </w:rPr>
            </w:pPr>
            <w:hyperlink w:anchor="Seif1" w:tooltip="הגדרות" w:history="1">
              <w:r w:rsidRPr="00B75003">
                <w:rPr>
                  <w:rStyle w:val="Hyperlink"/>
                </w:rPr>
                <w:t>Go</w:t>
              </w:r>
            </w:hyperlink>
          </w:p>
        </w:tc>
        <w:tc>
          <w:tcPr>
            <w:tcW w:w="850" w:type="dxa"/>
          </w:tcPr>
          <w:p w:rsidR="00B75003" w:rsidRPr="00B75003" w:rsidRDefault="00B75003" w:rsidP="00B7500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75003" w:rsidRPr="00B75003" w:rsidTr="00B75003">
        <w:tblPrEx>
          <w:tblCellMar>
            <w:top w:w="0" w:type="dxa"/>
            <w:bottom w:w="0" w:type="dxa"/>
          </w:tblCellMar>
        </w:tblPrEx>
        <w:tc>
          <w:tcPr>
            <w:tcW w:w="1247" w:type="dxa"/>
          </w:tcPr>
          <w:p w:rsidR="00B75003" w:rsidRPr="00B75003" w:rsidRDefault="00B75003" w:rsidP="00B75003">
            <w:pPr>
              <w:spacing w:line="240" w:lineRule="auto"/>
              <w:jc w:val="left"/>
              <w:rPr>
                <w:rFonts w:cs="Frankruhel" w:hint="cs"/>
                <w:sz w:val="24"/>
                <w:rtl/>
              </w:rPr>
            </w:pPr>
            <w:r>
              <w:rPr>
                <w:rFonts w:cs="Times New Roman"/>
                <w:sz w:val="24"/>
                <w:rtl/>
              </w:rPr>
              <w:t xml:space="preserve">סעיף 2 </w:t>
            </w:r>
          </w:p>
        </w:tc>
        <w:tc>
          <w:tcPr>
            <w:tcW w:w="5669" w:type="dxa"/>
          </w:tcPr>
          <w:p w:rsidR="00B75003" w:rsidRPr="00B75003" w:rsidRDefault="00B75003" w:rsidP="00B75003">
            <w:pPr>
              <w:spacing w:line="240" w:lineRule="auto"/>
              <w:jc w:val="left"/>
              <w:rPr>
                <w:rFonts w:cs="Frankruhel" w:hint="cs"/>
                <w:sz w:val="24"/>
                <w:rtl/>
              </w:rPr>
            </w:pPr>
            <w:r>
              <w:rPr>
                <w:rFonts w:cs="Times New Roman"/>
                <w:sz w:val="24"/>
                <w:rtl/>
              </w:rPr>
              <w:t>גמול</w:t>
            </w:r>
          </w:p>
        </w:tc>
        <w:tc>
          <w:tcPr>
            <w:tcW w:w="567" w:type="dxa"/>
          </w:tcPr>
          <w:p w:rsidR="00B75003" w:rsidRPr="00B75003" w:rsidRDefault="00B75003" w:rsidP="00B75003">
            <w:pPr>
              <w:spacing w:line="240" w:lineRule="auto"/>
              <w:jc w:val="left"/>
              <w:rPr>
                <w:rStyle w:val="Hyperlink"/>
                <w:rFonts w:hint="cs"/>
                <w:rtl/>
              </w:rPr>
            </w:pPr>
            <w:hyperlink w:anchor="Seif2" w:tooltip="גמול" w:history="1">
              <w:r w:rsidRPr="00B75003">
                <w:rPr>
                  <w:rStyle w:val="Hyperlink"/>
                </w:rPr>
                <w:t>Go</w:t>
              </w:r>
            </w:hyperlink>
          </w:p>
        </w:tc>
        <w:tc>
          <w:tcPr>
            <w:tcW w:w="850" w:type="dxa"/>
          </w:tcPr>
          <w:p w:rsidR="00B75003" w:rsidRPr="00B75003" w:rsidRDefault="00B75003" w:rsidP="00B7500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75003" w:rsidRPr="00B75003" w:rsidTr="00B75003">
        <w:tblPrEx>
          <w:tblCellMar>
            <w:top w:w="0" w:type="dxa"/>
            <w:bottom w:w="0" w:type="dxa"/>
          </w:tblCellMar>
        </w:tblPrEx>
        <w:tc>
          <w:tcPr>
            <w:tcW w:w="1247" w:type="dxa"/>
          </w:tcPr>
          <w:p w:rsidR="00B75003" w:rsidRPr="00B75003" w:rsidRDefault="00B75003" w:rsidP="00B75003">
            <w:pPr>
              <w:spacing w:line="240" w:lineRule="auto"/>
              <w:jc w:val="left"/>
              <w:rPr>
                <w:rFonts w:cs="Frankruhel" w:hint="cs"/>
                <w:sz w:val="24"/>
                <w:rtl/>
              </w:rPr>
            </w:pPr>
            <w:r>
              <w:rPr>
                <w:rFonts w:cs="Times New Roman"/>
                <w:sz w:val="24"/>
                <w:rtl/>
              </w:rPr>
              <w:t xml:space="preserve">סעיף 3 </w:t>
            </w:r>
          </w:p>
        </w:tc>
        <w:tc>
          <w:tcPr>
            <w:tcW w:w="5669" w:type="dxa"/>
          </w:tcPr>
          <w:p w:rsidR="00B75003" w:rsidRPr="00B75003" w:rsidRDefault="00B75003" w:rsidP="00B75003">
            <w:pPr>
              <w:spacing w:line="240" w:lineRule="auto"/>
              <w:jc w:val="left"/>
              <w:rPr>
                <w:rFonts w:cs="Frankruhel" w:hint="cs"/>
                <w:sz w:val="24"/>
                <w:rtl/>
              </w:rPr>
            </w:pPr>
            <w:r>
              <w:rPr>
                <w:rFonts w:cs="Times New Roman"/>
                <w:sz w:val="24"/>
                <w:rtl/>
              </w:rPr>
              <w:t>החזר הוצאות</w:t>
            </w:r>
          </w:p>
        </w:tc>
        <w:tc>
          <w:tcPr>
            <w:tcW w:w="567" w:type="dxa"/>
          </w:tcPr>
          <w:p w:rsidR="00B75003" w:rsidRPr="00B75003" w:rsidRDefault="00B75003" w:rsidP="00B75003">
            <w:pPr>
              <w:spacing w:line="240" w:lineRule="auto"/>
              <w:jc w:val="left"/>
              <w:rPr>
                <w:rStyle w:val="Hyperlink"/>
                <w:rFonts w:hint="cs"/>
                <w:rtl/>
              </w:rPr>
            </w:pPr>
            <w:hyperlink w:anchor="Seif3" w:tooltip="החזר הוצאות" w:history="1">
              <w:r w:rsidRPr="00B75003">
                <w:rPr>
                  <w:rStyle w:val="Hyperlink"/>
                </w:rPr>
                <w:t>Go</w:t>
              </w:r>
            </w:hyperlink>
          </w:p>
        </w:tc>
        <w:tc>
          <w:tcPr>
            <w:tcW w:w="850" w:type="dxa"/>
          </w:tcPr>
          <w:p w:rsidR="00B75003" w:rsidRPr="00B75003" w:rsidRDefault="00B75003" w:rsidP="00B7500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rsidR="001153D7" w:rsidRDefault="001153D7">
      <w:pPr>
        <w:pStyle w:val="P00"/>
        <w:spacing w:before="72"/>
        <w:ind w:left="0" w:right="1134"/>
        <w:rPr>
          <w:rFonts w:hint="cs"/>
          <w:rtl/>
        </w:rPr>
      </w:pPr>
    </w:p>
    <w:p w:rsidR="001153D7" w:rsidRDefault="001153D7" w:rsidP="00320967">
      <w:pPr>
        <w:pStyle w:val="big-header"/>
        <w:ind w:left="0" w:right="1134"/>
        <w:rPr>
          <w:rStyle w:val="default"/>
          <w:rFonts w:hint="cs"/>
          <w:sz w:val="22"/>
          <w:szCs w:val="22"/>
          <w:rtl/>
        </w:rPr>
      </w:pPr>
      <w:r>
        <w:rPr>
          <w:rtl/>
        </w:rPr>
        <w:br w:type="page"/>
      </w:r>
      <w:r w:rsidR="00E7102F">
        <w:rPr>
          <w:rFonts w:hint="cs"/>
          <w:rtl/>
        </w:rPr>
        <w:lastRenderedPageBreak/>
        <w:t xml:space="preserve">כללי נתוני אשראי (גמול והחזר הוצאות לחברי הוועדה המייעצת), </w:t>
      </w:r>
      <w:r w:rsidR="00E7102F">
        <w:rPr>
          <w:rtl/>
        </w:rPr>
        <w:br/>
      </w:r>
      <w:r w:rsidR="00E7102F">
        <w:rPr>
          <w:rFonts w:hint="cs"/>
          <w:rtl/>
        </w:rPr>
        <w:t>תשע"ח-2017</w:t>
      </w:r>
      <w:r>
        <w:rPr>
          <w:rStyle w:val="default"/>
          <w:sz w:val="22"/>
          <w:szCs w:val="22"/>
          <w:rtl/>
        </w:rPr>
        <w:footnoteReference w:customMarkFollows="1" w:id="1"/>
        <w:t>*</w:t>
      </w:r>
    </w:p>
    <w:p w:rsidR="001153D7" w:rsidRDefault="001153D7" w:rsidP="00EF4509">
      <w:pPr>
        <w:pStyle w:val="P00"/>
        <w:spacing w:before="72"/>
        <w:ind w:left="0" w:right="1134"/>
        <w:rPr>
          <w:rStyle w:val="default"/>
          <w:rFonts w:cs="FrankRuehl"/>
          <w:rtl/>
        </w:rPr>
      </w:pPr>
      <w:r>
        <w:rPr>
          <w:rStyle w:val="default"/>
          <w:rFonts w:cs="FrankRuehl" w:hint="cs"/>
          <w:rtl/>
        </w:rPr>
        <w:tab/>
      </w:r>
      <w:r>
        <w:rPr>
          <w:rStyle w:val="default"/>
          <w:rFonts w:cs="FrankRuehl"/>
          <w:rtl/>
        </w:rPr>
        <w:t xml:space="preserve">בתוקף </w:t>
      </w:r>
      <w:r w:rsidR="00E22C9F">
        <w:rPr>
          <w:rStyle w:val="default"/>
          <w:rFonts w:cs="FrankRuehl" w:hint="cs"/>
          <w:rtl/>
        </w:rPr>
        <w:t>סמכותי לפי סעי</w:t>
      </w:r>
      <w:r w:rsidR="003B4D28">
        <w:rPr>
          <w:rStyle w:val="default"/>
          <w:rFonts w:cs="FrankRuehl" w:hint="cs"/>
          <w:rtl/>
        </w:rPr>
        <w:t>ף</w:t>
      </w:r>
      <w:r w:rsidR="00E22C9F">
        <w:rPr>
          <w:rStyle w:val="default"/>
          <w:rFonts w:cs="FrankRuehl" w:hint="cs"/>
          <w:rtl/>
        </w:rPr>
        <w:t xml:space="preserve"> </w:t>
      </w:r>
      <w:r w:rsidR="003B4D28">
        <w:rPr>
          <w:rStyle w:val="default"/>
          <w:rFonts w:cs="FrankRuehl" w:hint="cs"/>
          <w:rtl/>
        </w:rPr>
        <w:t>77</w:t>
      </w:r>
      <w:r w:rsidR="00E22C9F">
        <w:rPr>
          <w:rStyle w:val="default"/>
          <w:rFonts w:cs="FrankRuehl" w:hint="cs"/>
          <w:rtl/>
        </w:rPr>
        <w:t xml:space="preserve"> לחוק נתוני אשראי, </w:t>
      </w:r>
      <w:r w:rsidR="00EF4509">
        <w:rPr>
          <w:rStyle w:val="default"/>
          <w:rFonts w:cs="FrankRuehl" w:hint="cs"/>
          <w:rtl/>
        </w:rPr>
        <w:t>התשע"ו-2016</w:t>
      </w:r>
      <w:r w:rsidR="00E22C9F">
        <w:rPr>
          <w:rStyle w:val="default"/>
          <w:rFonts w:cs="FrankRuehl" w:hint="cs"/>
          <w:rtl/>
        </w:rPr>
        <w:t xml:space="preserve"> (להלן </w:t>
      </w:r>
      <w:r w:rsidR="00E22C9F">
        <w:rPr>
          <w:rStyle w:val="default"/>
          <w:rFonts w:cs="FrankRuehl"/>
          <w:rtl/>
        </w:rPr>
        <w:t>–</w:t>
      </w:r>
      <w:r w:rsidR="00E22C9F">
        <w:rPr>
          <w:rStyle w:val="default"/>
          <w:rFonts w:cs="FrankRuehl" w:hint="cs"/>
          <w:rtl/>
        </w:rPr>
        <w:t xml:space="preserve"> החוק), אני </w:t>
      </w:r>
      <w:r w:rsidR="00EF4509">
        <w:rPr>
          <w:rStyle w:val="default"/>
          <w:rFonts w:cs="FrankRuehl" w:hint="cs"/>
          <w:rtl/>
        </w:rPr>
        <w:t>קובעת כללים</w:t>
      </w:r>
      <w:r w:rsidR="00E22C9F">
        <w:rPr>
          <w:rStyle w:val="default"/>
          <w:rFonts w:cs="FrankRuehl" w:hint="cs"/>
          <w:rtl/>
        </w:rPr>
        <w:t xml:space="preserve"> אלה</w:t>
      </w:r>
      <w:r>
        <w:rPr>
          <w:rStyle w:val="default"/>
          <w:rFonts w:cs="FrankRuehl"/>
          <w:rtl/>
        </w:rPr>
        <w:t>:</w:t>
      </w:r>
    </w:p>
    <w:p w:rsidR="001153D7" w:rsidRDefault="001153D7" w:rsidP="00EF4509">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2.4pt;z-index:251656704" o:allowincell="f" filled="f" stroked="f" strokecolor="lime" strokeweight=".25pt">
            <v:textbox style="mso-next-textbox:#_x0000_s1026" inset="0,0,0,0">
              <w:txbxContent>
                <w:p w:rsidR="00BA3CCE" w:rsidRDefault="00EF4509">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EF4509">
        <w:rPr>
          <w:rStyle w:val="default"/>
          <w:rFonts w:cs="FrankRuehl" w:hint="cs"/>
          <w:rtl/>
        </w:rPr>
        <w:t>בכללים אלה</w:t>
      </w:r>
      <w:r w:rsidR="008B1FCD">
        <w:rPr>
          <w:rStyle w:val="default"/>
          <w:rFonts w:cs="FrankRuehl" w:hint="cs"/>
          <w:rtl/>
        </w:rPr>
        <w:t xml:space="preserve"> </w:t>
      </w:r>
      <w:r w:rsidR="008B1FCD">
        <w:rPr>
          <w:rStyle w:val="default"/>
          <w:rFonts w:cs="FrankRuehl"/>
          <w:rtl/>
        </w:rPr>
        <w:t>–</w:t>
      </w:r>
    </w:p>
    <w:p w:rsidR="008B1FCD" w:rsidRDefault="008B1FCD" w:rsidP="00EF450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"הוועדה" </w:t>
      </w:r>
      <w:r>
        <w:rPr>
          <w:rStyle w:val="default"/>
          <w:rFonts w:cs="FrankRuehl"/>
          <w:rtl/>
        </w:rPr>
        <w:t>–</w:t>
      </w:r>
      <w:r>
        <w:rPr>
          <w:rStyle w:val="default"/>
          <w:rFonts w:cs="FrankRuehl" w:hint="cs"/>
          <w:rtl/>
        </w:rPr>
        <w:t xml:space="preserve"> הוועדה המייעצת שהנגיד מינה לפי סעיף 70 לחוק;</w:t>
      </w:r>
    </w:p>
    <w:p w:rsidR="008B1FCD" w:rsidRDefault="008B1FCD" w:rsidP="00EF450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"חבר הוועדה" </w:t>
      </w:r>
      <w:r>
        <w:rPr>
          <w:rStyle w:val="default"/>
          <w:rFonts w:cs="FrankRuehl"/>
          <w:rtl/>
        </w:rPr>
        <w:t>–</w:t>
      </w:r>
      <w:r>
        <w:rPr>
          <w:rStyle w:val="default"/>
          <w:rFonts w:cs="FrankRuehl" w:hint="cs"/>
          <w:rtl/>
        </w:rPr>
        <w:t xml:space="preserve"> חבר הוועדה שאינו עובד המדינה;</w:t>
      </w:r>
    </w:p>
    <w:p w:rsidR="008B1FCD" w:rsidRDefault="008B1FCD" w:rsidP="00EF450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"יושב ראש הוועדה" </w:t>
      </w:r>
      <w:r>
        <w:rPr>
          <w:rStyle w:val="default"/>
          <w:rFonts w:cs="FrankRuehl"/>
          <w:rtl/>
        </w:rPr>
        <w:t>–</w:t>
      </w:r>
      <w:r>
        <w:rPr>
          <w:rStyle w:val="default"/>
          <w:rFonts w:cs="FrankRuehl" w:hint="cs"/>
          <w:rtl/>
        </w:rPr>
        <w:t xml:space="preserve"> חבר הוועדה שהנגיד מינה ליושב ראש הוועדה לפי סעיף 70(ג) לחוק;</w:t>
      </w:r>
    </w:p>
    <w:p w:rsidR="008B1FCD" w:rsidRDefault="008B1FCD" w:rsidP="00EF450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הגמול" </w:t>
      </w:r>
      <w:r>
        <w:rPr>
          <w:rStyle w:val="default"/>
          <w:rFonts w:cs="FrankRuehl"/>
          <w:rtl/>
        </w:rPr>
        <w:t>–</w:t>
      </w:r>
      <w:r>
        <w:rPr>
          <w:rStyle w:val="default"/>
          <w:rFonts w:cs="FrankRuehl" w:hint="cs"/>
          <w:rtl/>
        </w:rPr>
        <w:t xml:space="preserve"> תקנות החברות הממשלתיות (כללים בדבר גמול והוצאות לדירקטור מקרב הציבור בחברות הממשלתיות), התשנ"ד-1994.</w:t>
      </w:r>
    </w:p>
    <w:p w:rsidR="006E0BEF" w:rsidRDefault="006E0BEF" w:rsidP="00EF4509">
      <w:pPr>
        <w:pStyle w:val="P00"/>
        <w:spacing w:before="72"/>
        <w:ind w:left="0" w:right="1134"/>
        <w:rPr>
          <w:rStyle w:val="default"/>
          <w:rFonts w:cs="FrankRuehl"/>
          <w:rtl/>
        </w:rPr>
      </w:pPr>
      <w:bookmarkStart w:id="1" w:name="Seif2"/>
      <w:bookmarkEnd w:id="1"/>
      <w:r>
        <w:rPr>
          <w:lang w:val="he-IL"/>
        </w:rPr>
        <w:pict>
          <v:rect id="_x0000_s1292" style="position:absolute;left:0;text-align:left;margin-left:464.5pt;margin-top:8.05pt;width:75.05pt;height:10.45pt;z-index:251657728" o:allowincell="f" filled="f" stroked="f" strokecolor="lime" strokeweight=".25pt">
            <v:textbox style="mso-next-textbox:#_x0000_s1292" inset="0,0,0,0">
              <w:txbxContent>
                <w:p w:rsidR="00BA3CCE" w:rsidRDefault="008B1FCD" w:rsidP="006E0BEF">
                  <w:pPr>
                    <w:spacing w:line="160" w:lineRule="exact"/>
                    <w:jc w:val="left"/>
                    <w:rPr>
                      <w:rFonts w:cs="Miriam" w:hint="cs"/>
                      <w:szCs w:val="18"/>
                      <w:rtl/>
                    </w:rPr>
                  </w:pPr>
                  <w:r>
                    <w:rPr>
                      <w:rFonts w:cs="Miriam" w:hint="cs"/>
                      <w:szCs w:val="18"/>
                      <w:rtl/>
                    </w:rPr>
                    <w:t>גמול</w:t>
                  </w:r>
                </w:p>
              </w:txbxContent>
            </v:textbox>
            <w10:anchorlock/>
          </v:rect>
        </w:pict>
      </w:r>
      <w:r w:rsidR="003A263B">
        <w:rPr>
          <w:rStyle w:val="big-number"/>
          <w:rFonts w:hint="cs"/>
          <w:rtl/>
        </w:rPr>
        <w:t>2</w:t>
      </w:r>
      <w:r>
        <w:rPr>
          <w:rStyle w:val="default"/>
          <w:rFonts w:cs="FrankRuehl"/>
          <w:rtl/>
        </w:rPr>
        <w:t>.</w:t>
      </w:r>
      <w:r>
        <w:rPr>
          <w:rStyle w:val="default"/>
          <w:rFonts w:cs="FrankRuehl"/>
          <w:rtl/>
        </w:rPr>
        <w:tab/>
      </w:r>
      <w:r w:rsidR="00EF4509">
        <w:rPr>
          <w:rStyle w:val="default"/>
          <w:rFonts w:cs="FrankRuehl" w:hint="cs"/>
          <w:rtl/>
        </w:rPr>
        <w:t>(א)</w:t>
      </w:r>
      <w:r w:rsidR="00EF4509">
        <w:rPr>
          <w:rStyle w:val="default"/>
          <w:rFonts w:cs="FrankRuehl" w:hint="cs"/>
          <w:rtl/>
        </w:rPr>
        <w:tab/>
      </w:r>
      <w:r w:rsidR="008B1FCD">
        <w:rPr>
          <w:rStyle w:val="default"/>
          <w:rFonts w:cs="FrankRuehl" w:hint="cs"/>
          <w:rtl/>
        </w:rPr>
        <w:t>חבר הוועדה יהיה זכאי לתשלום גמול השווה לגמול המשולם לדירקטור בחברה ממשלתית בדרגה הכוללת את סיווג 9, לפי תקנה 2(א) והתוספת הראשונה לתקנות הגמול.</w:t>
      </w:r>
    </w:p>
    <w:p w:rsidR="008B1FCD" w:rsidRDefault="008B1FCD" w:rsidP="00EF450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יושב ראש הוועדה יהיה זכאי לתשלום גמול השווה לגמול המשולם ליושב ראש הדירקטוריון בחברה ממשלתית בדרגה הכוללת את סיווג 9, לפי תקנה 3(א) והתוספת השנייה לתקנות הגמול.</w:t>
      </w:r>
    </w:p>
    <w:p w:rsidR="008B1FCD" w:rsidRDefault="008B1FCD" w:rsidP="00EF450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התשלום לחבר הוועדה וליושב ראש הוועדה יהיה לפי מספר ישיבות הוועדה שבהן השתתף, ובלבד שלא ישולם גמול בעבור יותר מ-45 ישיבות בשנה קלנדרית.</w:t>
      </w:r>
    </w:p>
    <w:p w:rsidR="008B1FCD" w:rsidRDefault="008B1FCD" w:rsidP="00EF450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השתתף חבר הוועדה בישיבת הוועדה באמצעות שימוש באמצעי תקשורת, יהיה זכאי לגמול בשיעור של 50% מהגמול האמור בסעיף קטן (א), והשתתפות בישיבה כאמור תבוא במניין מספר הישיבות המרבי בשנה לעניין הוראות סעיף קטן (ג).</w:t>
      </w:r>
    </w:p>
    <w:p w:rsidR="008B1FCD" w:rsidRDefault="008B1FCD" w:rsidP="00EF4509">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הגמול לחבר הוועדה וליושב ראש הוועדה כולל כיסוי של כל ההוצאות שהיו להם בקשר להשתתפותם בישיבות וכולל מס ערך מוסף.</w:t>
      </w:r>
    </w:p>
    <w:p w:rsidR="009A4D64" w:rsidRDefault="0098048A" w:rsidP="00276269">
      <w:pPr>
        <w:pStyle w:val="P00"/>
        <w:spacing w:before="72"/>
        <w:ind w:left="0" w:right="1134"/>
        <w:rPr>
          <w:rStyle w:val="default"/>
          <w:rFonts w:cs="FrankRuehl"/>
          <w:rtl/>
        </w:rPr>
      </w:pPr>
      <w:bookmarkStart w:id="2" w:name="Seif3"/>
      <w:bookmarkEnd w:id="2"/>
      <w:r>
        <w:rPr>
          <w:lang w:val="he-IL"/>
        </w:rPr>
        <w:pict>
          <v:rect id="_x0000_s1293" style="position:absolute;left:0;text-align:left;margin-left:464.5pt;margin-top:8.05pt;width:75.05pt;height:11.55pt;z-index:251658752" o:allowincell="f" filled="f" stroked="f" strokecolor="lime" strokeweight=".25pt">
            <v:textbox style="mso-next-textbox:#_x0000_s1293" inset="0,0,0,0">
              <w:txbxContent>
                <w:p w:rsidR="00BA3CCE" w:rsidRDefault="008B1FCD" w:rsidP="0098048A">
                  <w:pPr>
                    <w:spacing w:line="160" w:lineRule="exact"/>
                    <w:jc w:val="left"/>
                    <w:rPr>
                      <w:rFonts w:cs="Miriam" w:hint="cs"/>
                      <w:szCs w:val="18"/>
                      <w:rtl/>
                    </w:rPr>
                  </w:pPr>
                  <w:r>
                    <w:rPr>
                      <w:rFonts w:cs="Miriam" w:hint="cs"/>
                      <w:szCs w:val="18"/>
                      <w:rtl/>
                    </w:rPr>
                    <w:t>החזר הוצאות</w:t>
                  </w:r>
                </w:p>
              </w:txbxContent>
            </v:textbox>
            <w10:anchorlock/>
          </v:rect>
        </w:pict>
      </w:r>
      <w:r>
        <w:rPr>
          <w:rStyle w:val="big-number"/>
          <w:rFonts w:hint="cs"/>
          <w:rtl/>
        </w:rPr>
        <w:t>3</w:t>
      </w:r>
      <w:r>
        <w:rPr>
          <w:rStyle w:val="default"/>
          <w:rFonts w:cs="FrankRuehl"/>
          <w:rtl/>
        </w:rPr>
        <w:t>.</w:t>
      </w:r>
      <w:r>
        <w:rPr>
          <w:rStyle w:val="default"/>
          <w:rFonts w:cs="FrankRuehl"/>
          <w:rtl/>
        </w:rPr>
        <w:tab/>
      </w:r>
      <w:r w:rsidR="008B1FCD">
        <w:rPr>
          <w:rStyle w:val="default"/>
          <w:rFonts w:cs="FrankRuehl" w:hint="cs"/>
          <w:rtl/>
        </w:rPr>
        <w:t>חבר הוועדה ויושב ראש הוועדה לא יהיו זכאים לתמורה נוספת כלשהי על הגמול בשל מילוי תפקידם וכל הפעולות הנובעות מתפקידם זה, ואולם מי מהם המתגורר במרחק העולה על 100 ק"מ ממקום קיום ישיבת הוועדה יהיה זכאי להחזר הוצאות נסיעה לפי תעריף החשב הכללי במשרד האוצר שבחוזר מספר 2008-4-14, כפי שיעודכן מעת לעת או בכל חוזר אחר אשר יחליף אותו, זולת אם הוא זכאי לקבל הוצאות אלה ממקור אחר</w:t>
      </w:r>
      <w:r w:rsidR="00276269">
        <w:rPr>
          <w:rStyle w:val="default"/>
          <w:rFonts w:cs="FrankRuehl" w:hint="cs"/>
          <w:rtl/>
        </w:rPr>
        <w:t>.</w:t>
      </w:r>
    </w:p>
    <w:p w:rsidR="001153D7" w:rsidRDefault="001153D7">
      <w:pPr>
        <w:pStyle w:val="P00"/>
        <w:spacing w:before="72"/>
        <w:ind w:left="0" w:right="1134"/>
        <w:rPr>
          <w:rStyle w:val="default"/>
          <w:rFonts w:cs="FrankRuehl" w:hint="cs"/>
          <w:rtl/>
        </w:rPr>
      </w:pPr>
    </w:p>
    <w:p w:rsidR="003A263B" w:rsidRDefault="003A263B">
      <w:pPr>
        <w:pStyle w:val="P00"/>
        <w:spacing w:before="72"/>
        <w:ind w:left="0" w:right="1134"/>
        <w:rPr>
          <w:rStyle w:val="default"/>
          <w:rFonts w:cs="FrankRuehl" w:hint="cs"/>
          <w:rtl/>
        </w:rPr>
      </w:pPr>
    </w:p>
    <w:p w:rsidR="001153D7" w:rsidRDefault="008B1FCD" w:rsidP="00005B6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ב' בכסלו התשע"ח (20 בנובמבר</w:t>
      </w:r>
      <w:r w:rsidR="00005B60">
        <w:rPr>
          <w:rFonts w:hint="cs"/>
          <w:rtl/>
        </w:rPr>
        <w:t xml:space="preserve"> 2017</w:t>
      </w:r>
      <w:r w:rsidR="001153D7">
        <w:rPr>
          <w:rFonts w:hint="cs"/>
          <w:rtl/>
        </w:rPr>
        <w:t>)</w:t>
      </w:r>
      <w:r w:rsidR="001153D7">
        <w:rPr>
          <w:rFonts w:hint="cs"/>
          <w:rtl/>
        </w:rPr>
        <w:tab/>
      </w:r>
      <w:r w:rsidR="00005B60">
        <w:rPr>
          <w:rFonts w:hint="cs"/>
          <w:rtl/>
        </w:rPr>
        <w:t>קרנית פלוג</w:t>
      </w:r>
    </w:p>
    <w:p w:rsidR="001153D7" w:rsidRDefault="001153D7" w:rsidP="00005B60">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005B60">
        <w:rPr>
          <w:rFonts w:hint="cs"/>
          <w:sz w:val="22"/>
          <w:szCs w:val="22"/>
          <w:rtl/>
        </w:rPr>
        <w:t>נגידת בנק ישראל</w:t>
      </w:r>
    </w:p>
    <w:p w:rsidR="00462720" w:rsidRDefault="00462720">
      <w:pPr>
        <w:pStyle w:val="P00"/>
        <w:spacing w:before="72"/>
        <w:ind w:left="0" w:right="1134"/>
        <w:rPr>
          <w:rFonts w:hint="cs"/>
          <w:rtl/>
        </w:rPr>
      </w:pPr>
    </w:p>
    <w:p w:rsidR="0043188D" w:rsidRDefault="0043188D">
      <w:pPr>
        <w:pStyle w:val="P00"/>
        <w:spacing w:before="72"/>
        <w:ind w:left="0" w:right="1134"/>
        <w:rPr>
          <w:rtl/>
        </w:rPr>
      </w:pPr>
    </w:p>
    <w:p w:rsidR="00B75003" w:rsidRDefault="00B75003">
      <w:pPr>
        <w:pStyle w:val="P00"/>
        <w:spacing w:before="72"/>
        <w:ind w:left="0" w:right="1134"/>
        <w:rPr>
          <w:rtl/>
        </w:rPr>
      </w:pPr>
    </w:p>
    <w:p w:rsidR="00B75003" w:rsidRDefault="00B75003">
      <w:pPr>
        <w:pStyle w:val="P00"/>
        <w:spacing w:before="72"/>
        <w:ind w:left="0" w:right="1134"/>
        <w:rPr>
          <w:rtl/>
        </w:rPr>
      </w:pPr>
    </w:p>
    <w:p w:rsidR="00B75003" w:rsidRDefault="00B75003" w:rsidP="00B75003">
      <w:pPr>
        <w:pStyle w:val="P00"/>
        <w:spacing w:before="72"/>
        <w:ind w:left="0" w:right="1134"/>
        <w:jc w:val="center"/>
        <w:rPr>
          <w:rFonts w:cs="David"/>
          <w:color w:val="0000FF"/>
          <w:szCs w:val="24"/>
          <w:u w:val="single"/>
          <w:rtl/>
        </w:rPr>
      </w:pPr>
      <w:hyperlink r:id="rId6" w:history="1">
        <w:r>
          <w:rPr>
            <w:rFonts w:cs="David"/>
            <w:color w:val="0000FF"/>
            <w:szCs w:val="24"/>
            <w:u w:val="single"/>
            <w:rtl/>
          </w:rPr>
          <w:t>הודעה למנויים על עריכה ושינויים במסמכי פסיקה, חקיקה ועוד באתר נבו - הקש כאן</w:t>
        </w:r>
      </w:hyperlink>
    </w:p>
    <w:p w:rsidR="0043188D" w:rsidRPr="00B75003" w:rsidRDefault="0043188D" w:rsidP="00B75003">
      <w:pPr>
        <w:pStyle w:val="P00"/>
        <w:spacing w:before="72"/>
        <w:ind w:left="0" w:right="1134"/>
        <w:jc w:val="center"/>
        <w:rPr>
          <w:rFonts w:cs="David"/>
          <w:color w:val="0000FF"/>
          <w:szCs w:val="24"/>
          <w:u w:val="single"/>
          <w:rtl/>
        </w:rPr>
      </w:pPr>
    </w:p>
    <w:sectPr w:rsidR="0043188D" w:rsidRPr="00B75003">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5BF5" w:rsidRDefault="00C45BF5" w:rsidP="001153D7">
      <w:pPr>
        <w:pStyle w:val="P00"/>
      </w:pPr>
      <w:r>
        <w:separator/>
      </w:r>
    </w:p>
  </w:endnote>
  <w:endnote w:type="continuationSeparator" w:id="0">
    <w:p w:rsidR="00C45BF5" w:rsidRDefault="00C45BF5"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CCE" w:rsidRDefault="00BA3CC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BA3CCE" w:rsidRDefault="00BA3CC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A3CCE" w:rsidRDefault="00BA3CC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816D8">
      <w:rPr>
        <w:rFonts w:cs="TopType Jerushalmi"/>
        <w:noProof/>
        <w:color w:val="000000"/>
        <w:sz w:val="14"/>
        <w:szCs w:val="14"/>
      </w:rPr>
      <w:t>Y:\Temp\Misrad-2003\00000000\2009----------------\10-Oct\2009-10-07\law\07\tav\500_213.doc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CCE" w:rsidRDefault="00BA3CC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B75003">
      <w:rPr>
        <w:rFonts w:hAnsi="FrankRuehl"/>
        <w:noProof/>
        <w:sz w:val="24"/>
        <w:szCs w:val="24"/>
        <w:rtl/>
      </w:rPr>
      <w:t>2</w:t>
    </w:r>
    <w:r>
      <w:rPr>
        <w:rFonts w:hAnsi="FrankRuehl"/>
        <w:sz w:val="24"/>
        <w:szCs w:val="24"/>
        <w:rtl/>
      </w:rPr>
      <w:fldChar w:fldCharType="end"/>
    </w:r>
  </w:p>
  <w:p w:rsidR="00BA3CCE" w:rsidRDefault="00BA3CC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A3CCE" w:rsidRDefault="00BA3CC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816D8">
      <w:rPr>
        <w:rFonts w:cs="TopType Jerushalmi"/>
        <w:noProof/>
        <w:color w:val="000000"/>
        <w:sz w:val="14"/>
        <w:szCs w:val="14"/>
      </w:rPr>
      <w:t>Y:\Temp\Misrad-2003\00000000\2009----------------\10-Oct\2009-10-07\law\07\tav\500_213.doc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5BF5" w:rsidRDefault="00C45BF5">
      <w:pPr>
        <w:spacing w:before="60" w:line="240" w:lineRule="auto"/>
        <w:ind w:right="1134"/>
      </w:pPr>
      <w:r>
        <w:separator/>
      </w:r>
    </w:p>
  </w:footnote>
  <w:footnote w:type="continuationSeparator" w:id="0">
    <w:p w:rsidR="00C45BF5" w:rsidRDefault="00C45BF5">
      <w:r>
        <w:separator/>
      </w:r>
    </w:p>
  </w:footnote>
  <w:footnote w:id="1">
    <w:p w:rsidR="00A3360D" w:rsidRDefault="00BA3CCE" w:rsidP="00A3360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A3360D">
          <w:rPr>
            <w:rStyle w:val="Hyperlink"/>
            <w:rFonts w:hint="cs"/>
            <w:sz w:val="20"/>
            <w:rtl/>
          </w:rPr>
          <w:t>ק"ת תשע</w:t>
        </w:r>
        <w:r w:rsidR="00E7102F" w:rsidRPr="00A3360D">
          <w:rPr>
            <w:rStyle w:val="Hyperlink"/>
            <w:rFonts w:hint="cs"/>
            <w:sz w:val="20"/>
            <w:rtl/>
          </w:rPr>
          <w:t>"ח</w:t>
        </w:r>
        <w:r w:rsidRPr="00A3360D">
          <w:rPr>
            <w:rStyle w:val="Hyperlink"/>
            <w:rFonts w:hint="cs"/>
            <w:sz w:val="20"/>
            <w:rtl/>
          </w:rPr>
          <w:t xml:space="preserve"> מס' </w:t>
        </w:r>
        <w:r w:rsidR="00E7102F" w:rsidRPr="00A3360D">
          <w:rPr>
            <w:rStyle w:val="Hyperlink"/>
            <w:rFonts w:hint="cs"/>
            <w:sz w:val="20"/>
            <w:rtl/>
          </w:rPr>
          <w:t>7886</w:t>
        </w:r>
      </w:hyperlink>
      <w:r>
        <w:rPr>
          <w:rFonts w:hint="cs"/>
          <w:sz w:val="20"/>
          <w:rtl/>
        </w:rPr>
        <w:t xml:space="preserve"> מיום </w:t>
      </w:r>
      <w:r w:rsidR="00E7102F">
        <w:rPr>
          <w:rFonts w:hint="cs"/>
          <w:sz w:val="20"/>
          <w:rtl/>
        </w:rPr>
        <w:t>23.11.2017</w:t>
      </w:r>
      <w:r>
        <w:rPr>
          <w:rFonts w:hint="cs"/>
          <w:sz w:val="20"/>
          <w:rtl/>
        </w:rPr>
        <w:t xml:space="preserve"> עמ' </w:t>
      </w:r>
      <w:r w:rsidR="00E7102F">
        <w:rPr>
          <w:rFonts w:hint="cs"/>
          <w:sz w:val="20"/>
          <w:rtl/>
        </w:rPr>
        <w:t>231</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CCE" w:rsidRDefault="00BA3CCE">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BA3CCE" w:rsidRDefault="00BA3CC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A3CCE" w:rsidRDefault="00BA3CCE">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CCE" w:rsidRDefault="00320967" w:rsidP="000F190C">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כללי נתוני אשראי (</w:t>
    </w:r>
    <w:r w:rsidR="00E7102F">
      <w:rPr>
        <w:rFonts w:hAnsi="FrankRuehl" w:hint="cs"/>
        <w:color w:val="000000"/>
        <w:sz w:val="28"/>
        <w:szCs w:val="28"/>
        <w:rtl/>
      </w:rPr>
      <w:t>גמול והחזר הוצאות לחברי הוועדה המייעצת</w:t>
    </w:r>
    <w:r>
      <w:rPr>
        <w:rFonts w:hAnsi="FrankRuehl" w:hint="cs"/>
        <w:color w:val="000000"/>
        <w:sz w:val="28"/>
        <w:szCs w:val="28"/>
        <w:rtl/>
      </w:rPr>
      <w:t>), תשע"</w:t>
    </w:r>
    <w:r w:rsidR="00E7102F">
      <w:rPr>
        <w:rFonts w:hAnsi="FrankRuehl" w:hint="cs"/>
        <w:color w:val="000000"/>
        <w:sz w:val="28"/>
        <w:szCs w:val="28"/>
        <w:rtl/>
      </w:rPr>
      <w:t>ח</w:t>
    </w:r>
    <w:r>
      <w:rPr>
        <w:rFonts w:hAnsi="FrankRuehl" w:hint="cs"/>
        <w:color w:val="000000"/>
        <w:sz w:val="28"/>
        <w:szCs w:val="28"/>
        <w:rtl/>
      </w:rPr>
      <w:t>-2017</w:t>
    </w:r>
  </w:p>
  <w:p w:rsidR="00BA3CCE" w:rsidRDefault="00BA3CC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A3CCE" w:rsidRDefault="00BA3CCE">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05B60"/>
    <w:rsid w:val="00017420"/>
    <w:rsid w:val="00054113"/>
    <w:rsid w:val="00062ECF"/>
    <w:rsid w:val="000A65F9"/>
    <w:rsid w:val="000B73AF"/>
    <w:rsid w:val="000C0452"/>
    <w:rsid w:val="000C3D03"/>
    <w:rsid w:val="000F190C"/>
    <w:rsid w:val="001153D7"/>
    <w:rsid w:val="00115AE5"/>
    <w:rsid w:val="0016580D"/>
    <w:rsid w:val="00173AE5"/>
    <w:rsid w:val="00175E39"/>
    <w:rsid w:val="001A7BC2"/>
    <w:rsid w:val="001C03D5"/>
    <w:rsid w:val="001C17AC"/>
    <w:rsid w:val="001D533D"/>
    <w:rsid w:val="001D5BF2"/>
    <w:rsid w:val="001F475F"/>
    <w:rsid w:val="00245C6D"/>
    <w:rsid w:val="002505CB"/>
    <w:rsid w:val="00254DA4"/>
    <w:rsid w:val="00276269"/>
    <w:rsid w:val="0028405A"/>
    <w:rsid w:val="00294215"/>
    <w:rsid w:val="002C7604"/>
    <w:rsid w:val="002D19C3"/>
    <w:rsid w:val="002D24EE"/>
    <w:rsid w:val="00314DBF"/>
    <w:rsid w:val="0031637D"/>
    <w:rsid w:val="00317E3D"/>
    <w:rsid w:val="00320967"/>
    <w:rsid w:val="00327CF2"/>
    <w:rsid w:val="00342A8B"/>
    <w:rsid w:val="0034536F"/>
    <w:rsid w:val="00376F5F"/>
    <w:rsid w:val="003A1639"/>
    <w:rsid w:val="003A263B"/>
    <w:rsid w:val="003A6770"/>
    <w:rsid w:val="003B268A"/>
    <w:rsid w:val="003B4D28"/>
    <w:rsid w:val="003E0C4E"/>
    <w:rsid w:val="003E44E7"/>
    <w:rsid w:val="00404E60"/>
    <w:rsid w:val="0041521C"/>
    <w:rsid w:val="00415410"/>
    <w:rsid w:val="00426A03"/>
    <w:rsid w:val="0043188D"/>
    <w:rsid w:val="0044144F"/>
    <w:rsid w:val="00462720"/>
    <w:rsid w:val="0048430F"/>
    <w:rsid w:val="004C2593"/>
    <w:rsid w:val="004D3349"/>
    <w:rsid w:val="004E4A2D"/>
    <w:rsid w:val="004F3CDA"/>
    <w:rsid w:val="00513477"/>
    <w:rsid w:val="00521E97"/>
    <w:rsid w:val="005377C3"/>
    <w:rsid w:val="00550A93"/>
    <w:rsid w:val="00556D05"/>
    <w:rsid w:val="005A2585"/>
    <w:rsid w:val="005A4FC2"/>
    <w:rsid w:val="00605048"/>
    <w:rsid w:val="00621CA5"/>
    <w:rsid w:val="006745E3"/>
    <w:rsid w:val="0067667C"/>
    <w:rsid w:val="006816D8"/>
    <w:rsid w:val="006C023A"/>
    <w:rsid w:val="006D2E19"/>
    <w:rsid w:val="006D42E4"/>
    <w:rsid w:val="006E0BEF"/>
    <w:rsid w:val="00752FE9"/>
    <w:rsid w:val="007617A0"/>
    <w:rsid w:val="00783DE0"/>
    <w:rsid w:val="0078635E"/>
    <w:rsid w:val="00786771"/>
    <w:rsid w:val="007A3D8C"/>
    <w:rsid w:val="007E3EF8"/>
    <w:rsid w:val="0080640E"/>
    <w:rsid w:val="008A4983"/>
    <w:rsid w:val="008A65B4"/>
    <w:rsid w:val="008B1FCD"/>
    <w:rsid w:val="008F1E41"/>
    <w:rsid w:val="0098048A"/>
    <w:rsid w:val="00980513"/>
    <w:rsid w:val="009816EA"/>
    <w:rsid w:val="009A4D64"/>
    <w:rsid w:val="00A07F73"/>
    <w:rsid w:val="00A14553"/>
    <w:rsid w:val="00A2279B"/>
    <w:rsid w:val="00A3360D"/>
    <w:rsid w:val="00A35851"/>
    <w:rsid w:val="00A53FFA"/>
    <w:rsid w:val="00A97203"/>
    <w:rsid w:val="00AC3520"/>
    <w:rsid w:val="00B01622"/>
    <w:rsid w:val="00B23890"/>
    <w:rsid w:val="00B33E9D"/>
    <w:rsid w:val="00B36F4C"/>
    <w:rsid w:val="00B54F14"/>
    <w:rsid w:val="00B67CED"/>
    <w:rsid w:val="00B7125D"/>
    <w:rsid w:val="00B75003"/>
    <w:rsid w:val="00B823AB"/>
    <w:rsid w:val="00B8420E"/>
    <w:rsid w:val="00B93D82"/>
    <w:rsid w:val="00BA3CCE"/>
    <w:rsid w:val="00BF6605"/>
    <w:rsid w:val="00C26EEC"/>
    <w:rsid w:val="00C45BF5"/>
    <w:rsid w:val="00C45C3F"/>
    <w:rsid w:val="00C5736C"/>
    <w:rsid w:val="00C62561"/>
    <w:rsid w:val="00C6357C"/>
    <w:rsid w:val="00CA1404"/>
    <w:rsid w:val="00CB790E"/>
    <w:rsid w:val="00CC6E75"/>
    <w:rsid w:val="00CF527A"/>
    <w:rsid w:val="00D21A7E"/>
    <w:rsid w:val="00D75396"/>
    <w:rsid w:val="00D81E1D"/>
    <w:rsid w:val="00DD002E"/>
    <w:rsid w:val="00E2041E"/>
    <w:rsid w:val="00E22C9F"/>
    <w:rsid w:val="00E33582"/>
    <w:rsid w:val="00E44EC4"/>
    <w:rsid w:val="00E45AC2"/>
    <w:rsid w:val="00E65DD1"/>
    <w:rsid w:val="00E7102F"/>
    <w:rsid w:val="00ED29FC"/>
    <w:rsid w:val="00ED6CFE"/>
    <w:rsid w:val="00EF4509"/>
    <w:rsid w:val="00F035EA"/>
    <w:rsid w:val="00F21308"/>
    <w:rsid w:val="00F23033"/>
    <w:rsid w:val="00F35D6F"/>
    <w:rsid w:val="00F45FE4"/>
    <w:rsid w:val="00F50AE3"/>
    <w:rsid w:val="00F64F30"/>
    <w:rsid w:val="00FA05BC"/>
    <w:rsid w:val="00FC128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2E899DE-A194-44F0-BADD-2020900CC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0045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88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2269</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7733254</vt:i4>
      </vt:variant>
      <vt:variant>
        <vt:i4>0</vt:i4>
      </vt:variant>
      <vt:variant>
        <vt:i4>0</vt:i4>
      </vt:variant>
      <vt:variant>
        <vt:i4>5</vt:i4>
      </vt:variant>
      <vt:variant>
        <vt:lpwstr>http://www.nevo.co.il/Law_word/law06/tak-7886.pdf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נתוני אשראי</vt:lpwstr>
  </property>
  <property fmtid="{D5CDD505-2E9C-101B-9397-08002B2CF9AE}" pid="4" name="LAWNAME">
    <vt:lpwstr>כללי נתוני אשראי (גמול והחזר הוצאות לחברי הוועדה המייעצת), תשע"ח-2017</vt:lpwstr>
  </property>
  <property fmtid="{D5CDD505-2E9C-101B-9397-08002B2CF9AE}" pid="5" name="LAWNUMBER">
    <vt:lpwstr>0711</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
  </property>
  <property fmtid="{D5CDD505-2E9C-101B-9397-08002B2CF9AE}" pid="20" name="MEKORSAMCHUT">
    <vt:lpwstr/>
  </property>
  <property fmtid="{D5CDD505-2E9C-101B-9397-08002B2CF9AE}" pid="21" name="MEKOR_NAME1">
    <vt:lpwstr>חוק נתוני אשראי</vt:lpwstr>
  </property>
  <property fmtid="{D5CDD505-2E9C-101B-9397-08002B2CF9AE}" pid="22" name="MEKOR_SAIF1">
    <vt:lpwstr>77X</vt:lpwstr>
  </property>
  <property fmtid="{D5CDD505-2E9C-101B-9397-08002B2CF9AE}" pid="23" name="NOSE11">
    <vt:lpwstr>משפט פרטי וכלכלה</vt:lpwstr>
  </property>
  <property fmtid="{D5CDD505-2E9C-101B-9397-08002B2CF9AE}" pid="24" name="NOSE21">
    <vt:lpwstr>כספים</vt:lpwstr>
  </property>
  <property fmtid="{D5CDD505-2E9C-101B-9397-08002B2CF9AE}" pid="25" name="NOSE31">
    <vt:lpwstr>בנקאות</vt:lpwstr>
  </property>
  <property fmtid="{D5CDD505-2E9C-101B-9397-08002B2CF9AE}" pid="26" name="NOSE41">
    <vt:lpwstr>שירות ללקוח</vt:lpwstr>
  </property>
  <property fmtid="{D5CDD505-2E9C-101B-9397-08002B2CF9AE}" pid="27" name="NOSE12">
    <vt:lpwstr>משפט פרטי וכלכלה</vt:lpwstr>
  </property>
  <property fmtid="{D5CDD505-2E9C-101B-9397-08002B2CF9AE}" pid="28" name="NOSE22">
    <vt:lpwstr>כספים</vt:lpwstr>
  </property>
  <property fmtid="{D5CDD505-2E9C-101B-9397-08002B2CF9AE}" pid="29" name="NOSE32">
    <vt:lpwstr>שירות נתוני אשראי</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LINKK1">
    <vt:lpwstr>http://www.nevo.co.il/Law_word/law06/tak-7886.pdf;‎רשומות - תקנות כלליות#פורסמו ק"ת תשע"ח ‏מס' 7886 #מיום 23.11.2017 עמ' 231‏</vt:lpwstr>
  </property>
  <property fmtid="{D5CDD505-2E9C-101B-9397-08002B2CF9AE}" pid="63" name="LINKK2">
    <vt:lpwstr/>
  </property>
</Properties>
</file>