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153D7" w:rsidRDefault="00403BCC" w:rsidP="00320967">
      <w:pPr>
        <w:pStyle w:val="big-header"/>
        <w:ind w:left="0" w:right="1134"/>
      </w:pPr>
      <w:r>
        <w:rPr>
          <w:rFonts w:hint="cs"/>
          <w:rtl/>
        </w:rPr>
        <w:t>כללי</w:t>
      </w:r>
      <w:r w:rsidR="00E22C9F">
        <w:rPr>
          <w:rFonts w:hint="cs"/>
          <w:rtl/>
        </w:rPr>
        <w:t xml:space="preserve"> נתוני אשראי</w:t>
      </w:r>
      <w:r>
        <w:rPr>
          <w:rFonts w:hint="cs"/>
          <w:rtl/>
        </w:rPr>
        <w:t xml:space="preserve"> (הוראות שונות)</w:t>
      </w:r>
      <w:r w:rsidR="009816EA">
        <w:rPr>
          <w:rFonts w:hint="cs"/>
          <w:rtl/>
        </w:rPr>
        <w:t xml:space="preserve">, </w:t>
      </w:r>
      <w:r w:rsidR="00320967">
        <w:rPr>
          <w:rFonts w:hint="cs"/>
          <w:rtl/>
        </w:rPr>
        <w:t>תשע"</w:t>
      </w:r>
      <w:r w:rsidR="00E7102F">
        <w:rPr>
          <w:rFonts w:hint="cs"/>
          <w:rtl/>
        </w:rPr>
        <w:t>ח</w:t>
      </w:r>
      <w:r w:rsidR="00320967">
        <w:rPr>
          <w:rFonts w:hint="cs"/>
          <w:rtl/>
        </w:rPr>
        <w:t>-2017</w:t>
      </w:r>
    </w:p>
    <w:p w:rsidR="006D2E19" w:rsidRDefault="006D2E19" w:rsidP="006D2E19">
      <w:pPr>
        <w:spacing w:line="320" w:lineRule="auto"/>
        <w:jc w:val="left"/>
        <w:rPr>
          <w:rFonts w:cs="FrankRuehl"/>
          <w:szCs w:val="26"/>
        </w:rPr>
      </w:pPr>
    </w:p>
    <w:p w:rsidR="006D2E19" w:rsidRDefault="006D2E19" w:rsidP="006D2E19">
      <w:pPr>
        <w:spacing w:line="320" w:lineRule="auto"/>
        <w:jc w:val="left"/>
        <w:rPr>
          <w:rtl/>
        </w:rPr>
      </w:pPr>
    </w:p>
    <w:p w:rsidR="00E7102F" w:rsidRPr="00E7102F" w:rsidRDefault="00E7102F" w:rsidP="00E7102F">
      <w:pPr>
        <w:spacing w:line="320" w:lineRule="auto"/>
        <w:jc w:val="left"/>
        <w:rPr>
          <w:rFonts w:cs="Times New Roman"/>
          <w:color w:val="000000"/>
          <w:szCs w:val="22"/>
          <w:lang w:eastAsia="en-US"/>
        </w:rPr>
      </w:pPr>
      <w:r w:rsidRPr="00E7102F">
        <w:rPr>
          <w:rFonts w:ascii="Miriam" w:hAnsi="Miriam" w:cs="Miriam"/>
          <w:color w:val="000000"/>
          <w:szCs w:val="22"/>
          <w:rtl/>
          <w:lang w:eastAsia="en-US"/>
        </w:rPr>
        <w:t>משפט פרטי וכלכלה</w:t>
      </w:r>
      <w:r w:rsidRPr="00E7102F">
        <w:rPr>
          <w:rFonts w:ascii="FrankRuehl" w:hAnsi="FrankRuehl" w:cs="FrankRuehl"/>
          <w:color w:val="000000"/>
          <w:sz w:val="26"/>
          <w:szCs w:val="26"/>
          <w:rtl/>
          <w:lang w:eastAsia="en-US"/>
        </w:rPr>
        <w:t xml:space="preserve"> – כספים – בנקאות – </w:t>
      </w:r>
      <w:r w:rsidRPr="00E7102F">
        <w:rPr>
          <w:rFonts w:cs="FrankRuehl"/>
          <w:szCs w:val="26"/>
          <w:rtl/>
        </w:rPr>
        <w:t>שירות</w:t>
      </w:r>
      <w:r w:rsidRPr="00E7102F">
        <w:rPr>
          <w:rFonts w:ascii="FrankRuehl" w:hAnsi="FrankRuehl" w:cs="FrankRuehl"/>
          <w:color w:val="000000"/>
          <w:sz w:val="26"/>
          <w:szCs w:val="26"/>
          <w:rtl/>
          <w:lang w:eastAsia="en-US"/>
        </w:rPr>
        <w:t xml:space="preserve"> ללקוח</w:t>
      </w:r>
    </w:p>
    <w:p w:rsidR="00E7102F" w:rsidRPr="00E7102F" w:rsidRDefault="00E7102F" w:rsidP="00E7102F">
      <w:pPr>
        <w:spacing w:line="320" w:lineRule="auto"/>
        <w:jc w:val="left"/>
        <w:rPr>
          <w:rFonts w:cs="Times New Roman"/>
          <w:color w:val="000000"/>
          <w:szCs w:val="22"/>
          <w:rtl/>
          <w:lang w:eastAsia="en-US"/>
        </w:rPr>
      </w:pPr>
      <w:r w:rsidRPr="00E7102F">
        <w:rPr>
          <w:rFonts w:ascii="Miriam" w:hAnsi="Miriam" w:cs="Miriam"/>
          <w:color w:val="000000"/>
          <w:szCs w:val="22"/>
          <w:rtl/>
          <w:lang w:eastAsia="en-US"/>
        </w:rPr>
        <w:t>משפט פרטי וכלכלה</w:t>
      </w:r>
      <w:r w:rsidRPr="00E7102F">
        <w:rPr>
          <w:rFonts w:ascii="FrankRuehl" w:hAnsi="FrankRuehl" w:cs="FrankRuehl"/>
          <w:color w:val="000000"/>
          <w:sz w:val="26"/>
          <w:szCs w:val="26"/>
          <w:rtl/>
          <w:lang w:eastAsia="en-US"/>
        </w:rPr>
        <w:t> – כספים – שירות נתוני אשראי</w:t>
      </w:r>
    </w:p>
    <w:p w:rsidR="00B8420E" w:rsidRPr="00E7102F" w:rsidRDefault="00B8420E" w:rsidP="006D2E19">
      <w:pPr>
        <w:spacing w:line="320" w:lineRule="auto"/>
        <w:jc w:val="left"/>
        <w:rPr>
          <w:rFonts w:cs="FrankRuehl"/>
          <w:szCs w:val="26"/>
          <w:rtl/>
        </w:rPr>
      </w:pPr>
    </w:p>
    <w:p w:rsidR="001153D7" w:rsidRDefault="001153D7">
      <w:pPr>
        <w:pStyle w:val="big-header"/>
        <w:ind w:left="0" w:right="1134"/>
        <w:rPr>
          <w:rStyle w:val="default"/>
          <w:rFonts w:cs="FrankRuehl" w:hint="cs"/>
          <w:rtl/>
        </w:rPr>
      </w:pPr>
      <w:r>
        <w:rPr>
          <w:rFonts w:hint="cs"/>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C52409" w:rsidRPr="00C52409" w:rsidTr="00C52409">
        <w:tblPrEx>
          <w:tblCellMar>
            <w:top w:w="0" w:type="dxa"/>
            <w:bottom w:w="0" w:type="dxa"/>
          </w:tblCellMar>
        </w:tblPrEx>
        <w:tc>
          <w:tcPr>
            <w:tcW w:w="1247" w:type="dxa"/>
          </w:tcPr>
          <w:p w:rsidR="00C52409" w:rsidRPr="00C52409" w:rsidRDefault="00C52409" w:rsidP="00C52409">
            <w:pPr>
              <w:spacing w:line="240" w:lineRule="auto"/>
              <w:jc w:val="left"/>
              <w:rPr>
                <w:rFonts w:cs="Frankruhel" w:hint="cs"/>
                <w:sz w:val="24"/>
                <w:rtl/>
              </w:rPr>
            </w:pPr>
          </w:p>
        </w:tc>
        <w:tc>
          <w:tcPr>
            <w:tcW w:w="5669" w:type="dxa"/>
          </w:tcPr>
          <w:p w:rsidR="00C52409" w:rsidRPr="00C52409" w:rsidRDefault="00C52409" w:rsidP="00C52409">
            <w:pPr>
              <w:spacing w:line="240" w:lineRule="auto"/>
              <w:jc w:val="left"/>
              <w:rPr>
                <w:rFonts w:cs="Frankruhel" w:hint="cs"/>
                <w:sz w:val="24"/>
                <w:rtl/>
              </w:rPr>
            </w:pPr>
            <w:r>
              <w:rPr>
                <w:rFonts w:cs="Times New Roman"/>
                <w:sz w:val="24"/>
                <w:rtl/>
              </w:rPr>
              <w:t>פרק א': פרשנות</w:t>
            </w:r>
          </w:p>
        </w:tc>
        <w:tc>
          <w:tcPr>
            <w:tcW w:w="567" w:type="dxa"/>
          </w:tcPr>
          <w:p w:rsidR="00C52409" w:rsidRPr="00C52409" w:rsidRDefault="00C52409" w:rsidP="00C52409">
            <w:pPr>
              <w:spacing w:line="240" w:lineRule="auto"/>
              <w:jc w:val="left"/>
              <w:rPr>
                <w:rStyle w:val="Hyperlink"/>
                <w:rFonts w:hint="cs"/>
                <w:rtl/>
              </w:rPr>
            </w:pPr>
            <w:hyperlink w:anchor="med0" w:tooltip="פרק א: פרשנות" w:history="1">
              <w:r w:rsidRPr="00C52409">
                <w:rPr>
                  <w:rStyle w:val="Hyperlink"/>
                </w:rPr>
                <w:t>Go</w:t>
              </w:r>
            </w:hyperlink>
          </w:p>
        </w:tc>
        <w:tc>
          <w:tcPr>
            <w:tcW w:w="850" w:type="dxa"/>
          </w:tcPr>
          <w:p w:rsidR="00C52409" w:rsidRPr="00C52409" w:rsidRDefault="00C52409" w:rsidP="00C524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C52409" w:rsidRPr="00C52409" w:rsidTr="00C52409">
        <w:tblPrEx>
          <w:tblCellMar>
            <w:top w:w="0" w:type="dxa"/>
            <w:bottom w:w="0" w:type="dxa"/>
          </w:tblCellMar>
        </w:tblPrEx>
        <w:tc>
          <w:tcPr>
            <w:tcW w:w="1247" w:type="dxa"/>
          </w:tcPr>
          <w:p w:rsidR="00C52409" w:rsidRPr="00C52409" w:rsidRDefault="00C52409" w:rsidP="00C52409">
            <w:pPr>
              <w:spacing w:line="240" w:lineRule="auto"/>
              <w:jc w:val="left"/>
              <w:rPr>
                <w:rFonts w:cs="Frankruhel" w:hint="cs"/>
                <w:sz w:val="24"/>
                <w:rtl/>
              </w:rPr>
            </w:pPr>
            <w:r>
              <w:rPr>
                <w:rFonts w:cs="Times New Roman"/>
                <w:sz w:val="24"/>
                <w:rtl/>
              </w:rPr>
              <w:t xml:space="preserve">סעיף 1 </w:t>
            </w:r>
          </w:p>
        </w:tc>
        <w:tc>
          <w:tcPr>
            <w:tcW w:w="5669" w:type="dxa"/>
          </w:tcPr>
          <w:p w:rsidR="00C52409" w:rsidRPr="00C52409" w:rsidRDefault="00C52409" w:rsidP="00C52409">
            <w:pPr>
              <w:spacing w:line="240" w:lineRule="auto"/>
              <w:jc w:val="left"/>
              <w:rPr>
                <w:rFonts w:cs="Frankruhel" w:hint="cs"/>
                <w:sz w:val="24"/>
                <w:rtl/>
              </w:rPr>
            </w:pPr>
            <w:r>
              <w:rPr>
                <w:rFonts w:cs="Times New Roman"/>
                <w:sz w:val="24"/>
                <w:rtl/>
              </w:rPr>
              <w:t>הגדרות</w:t>
            </w:r>
          </w:p>
        </w:tc>
        <w:tc>
          <w:tcPr>
            <w:tcW w:w="567" w:type="dxa"/>
          </w:tcPr>
          <w:p w:rsidR="00C52409" w:rsidRPr="00C52409" w:rsidRDefault="00C52409" w:rsidP="00C52409">
            <w:pPr>
              <w:spacing w:line="240" w:lineRule="auto"/>
              <w:jc w:val="left"/>
              <w:rPr>
                <w:rStyle w:val="Hyperlink"/>
                <w:rFonts w:hint="cs"/>
                <w:rtl/>
              </w:rPr>
            </w:pPr>
            <w:hyperlink w:anchor="Seif1" w:tooltip="הגדרות" w:history="1">
              <w:r w:rsidRPr="00C52409">
                <w:rPr>
                  <w:rStyle w:val="Hyperlink"/>
                </w:rPr>
                <w:t>Go</w:t>
              </w:r>
            </w:hyperlink>
          </w:p>
        </w:tc>
        <w:tc>
          <w:tcPr>
            <w:tcW w:w="850" w:type="dxa"/>
          </w:tcPr>
          <w:p w:rsidR="00C52409" w:rsidRPr="00C52409" w:rsidRDefault="00C52409" w:rsidP="00C524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C52409" w:rsidRPr="00C52409" w:rsidTr="00C52409">
        <w:tblPrEx>
          <w:tblCellMar>
            <w:top w:w="0" w:type="dxa"/>
            <w:bottom w:w="0" w:type="dxa"/>
          </w:tblCellMar>
        </w:tblPrEx>
        <w:tc>
          <w:tcPr>
            <w:tcW w:w="1247" w:type="dxa"/>
          </w:tcPr>
          <w:p w:rsidR="00C52409" w:rsidRPr="00C52409" w:rsidRDefault="00C52409" w:rsidP="00C52409">
            <w:pPr>
              <w:spacing w:line="240" w:lineRule="auto"/>
              <w:jc w:val="left"/>
              <w:rPr>
                <w:rFonts w:cs="Frankruhel" w:hint="cs"/>
                <w:sz w:val="24"/>
                <w:rtl/>
              </w:rPr>
            </w:pPr>
          </w:p>
        </w:tc>
        <w:tc>
          <w:tcPr>
            <w:tcW w:w="5669" w:type="dxa"/>
          </w:tcPr>
          <w:p w:rsidR="00C52409" w:rsidRPr="00C52409" w:rsidRDefault="00C52409" w:rsidP="00C52409">
            <w:pPr>
              <w:spacing w:line="240" w:lineRule="auto"/>
              <w:jc w:val="left"/>
              <w:rPr>
                <w:rFonts w:cs="Frankruhel" w:hint="cs"/>
                <w:sz w:val="24"/>
                <w:rtl/>
              </w:rPr>
            </w:pPr>
            <w:r>
              <w:rPr>
                <w:rFonts w:cs="Times New Roman"/>
                <w:sz w:val="24"/>
                <w:rtl/>
              </w:rPr>
              <w:t>פרק ב': הפעלת שירות נתוני אשראי</w:t>
            </w:r>
          </w:p>
        </w:tc>
        <w:tc>
          <w:tcPr>
            <w:tcW w:w="567" w:type="dxa"/>
          </w:tcPr>
          <w:p w:rsidR="00C52409" w:rsidRPr="00C52409" w:rsidRDefault="00C52409" w:rsidP="00C52409">
            <w:pPr>
              <w:spacing w:line="240" w:lineRule="auto"/>
              <w:jc w:val="left"/>
              <w:rPr>
                <w:rStyle w:val="Hyperlink"/>
                <w:rFonts w:hint="cs"/>
                <w:rtl/>
              </w:rPr>
            </w:pPr>
            <w:hyperlink w:anchor="med1" w:tooltip="פרק ב: הפעלת שירות נתוני אשראי" w:history="1">
              <w:r w:rsidRPr="00C52409">
                <w:rPr>
                  <w:rStyle w:val="Hyperlink"/>
                </w:rPr>
                <w:t>Go</w:t>
              </w:r>
            </w:hyperlink>
          </w:p>
        </w:tc>
        <w:tc>
          <w:tcPr>
            <w:tcW w:w="850" w:type="dxa"/>
          </w:tcPr>
          <w:p w:rsidR="00C52409" w:rsidRPr="00C52409" w:rsidRDefault="00C52409" w:rsidP="00C524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C52409" w:rsidRPr="00C52409" w:rsidTr="00C52409">
        <w:tblPrEx>
          <w:tblCellMar>
            <w:top w:w="0" w:type="dxa"/>
            <w:bottom w:w="0" w:type="dxa"/>
          </w:tblCellMar>
        </w:tblPrEx>
        <w:tc>
          <w:tcPr>
            <w:tcW w:w="1247" w:type="dxa"/>
          </w:tcPr>
          <w:p w:rsidR="00C52409" w:rsidRPr="00C52409" w:rsidRDefault="00C52409" w:rsidP="00C52409">
            <w:pPr>
              <w:spacing w:line="240" w:lineRule="auto"/>
              <w:jc w:val="left"/>
              <w:rPr>
                <w:rFonts w:cs="Frankruhel" w:hint="cs"/>
                <w:sz w:val="24"/>
                <w:rtl/>
              </w:rPr>
            </w:pPr>
            <w:r>
              <w:rPr>
                <w:rFonts w:cs="Times New Roman"/>
                <w:sz w:val="24"/>
                <w:rtl/>
              </w:rPr>
              <w:t xml:space="preserve">סעיף 2 </w:t>
            </w:r>
          </w:p>
        </w:tc>
        <w:tc>
          <w:tcPr>
            <w:tcW w:w="5669" w:type="dxa"/>
          </w:tcPr>
          <w:p w:rsidR="00C52409" w:rsidRPr="00C52409" w:rsidRDefault="00C52409" w:rsidP="00C52409">
            <w:pPr>
              <w:spacing w:line="240" w:lineRule="auto"/>
              <w:jc w:val="left"/>
              <w:rPr>
                <w:rFonts w:cs="Frankruhel" w:hint="cs"/>
                <w:sz w:val="24"/>
                <w:rtl/>
              </w:rPr>
            </w:pPr>
            <w:r>
              <w:rPr>
                <w:rFonts w:cs="Times New Roman"/>
                <w:sz w:val="24"/>
                <w:rtl/>
              </w:rPr>
              <w:t>עיסוקים מותרים ללשכת אשראי</w:t>
            </w:r>
          </w:p>
        </w:tc>
        <w:tc>
          <w:tcPr>
            <w:tcW w:w="567" w:type="dxa"/>
          </w:tcPr>
          <w:p w:rsidR="00C52409" w:rsidRPr="00C52409" w:rsidRDefault="00C52409" w:rsidP="00C52409">
            <w:pPr>
              <w:spacing w:line="240" w:lineRule="auto"/>
              <w:jc w:val="left"/>
              <w:rPr>
                <w:rStyle w:val="Hyperlink"/>
                <w:rFonts w:hint="cs"/>
                <w:rtl/>
              </w:rPr>
            </w:pPr>
            <w:hyperlink w:anchor="Seif2" w:tooltip="עיסוקים מותרים ללשכת אשראי" w:history="1">
              <w:r w:rsidRPr="00C52409">
                <w:rPr>
                  <w:rStyle w:val="Hyperlink"/>
                </w:rPr>
                <w:t>Go</w:t>
              </w:r>
            </w:hyperlink>
          </w:p>
        </w:tc>
        <w:tc>
          <w:tcPr>
            <w:tcW w:w="850" w:type="dxa"/>
          </w:tcPr>
          <w:p w:rsidR="00C52409" w:rsidRPr="00C52409" w:rsidRDefault="00C52409" w:rsidP="00C524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C52409" w:rsidRPr="00C52409" w:rsidTr="00C52409">
        <w:tblPrEx>
          <w:tblCellMar>
            <w:top w:w="0" w:type="dxa"/>
            <w:bottom w:w="0" w:type="dxa"/>
          </w:tblCellMar>
        </w:tblPrEx>
        <w:tc>
          <w:tcPr>
            <w:tcW w:w="1247" w:type="dxa"/>
          </w:tcPr>
          <w:p w:rsidR="00C52409" w:rsidRPr="00C52409" w:rsidRDefault="00C52409" w:rsidP="00C52409">
            <w:pPr>
              <w:spacing w:line="240" w:lineRule="auto"/>
              <w:jc w:val="left"/>
              <w:rPr>
                <w:rFonts w:cs="Frankruhel" w:hint="cs"/>
                <w:sz w:val="24"/>
                <w:rtl/>
              </w:rPr>
            </w:pPr>
          </w:p>
        </w:tc>
        <w:tc>
          <w:tcPr>
            <w:tcW w:w="5669" w:type="dxa"/>
          </w:tcPr>
          <w:p w:rsidR="00C52409" w:rsidRPr="00C52409" w:rsidRDefault="00C52409" w:rsidP="00C52409">
            <w:pPr>
              <w:spacing w:line="240" w:lineRule="auto"/>
              <w:jc w:val="left"/>
              <w:rPr>
                <w:rFonts w:cs="Frankruhel" w:hint="cs"/>
                <w:sz w:val="24"/>
                <w:rtl/>
              </w:rPr>
            </w:pPr>
            <w:r>
              <w:rPr>
                <w:rFonts w:cs="Times New Roman"/>
                <w:sz w:val="24"/>
                <w:rtl/>
              </w:rPr>
              <w:t>פרק ג': העברת מידע למאגר ושמירתו</w:t>
            </w:r>
          </w:p>
        </w:tc>
        <w:tc>
          <w:tcPr>
            <w:tcW w:w="567" w:type="dxa"/>
          </w:tcPr>
          <w:p w:rsidR="00C52409" w:rsidRPr="00C52409" w:rsidRDefault="00C52409" w:rsidP="00C52409">
            <w:pPr>
              <w:spacing w:line="240" w:lineRule="auto"/>
              <w:jc w:val="left"/>
              <w:rPr>
                <w:rStyle w:val="Hyperlink"/>
                <w:rFonts w:hint="cs"/>
                <w:rtl/>
              </w:rPr>
            </w:pPr>
            <w:hyperlink w:anchor="med2" w:tooltip="פרק ג: העברת מידע למאגר ושמירתו" w:history="1">
              <w:r w:rsidRPr="00C52409">
                <w:rPr>
                  <w:rStyle w:val="Hyperlink"/>
                </w:rPr>
                <w:t>Go</w:t>
              </w:r>
            </w:hyperlink>
          </w:p>
        </w:tc>
        <w:tc>
          <w:tcPr>
            <w:tcW w:w="850" w:type="dxa"/>
          </w:tcPr>
          <w:p w:rsidR="00C52409" w:rsidRPr="00C52409" w:rsidRDefault="00C52409" w:rsidP="00C524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C52409" w:rsidRPr="00C52409" w:rsidTr="00C52409">
        <w:tblPrEx>
          <w:tblCellMar>
            <w:top w:w="0" w:type="dxa"/>
            <w:bottom w:w="0" w:type="dxa"/>
          </w:tblCellMar>
        </w:tblPrEx>
        <w:tc>
          <w:tcPr>
            <w:tcW w:w="1247" w:type="dxa"/>
          </w:tcPr>
          <w:p w:rsidR="00C52409" w:rsidRPr="00C52409" w:rsidRDefault="00C52409" w:rsidP="00C52409">
            <w:pPr>
              <w:spacing w:line="240" w:lineRule="auto"/>
              <w:jc w:val="left"/>
              <w:rPr>
                <w:rFonts w:cs="Frankruhel" w:hint="cs"/>
                <w:sz w:val="24"/>
                <w:rtl/>
              </w:rPr>
            </w:pPr>
            <w:r>
              <w:rPr>
                <w:rFonts w:cs="Times New Roman"/>
                <w:sz w:val="24"/>
                <w:rtl/>
              </w:rPr>
              <w:t xml:space="preserve">סעיף 3 </w:t>
            </w:r>
          </w:p>
        </w:tc>
        <w:tc>
          <w:tcPr>
            <w:tcW w:w="5669" w:type="dxa"/>
          </w:tcPr>
          <w:p w:rsidR="00C52409" w:rsidRPr="00C52409" w:rsidRDefault="00C52409" w:rsidP="00C52409">
            <w:pPr>
              <w:spacing w:line="240" w:lineRule="auto"/>
              <w:jc w:val="left"/>
              <w:rPr>
                <w:rFonts w:cs="Frankruhel" w:hint="cs"/>
                <w:sz w:val="24"/>
                <w:rtl/>
              </w:rPr>
            </w:pPr>
            <w:r>
              <w:rPr>
                <w:rFonts w:cs="Times New Roman"/>
                <w:sz w:val="24"/>
                <w:rtl/>
              </w:rPr>
              <w:t>מקור מוסמך החייב בהעברת מידע למאגר</w:t>
            </w:r>
          </w:p>
        </w:tc>
        <w:tc>
          <w:tcPr>
            <w:tcW w:w="567" w:type="dxa"/>
          </w:tcPr>
          <w:p w:rsidR="00C52409" w:rsidRPr="00C52409" w:rsidRDefault="00C52409" w:rsidP="00C52409">
            <w:pPr>
              <w:spacing w:line="240" w:lineRule="auto"/>
              <w:jc w:val="left"/>
              <w:rPr>
                <w:rStyle w:val="Hyperlink"/>
                <w:rFonts w:hint="cs"/>
                <w:rtl/>
              </w:rPr>
            </w:pPr>
            <w:hyperlink w:anchor="Seif3" w:tooltip="מקור מוסמך החייב בהעברת מידע למאגר" w:history="1">
              <w:r w:rsidRPr="00C52409">
                <w:rPr>
                  <w:rStyle w:val="Hyperlink"/>
                </w:rPr>
                <w:t>Go</w:t>
              </w:r>
            </w:hyperlink>
          </w:p>
        </w:tc>
        <w:tc>
          <w:tcPr>
            <w:tcW w:w="850" w:type="dxa"/>
          </w:tcPr>
          <w:p w:rsidR="00C52409" w:rsidRPr="00C52409" w:rsidRDefault="00C52409" w:rsidP="00C524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C52409" w:rsidRPr="00C52409" w:rsidTr="00C52409">
        <w:tblPrEx>
          <w:tblCellMar>
            <w:top w:w="0" w:type="dxa"/>
            <w:bottom w:w="0" w:type="dxa"/>
          </w:tblCellMar>
        </w:tblPrEx>
        <w:tc>
          <w:tcPr>
            <w:tcW w:w="1247" w:type="dxa"/>
          </w:tcPr>
          <w:p w:rsidR="00C52409" w:rsidRPr="00C52409" w:rsidRDefault="00C52409" w:rsidP="00C52409">
            <w:pPr>
              <w:spacing w:line="240" w:lineRule="auto"/>
              <w:jc w:val="left"/>
              <w:rPr>
                <w:rFonts w:cs="Frankruhel" w:hint="cs"/>
                <w:sz w:val="24"/>
                <w:rtl/>
              </w:rPr>
            </w:pPr>
          </w:p>
        </w:tc>
        <w:tc>
          <w:tcPr>
            <w:tcW w:w="5669" w:type="dxa"/>
          </w:tcPr>
          <w:p w:rsidR="00C52409" w:rsidRPr="00C52409" w:rsidRDefault="00C52409" w:rsidP="00C52409">
            <w:pPr>
              <w:spacing w:line="240" w:lineRule="auto"/>
              <w:jc w:val="left"/>
              <w:rPr>
                <w:rFonts w:cs="Frankruhel" w:hint="cs"/>
                <w:sz w:val="24"/>
                <w:rtl/>
              </w:rPr>
            </w:pPr>
            <w:r>
              <w:rPr>
                <w:rFonts w:cs="Times New Roman"/>
                <w:sz w:val="24"/>
                <w:rtl/>
              </w:rPr>
              <w:t>פרק ד': בקשת לקוח לאי-הכללת נתוני אשראי לגביו במאגר וביטולה</w:t>
            </w:r>
          </w:p>
        </w:tc>
        <w:tc>
          <w:tcPr>
            <w:tcW w:w="567" w:type="dxa"/>
          </w:tcPr>
          <w:p w:rsidR="00C52409" w:rsidRPr="00C52409" w:rsidRDefault="00C52409" w:rsidP="00C52409">
            <w:pPr>
              <w:spacing w:line="240" w:lineRule="auto"/>
              <w:jc w:val="left"/>
              <w:rPr>
                <w:rStyle w:val="Hyperlink"/>
                <w:rFonts w:hint="cs"/>
                <w:rtl/>
              </w:rPr>
            </w:pPr>
            <w:hyperlink w:anchor="med3" w:tooltip="פרק ד: בקשת לקוח לאי-הכללת נתוני אשראי לגביו במאגר וביטולה" w:history="1">
              <w:r w:rsidRPr="00C52409">
                <w:rPr>
                  <w:rStyle w:val="Hyperlink"/>
                </w:rPr>
                <w:t>Go</w:t>
              </w:r>
            </w:hyperlink>
          </w:p>
        </w:tc>
        <w:tc>
          <w:tcPr>
            <w:tcW w:w="850" w:type="dxa"/>
          </w:tcPr>
          <w:p w:rsidR="00C52409" w:rsidRPr="00C52409" w:rsidRDefault="00C52409" w:rsidP="00C524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med3</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C52409" w:rsidRPr="00C52409" w:rsidTr="00C52409">
        <w:tblPrEx>
          <w:tblCellMar>
            <w:top w:w="0" w:type="dxa"/>
            <w:bottom w:w="0" w:type="dxa"/>
          </w:tblCellMar>
        </w:tblPrEx>
        <w:tc>
          <w:tcPr>
            <w:tcW w:w="1247" w:type="dxa"/>
          </w:tcPr>
          <w:p w:rsidR="00C52409" w:rsidRPr="00C52409" w:rsidRDefault="00C52409" w:rsidP="00C52409">
            <w:pPr>
              <w:spacing w:line="240" w:lineRule="auto"/>
              <w:jc w:val="left"/>
              <w:rPr>
                <w:rFonts w:cs="Frankruhel" w:hint="cs"/>
                <w:sz w:val="24"/>
                <w:rtl/>
              </w:rPr>
            </w:pPr>
            <w:r>
              <w:rPr>
                <w:rFonts w:cs="Times New Roman"/>
                <w:sz w:val="24"/>
                <w:rtl/>
              </w:rPr>
              <w:t xml:space="preserve">סעיף 4 </w:t>
            </w:r>
          </w:p>
        </w:tc>
        <w:tc>
          <w:tcPr>
            <w:tcW w:w="5669" w:type="dxa"/>
          </w:tcPr>
          <w:p w:rsidR="00C52409" w:rsidRPr="00C52409" w:rsidRDefault="00C52409" w:rsidP="00C52409">
            <w:pPr>
              <w:spacing w:line="240" w:lineRule="auto"/>
              <w:jc w:val="left"/>
              <w:rPr>
                <w:rFonts w:cs="Frankruhel" w:hint="cs"/>
                <w:sz w:val="24"/>
                <w:rtl/>
              </w:rPr>
            </w:pPr>
            <w:r>
              <w:rPr>
                <w:rFonts w:cs="Times New Roman"/>
                <w:sz w:val="24"/>
                <w:rtl/>
              </w:rPr>
              <w:t>אופן הגשת בקשת לקוח</w:t>
            </w:r>
          </w:p>
        </w:tc>
        <w:tc>
          <w:tcPr>
            <w:tcW w:w="567" w:type="dxa"/>
          </w:tcPr>
          <w:p w:rsidR="00C52409" w:rsidRPr="00C52409" w:rsidRDefault="00C52409" w:rsidP="00C52409">
            <w:pPr>
              <w:spacing w:line="240" w:lineRule="auto"/>
              <w:jc w:val="left"/>
              <w:rPr>
                <w:rStyle w:val="Hyperlink"/>
                <w:rFonts w:hint="cs"/>
                <w:rtl/>
              </w:rPr>
            </w:pPr>
            <w:hyperlink w:anchor="Seif4" w:tooltip="אופן הגשת בקשת לקוח" w:history="1">
              <w:r w:rsidRPr="00C52409">
                <w:rPr>
                  <w:rStyle w:val="Hyperlink"/>
                </w:rPr>
                <w:t>Go</w:t>
              </w:r>
            </w:hyperlink>
          </w:p>
        </w:tc>
        <w:tc>
          <w:tcPr>
            <w:tcW w:w="850" w:type="dxa"/>
          </w:tcPr>
          <w:p w:rsidR="00C52409" w:rsidRPr="00C52409" w:rsidRDefault="00C52409" w:rsidP="00C524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C52409" w:rsidRPr="00C52409" w:rsidTr="00C52409">
        <w:tblPrEx>
          <w:tblCellMar>
            <w:top w:w="0" w:type="dxa"/>
            <w:bottom w:w="0" w:type="dxa"/>
          </w:tblCellMar>
        </w:tblPrEx>
        <w:tc>
          <w:tcPr>
            <w:tcW w:w="1247" w:type="dxa"/>
          </w:tcPr>
          <w:p w:rsidR="00C52409" w:rsidRPr="00C52409" w:rsidRDefault="00C52409" w:rsidP="00C52409">
            <w:pPr>
              <w:spacing w:line="240" w:lineRule="auto"/>
              <w:jc w:val="left"/>
              <w:rPr>
                <w:rFonts w:cs="Frankruhel" w:hint="cs"/>
                <w:sz w:val="24"/>
                <w:rtl/>
              </w:rPr>
            </w:pPr>
            <w:r>
              <w:rPr>
                <w:rFonts w:cs="Times New Roman"/>
                <w:sz w:val="24"/>
                <w:rtl/>
              </w:rPr>
              <w:t xml:space="preserve">סעיף 5 </w:t>
            </w:r>
          </w:p>
        </w:tc>
        <w:tc>
          <w:tcPr>
            <w:tcW w:w="5669" w:type="dxa"/>
          </w:tcPr>
          <w:p w:rsidR="00C52409" w:rsidRPr="00C52409" w:rsidRDefault="00C52409" w:rsidP="00C52409">
            <w:pPr>
              <w:spacing w:line="240" w:lineRule="auto"/>
              <w:jc w:val="left"/>
              <w:rPr>
                <w:rFonts w:cs="Frankruhel" w:hint="cs"/>
                <w:sz w:val="24"/>
                <w:rtl/>
              </w:rPr>
            </w:pPr>
            <w:r>
              <w:rPr>
                <w:rFonts w:cs="Times New Roman"/>
                <w:sz w:val="24"/>
                <w:rtl/>
              </w:rPr>
              <w:t>מועדים לטיפול בבקשת לקוח</w:t>
            </w:r>
          </w:p>
        </w:tc>
        <w:tc>
          <w:tcPr>
            <w:tcW w:w="567" w:type="dxa"/>
          </w:tcPr>
          <w:p w:rsidR="00C52409" w:rsidRPr="00C52409" w:rsidRDefault="00C52409" w:rsidP="00C52409">
            <w:pPr>
              <w:spacing w:line="240" w:lineRule="auto"/>
              <w:jc w:val="left"/>
              <w:rPr>
                <w:rStyle w:val="Hyperlink"/>
                <w:rFonts w:hint="cs"/>
                <w:rtl/>
              </w:rPr>
            </w:pPr>
            <w:hyperlink w:anchor="Seif5" w:tooltip="מועדים לטיפול בבקשת לקוח" w:history="1">
              <w:r w:rsidRPr="00C52409">
                <w:rPr>
                  <w:rStyle w:val="Hyperlink"/>
                </w:rPr>
                <w:t>Go</w:t>
              </w:r>
            </w:hyperlink>
          </w:p>
        </w:tc>
        <w:tc>
          <w:tcPr>
            <w:tcW w:w="850" w:type="dxa"/>
          </w:tcPr>
          <w:p w:rsidR="00C52409" w:rsidRPr="00C52409" w:rsidRDefault="00C52409" w:rsidP="00C524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C52409" w:rsidRPr="00C52409" w:rsidTr="00C52409">
        <w:tblPrEx>
          <w:tblCellMar>
            <w:top w:w="0" w:type="dxa"/>
            <w:bottom w:w="0" w:type="dxa"/>
          </w:tblCellMar>
        </w:tblPrEx>
        <w:tc>
          <w:tcPr>
            <w:tcW w:w="1247" w:type="dxa"/>
          </w:tcPr>
          <w:p w:rsidR="00C52409" w:rsidRPr="00C52409" w:rsidRDefault="00C52409" w:rsidP="00C52409">
            <w:pPr>
              <w:spacing w:line="240" w:lineRule="auto"/>
              <w:jc w:val="left"/>
              <w:rPr>
                <w:rFonts w:cs="Frankruhel" w:hint="cs"/>
                <w:sz w:val="24"/>
                <w:rtl/>
              </w:rPr>
            </w:pPr>
            <w:r>
              <w:rPr>
                <w:rFonts w:cs="Times New Roman"/>
                <w:sz w:val="24"/>
                <w:rtl/>
              </w:rPr>
              <w:t xml:space="preserve">סעיף 6 </w:t>
            </w:r>
          </w:p>
        </w:tc>
        <w:tc>
          <w:tcPr>
            <w:tcW w:w="5669" w:type="dxa"/>
          </w:tcPr>
          <w:p w:rsidR="00C52409" w:rsidRPr="00C52409" w:rsidRDefault="00C52409" w:rsidP="00C52409">
            <w:pPr>
              <w:spacing w:line="240" w:lineRule="auto"/>
              <w:jc w:val="left"/>
              <w:rPr>
                <w:rFonts w:cs="Frankruhel" w:hint="cs"/>
                <w:sz w:val="24"/>
                <w:rtl/>
              </w:rPr>
            </w:pPr>
            <w:r>
              <w:rPr>
                <w:rFonts w:cs="Times New Roman"/>
                <w:sz w:val="24"/>
                <w:rtl/>
              </w:rPr>
              <w:t>הודעת ביצוע ללקוח לגבי בקשתו</w:t>
            </w:r>
          </w:p>
        </w:tc>
        <w:tc>
          <w:tcPr>
            <w:tcW w:w="567" w:type="dxa"/>
          </w:tcPr>
          <w:p w:rsidR="00C52409" w:rsidRPr="00C52409" w:rsidRDefault="00C52409" w:rsidP="00C52409">
            <w:pPr>
              <w:spacing w:line="240" w:lineRule="auto"/>
              <w:jc w:val="left"/>
              <w:rPr>
                <w:rStyle w:val="Hyperlink"/>
                <w:rFonts w:hint="cs"/>
                <w:rtl/>
              </w:rPr>
            </w:pPr>
            <w:hyperlink w:anchor="Seif6" w:tooltip="הודעת ביצוע ללקוח לגבי בקשתו" w:history="1">
              <w:r w:rsidRPr="00C52409">
                <w:rPr>
                  <w:rStyle w:val="Hyperlink"/>
                </w:rPr>
                <w:t>Go</w:t>
              </w:r>
            </w:hyperlink>
          </w:p>
        </w:tc>
        <w:tc>
          <w:tcPr>
            <w:tcW w:w="850" w:type="dxa"/>
          </w:tcPr>
          <w:p w:rsidR="00C52409" w:rsidRPr="00C52409" w:rsidRDefault="00C52409" w:rsidP="00C524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C52409" w:rsidRPr="00C52409" w:rsidTr="00C52409">
        <w:tblPrEx>
          <w:tblCellMar>
            <w:top w:w="0" w:type="dxa"/>
            <w:bottom w:w="0" w:type="dxa"/>
          </w:tblCellMar>
        </w:tblPrEx>
        <w:tc>
          <w:tcPr>
            <w:tcW w:w="1247" w:type="dxa"/>
          </w:tcPr>
          <w:p w:rsidR="00C52409" w:rsidRPr="00C52409" w:rsidRDefault="00C52409" w:rsidP="00C52409">
            <w:pPr>
              <w:spacing w:line="240" w:lineRule="auto"/>
              <w:jc w:val="left"/>
              <w:rPr>
                <w:rFonts w:cs="Frankruhel" w:hint="cs"/>
                <w:sz w:val="24"/>
                <w:rtl/>
              </w:rPr>
            </w:pPr>
          </w:p>
        </w:tc>
        <w:tc>
          <w:tcPr>
            <w:tcW w:w="5669" w:type="dxa"/>
          </w:tcPr>
          <w:p w:rsidR="00C52409" w:rsidRPr="00C52409" w:rsidRDefault="00C52409" w:rsidP="00C52409">
            <w:pPr>
              <w:spacing w:line="240" w:lineRule="auto"/>
              <w:jc w:val="left"/>
              <w:rPr>
                <w:rFonts w:cs="Frankruhel" w:hint="cs"/>
                <w:sz w:val="24"/>
                <w:rtl/>
              </w:rPr>
            </w:pPr>
            <w:r>
              <w:rPr>
                <w:rFonts w:cs="Times New Roman"/>
                <w:sz w:val="24"/>
                <w:rtl/>
              </w:rPr>
              <w:t>פרק ה': בקשת לקוח שלא יימסרו נתוני אשראי לגביו מהמאגר וביטולה</w:t>
            </w:r>
          </w:p>
        </w:tc>
        <w:tc>
          <w:tcPr>
            <w:tcW w:w="567" w:type="dxa"/>
          </w:tcPr>
          <w:p w:rsidR="00C52409" w:rsidRPr="00C52409" w:rsidRDefault="00C52409" w:rsidP="00C52409">
            <w:pPr>
              <w:spacing w:line="240" w:lineRule="auto"/>
              <w:jc w:val="left"/>
              <w:rPr>
                <w:rStyle w:val="Hyperlink"/>
                <w:rFonts w:hint="cs"/>
                <w:rtl/>
              </w:rPr>
            </w:pPr>
            <w:hyperlink w:anchor="med4" w:tooltip="פרק ה: בקשת לקוח שלא יימסרו נתוני אשראי לגביו מהמאגר וביטולה" w:history="1">
              <w:r w:rsidRPr="00C52409">
                <w:rPr>
                  <w:rStyle w:val="Hyperlink"/>
                </w:rPr>
                <w:t>Go</w:t>
              </w:r>
            </w:hyperlink>
          </w:p>
        </w:tc>
        <w:tc>
          <w:tcPr>
            <w:tcW w:w="850" w:type="dxa"/>
          </w:tcPr>
          <w:p w:rsidR="00C52409" w:rsidRPr="00C52409" w:rsidRDefault="00C52409" w:rsidP="00C524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med4</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C52409" w:rsidRPr="00C52409" w:rsidTr="00C52409">
        <w:tblPrEx>
          <w:tblCellMar>
            <w:top w:w="0" w:type="dxa"/>
            <w:bottom w:w="0" w:type="dxa"/>
          </w:tblCellMar>
        </w:tblPrEx>
        <w:tc>
          <w:tcPr>
            <w:tcW w:w="1247" w:type="dxa"/>
          </w:tcPr>
          <w:p w:rsidR="00C52409" w:rsidRPr="00C52409" w:rsidRDefault="00C52409" w:rsidP="00C52409">
            <w:pPr>
              <w:spacing w:line="240" w:lineRule="auto"/>
              <w:jc w:val="left"/>
              <w:rPr>
                <w:rFonts w:cs="Frankruhel" w:hint="cs"/>
                <w:sz w:val="24"/>
                <w:rtl/>
              </w:rPr>
            </w:pPr>
            <w:r>
              <w:rPr>
                <w:rFonts w:cs="Times New Roman"/>
                <w:sz w:val="24"/>
                <w:rtl/>
              </w:rPr>
              <w:t xml:space="preserve">סעיף 7 </w:t>
            </w:r>
          </w:p>
        </w:tc>
        <w:tc>
          <w:tcPr>
            <w:tcW w:w="5669" w:type="dxa"/>
          </w:tcPr>
          <w:p w:rsidR="00C52409" w:rsidRPr="00C52409" w:rsidRDefault="00C52409" w:rsidP="00C52409">
            <w:pPr>
              <w:spacing w:line="240" w:lineRule="auto"/>
              <w:jc w:val="left"/>
              <w:rPr>
                <w:rFonts w:cs="Frankruhel" w:hint="cs"/>
                <w:sz w:val="24"/>
                <w:rtl/>
              </w:rPr>
            </w:pPr>
            <w:r>
              <w:rPr>
                <w:rFonts w:cs="Times New Roman"/>
                <w:sz w:val="24"/>
                <w:rtl/>
              </w:rPr>
              <w:t>אופן הגשת בקשת לקוח</w:t>
            </w:r>
          </w:p>
        </w:tc>
        <w:tc>
          <w:tcPr>
            <w:tcW w:w="567" w:type="dxa"/>
          </w:tcPr>
          <w:p w:rsidR="00C52409" w:rsidRPr="00C52409" w:rsidRDefault="00C52409" w:rsidP="00C52409">
            <w:pPr>
              <w:spacing w:line="240" w:lineRule="auto"/>
              <w:jc w:val="left"/>
              <w:rPr>
                <w:rStyle w:val="Hyperlink"/>
                <w:rFonts w:hint="cs"/>
                <w:rtl/>
              </w:rPr>
            </w:pPr>
            <w:hyperlink w:anchor="Seif7" w:tooltip="אופן הגשת בקשת לקוח" w:history="1">
              <w:r w:rsidRPr="00C52409">
                <w:rPr>
                  <w:rStyle w:val="Hyperlink"/>
                </w:rPr>
                <w:t>Go</w:t>
              </w:r>
            </w:hyperlink>
          </w:p>
        </w:tc>
        <w:tc>
          <w:tcPr>
            <w:tcW w:w="850" w:type="dxa"/>
          </w:tcPr>
          <w:p w:rsidR="00C52409" w:rsidRPr="00C52409" w:rsidRDefault="00C52409" w:rsidP="00C524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C52409" w:rsidRPr="00C52409" w:rsidTr="00C52409">
        <w:tblPrEx>
          <w:tblCellMar>
            <w:top w:w="0" w:type="dxa"/>
            <w:bottom w:w="0" w:type="dxa"/>
          </w:tblCellMar>
        </w:tblPrEx>
        <w:tc>
          <w:tcPr>
            <w:tcW w:w="1247" w:type="dxa"/>
          </w:tcPr>
          <w:p w:rsidR="00C52409" w:rsidRPr="00C52409" w:rsidRDefault="00C52409" w:rsidP="00C52409">
            <w:pPr>
              <w:spacing w:line="240" w:lineRule="auto"/>
              <w:jc w:val="left"/>
              <w:rPr>
                <w:rFonts w:cs="Frankruhel" w:hint="cs"/>
                <w:sz w:val="24"/>
                <w:rtl/>
              </w:rPr>
            </w:pPr>
            <w:r>
              <w:rPr>
                <w:rFonts w:cs="Times New Roman"/>
                <w:sz w:val="24"/>
                <w:rtl/>
              </w:rPr>
              <w:t xml:space="preserve">סעיף 8 </w:t>
            </w:r>
          </w:p>
        </w:tc>
        <w:tc>
          <w:tcPr>
            <w:tcW w:w="5669" w:type="dxa"/>
          </w:tcPr>
          <w:p w:rsidR="00C52409" w:rsidRPr="00C52409" w:rsidRDefault="00C52409" w:rsidP="00C52409">
            <w:pPr>
              <w:spacing w:line="240" w:lineRule="auto"/>
              <w:jc w:val="left"/>
              <w:rPr>
                <w:rFonts w:cs="Frankruhel" w:hint="cs"/>
                <w:sz w:val="24"/>
                <w:rtl/>
              </w:rPr>
            </w:pPr>
            <w:r>
              <w:rPr>
                <w:rFonts w:cs="Times New Roman"/>
                <w:sz w:val="24"/>
                <w:rtl/>
              </w:rPr>
              <w:t>מועדים לטיפול בבקשת לקוח  לאי מסירת נתוני אשראי לגביו</w:t>
            </w:r>
          </w:p>
        </w:tc>
        <w:tc>
          <w:tcPr>
            <w:tcW w:w="567" w:type="dxa"/>
          </w:tcPr>
          <w:p w:rsidR="00C52409" w:rsidRPr="00C52409" w:rsidRDefault="00C52409" w:rsidP="00C52409">
            <w:pPr>
              <w:spacing w:line="240" w:lineRule="auto"/>
              <w:jc w:val="left"/>
              <w:rPr>
                <w:rStyle w:val="Hyperlink"/>
                <w:rFonts w:hint="cs"/>
                <w:rtl/>
              </w:rPr>
            </w:pPr>
            <w:hyperlink w:anchor="Seif8" w:tooltip="מועדים לטיפול בבקשת לקוח  לאי מסירת נתוני אשראי לגביו" w:history="1">
              <w:r w:rsidRPr="00C52409">
                <w:rPr>
                  <w:rStyle w:val="Hyperlink"/>
                </w:rPr>
                <w:t>Go</w:t>
              </w:r>
            </w:hyperlink>
          </w:p>
        </w:tc>
        <w:tc>
          <w:tcPr>
            <w:tcW w:w="850" w:type="dxa"/>
          </w:tcPr>
          <w:p w:rsidR="00C52409" w:rsidRPr="00C52409" w:rsidRDefault="00C52409" w:rsidP="00C524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C52409" w:rsidRPr="00C52409" w:rsidTr="00C52409">
        <w:tblPrEx>
          <w:tblCellMar>
            <w:top w:w="0" w:type="dxa"/>
            <w:bottom w:w="0" w:type="dxa"/>
          </w:tblCellMar>
        </w:tblPrEx>
        <w:tc>
          <w:tcPr>
            <w:tcW w:w="1247" w:type="dxa"/>
          </w:tcPr>
          <w:p w:rsidR="00C52409" w:rsidRPr="00C52409" w:rsidRDefault="00C52409" w:rsidP="00C52409">
            <w:pPr>
              <w:spacing w:line="240" w:lineRule="auto"/>
              <w:jc w:val="left"/>
              <w:rPr>
                <w:rFonts w:cs="Frankruhel" w:hint="cs"/>
                <w:sz w:val="24"/>
                <w:rtl/>
              </w:rPr>
            </w:pPr>
            <w:r>
              <w:rPr>
                <w:rFonts w:cs="Times New Roman"/>
                <w:sz w:val="24"/>
                <w:rtl/>
              </w:rPr>
              <w:t xml:space="preserve">סעיף 9 </w:t>
            </w:r>
          </w:p>
        </w:tc>
        <w:tc>
          <w:tcPr>
            <w:tcW w:w="5669" w:type="dxa"/>
          </w:tcPr>
          <w:p w:rsidR="00C52409" w:rsidRPr="00C52409" w:rsidRDefault="00C52409" w:rsidP="00C52409">
            <w:pPr>
              <w:spacing w:line="240" w:lineRule="auto"/>
              <w:jc w:val="left"/>
              <w:rPr>
                <w:rFonts w:cs="Frankruhel" w:hint="cs"/>
                <w:sz w:val="24"/>
                <w:rtl/>
              </w:rPr>
            </w:pPr>
            <w:r>
              <w:rPr>
                <w:rFonts w:cs="Times New Roman"/>
                <w:sz w:val="24"/>
                <w:rtl/>
              </w:rPr>
              <w:t>הודעת ביצוע ללקוח לגבי בקשתו</w:t>
            </w:r>
          </w:p>
        </w:tc>
        <w:tc>
          <w:tcPr>
            <w:tcW w:w="567" w:type="dxa"/>
          </w:tcPr>
          <w:p w:rsidR="00C52409" w:rsidRPr="00C52409" w:rsidRDefault="00C52409" w:rsidP="00C52409">
            <w:pPr>
              <w:spacing w:line="240" w:lineRule="auto"/>
              <w:jc w:val="left"/>
              <w:rPr>
                <w:rStyle w:val="Hyperlink"/>
                <w:rFonts w:hint="cs"/>
                <w:rtl/>
              </w:rPr>
            </w:pPr>
            <w:hyperlink w:anchor="Seif9" w:tooltip="הודעת ביצוע ללקוח לגבי בקשתו" w:history="1">
              <w:r w:rsidRPr="00C52409">
                <w:rPr>
                  <w:rStyle w:val="Hyperlink"/>
                </w:rPr>
                <w:t>Go</w:t>
              </w:r>
            </w:hyperlink>
          </w:p>
        </w:tc>
        <w:tc>
          <w:tcPr>
            <w:tcW w:w="850" w:type="dxa"/>
          </w:tcPr>
          <w:p w:rsidR="00C52409" w:rsidRPr="00C52409" w:rsidRDefault="00C52409" w:rsidP="00C524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C52409" w:rsidRPr="00C52409" w:rsidTr="00C52409">
        <w:tblPrEx>
          <w:tblCellMar>
            <w:top w:w="0" w:type="dxa"/>
            <w:bottom w:w="0" w:type="dxa"/>
          </w:tblCellMar>
        </w:tblPrEx>
        <w:tc>
          <w:tcPr>
            <w:tcW w:w="1247" w:type="dxa"/>
          </w:tcPr>
          <w:p w:rsidR="00C52409" w:rsidRPr="00C52409" w:rsidRDefault="00C52409" w:rsidP="00C52409">
            <w:pPr>
              <w:spacing w:line="240" w:lineRule="auto"/>
              <w:jc w:val="left"/>
              <w:rPr>
                <w:rFonts w:cs="Frankruhel" w:hint="cs"/>
                <w:sz w:val="24"/>
                <w:rtl/>
              </w:rPr>
            </w:pPr>
          </w:p>
        </w:tc>
        <w:tc>
          <w:tcPr>
            <w:tcW w:w="5669" w:type="dxa"/>
          </w:tcPr>
          <w:p w:rsidR="00C52409" w:rsidRPr="00C52409" w:rsidRDefault="00C52409" w:rsidP="00C52409">
            <w:pPr>
              <w:spacing w:line="240" w:lineRule="auto"/>
              <w:jc w:val="left"/>
              <w:rPr>
                <w:rFonts w:cs="Frankruhel" w:hint="cs"/>
                <w:sz w:val="24"/>
                <w:rtl/>
              </w:rPr>
            </w:pPr>
            <w:r>
              <w:rPr>
                <w:rFonts w:cs="Times New Roman"/>
                <w:sz w:val="24"/>
                <w:rtl/>
              </w:rPr>
              <w:t>פרק ו': בקשת נותן אשראי לקבל חיווי אשראי מלשכת אשראי</w:t>
            </w:r>
          </w:p>
        </w:tc>
        <w:tc>
          <w:tcPr>
            <w:tcW w:w="567" w:type="dxa"/>
          </w:tcPr>
          <w:p w:rsidR="00C52409" w:rsidRPr="00C52409" w:rsidRDefault="00C52409" w:rsidP="00C52409">
            <w:pPr>
              <w:spacing w:line="240" w:lineRule="auto"/>
              <w:jc w:val="left"/>
              <w:rPr>
                <w:rStyle w:val="Hyperlink"/>
                <w:rFonts w:hint="cs"/>
                <w:rtl/>
              </w:rPr>
            </w:pPr>
            <w:hyperlink w:anchor="med5" w:tooltip="פרק ו: בקשת נותן אשראי לקבל חיווי אשראי מלשכת אשראי" w:history="1">
              <w:r w:rsidRPr="00C52409">
                <w:rPr>
                  <w:rStyle w:val="Hyperlink"/>
                </w:rPr>
                <w:t>Go</w:t>
              </w:r>
            </w:hyperlink>
          </w:p>
        </w:tc>
        <w:tc>
          <w:tcPr>
            <w:tcW w:w="850" w:type="dxa"/>
          </w:tcPr>
          <w:p w:rsidR="00C52409" w:rsidRPr="00C52409" w:rsidRDefault="00C52409" w:rsidP="00C524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med5</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C52409" w:rsidRPr="00C52409" w:rsidTr="00C52409">
        <w:tblPrEx>
          <w:tblCellMar>
            <w:top w:w="0" w:type="dxa"/>
            <w:bottom w:w="0" w:type="dxa"/>
          </w:tblCellMar>
        </w:tblPrEx>
        <w:tc>
          <w:tcPr>
            <w:tcW w:w="1247" w:type="dxa"/>
          </w:tcPr>
          <w:p w:rsidR="00C52409" w:rsidRPr="00C52409" w:rsidRDefault="00C52409" w:rsidP="00C52409">
            <w:pPr>
              <w:spacing w:line="240" w:lineRule="auto"/>
              <w:jc w:val="left"/>
              <w:rPr>
                <w:rFonts w:cs="Frankruhel" w:hint="cs"/>
                <w:sz w:val="24"/>
                <w:rtl/>
              </w:rPr>
            </w:pPr>
            <w:r>
              <w:rPr>
                <w:rFonts w:cs="Times New Roman"/>
                <w:sz w:val="24"/>
                <w:rtl/>
              </w:rPr>
              <w:t xml:space="preserve">סעיף 10 </w:t>
            </w:r>
          </w:p>
        </w:tc>
        <w:tc>
          <w:tcPr>
            <w:tcW w:w="5669" w:type="dxa"/>
          </w:tcPr>
          <w:p w:rsidR="00C52409" w:rsidRPr="00C52409" w:rsidRDefault="00C52409" w:rsidP="00C52409">
            <w:pPr>
              <w:spacing w:line="240" w:lineRule="auto"/>
              <w:jc w:val="left"/>
              <w:rPr>
                <w:rFonts w:cs="Frankruhel" w:hint="cs"/>
                <w:sz w:val="24"/>
                <w:rtl/>
              </w:rPr>
            </w:pPr>
            <w:r>
              <w:rPr>
                <w:rFonts w:cs="Times New Roman"/>
                <w:sz w:val="24"/>
                <w:rtl/>
              </w:rPr>
              <w:t>דרך יידוע הלקוח מראש ובאופן מפורש על כוונה לקבל חיווי</w:t>
            </w:r>
          </w:p>
        </w:tc>
        <w:tc>
          <w:tcPr>
            <w:tcW w:w="567" w:type="dxa"/>
          </w:tcPr>
          <w:p w:rsidR="00C52409" w:rsidRPr="00C52409" w:rsidRDefault="00C52409" w:rsidP="00C52409">
            <w:pPr>
              <w:spacing w:line="240" w:lineRule="auto"/>
              <w:jc w:val="left"/>
              <w:rPr>
                <w:rStyle w:val="Hyperlink"/>
                <w:rFonts w:hint="cs"/>
                <w:rtl/>
              </w:rPr>
            </w:pPr>
            <w:hyperlink w:anchor="Seif10" w:tooltip="דרך יידוע הלקוח מראש ובאופן מפורש על כוונה לקבל חיווי" w:history="1">
              <w:r w:rsidRPr="00C52409">
                <w:rPr>
                  <w:rStyle w:val="Hyperlink"/>
                </w:rPr>
                <w:t>Go</w:t>
              </w:r>
            </w:hyperlink>
          </w:p>
        </w:tc>
        <w:tc>
          <w:tcPr>
            <w:tcW w:w="850" w:type="dxa"/>
          </w:tcPr>
          <w:p w:rsidR="00C52409" w:rsidRPr="00C52409" w:rsidRDefault="00C52409" w:rsidP="00C524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C52409" w:rsidRPr="00C52409" w:rsidTr="00C52409">
        <w:tblPrEx>
          <w:tblCellMar>
            <w:top w:w="0" w:type="dxa"/>
            <w:bottom w:w="0" w:type="dxa"/>
          </w:tblCellMar>
        </w:tblPrEx>
        <w:tc>
          <w:tcPr>
            <w:tcW w:w="1247" w:type="dxa"/>
          </w:tcPr>
          <w:p w:rsidR="00C52409" w:rsidRPr="00C52409" w:rsidRDefault="00C52409" w:rsidP="00C52409">
            <w:pPr>
              <w:spacing w:line="240" w:lineRule="auto"/>
              <w:jc w:val="left"/>
              <w:rPr>
                <w:rFonts w:cs="Frankruhel" w:hint="cs"/>
                <w:sz w:val="24"/>
                <w:rtl/>
              </w:rPr>
            </w:pPr>
          </w:p>
        </w:tc>
        <w:tc>
          <w:tcPr>
            <w:tcW w:w="5669" w:type="dxa"/>
          </w:tcPr>
          <w:p w:rsidR="00C52409" w:rsidRPr="00C52409" w:rsidRDefault="00C52409" w:rsidP="00C52409">
            <w:pPr>
              <w:spacing w:line="240" w:lineRule="auto"/>
              <w:jc w:val="left"/>
              <w:rPr>
                <w:rFonts w:cs="Frankruhel" w:hint="cs"/>
                <w:sz w:val="24"/>
                <w:rtl/>
              </w:rPr>
            </w:pPr>
            <w:r>
              <w:rPr>
                <w:rFonts w:cs="Times New Roman"/>
                <w:sz w:val="24"/>
                <w:rtl/>
              </w:rPr>
              <w:t>פרק ז': הוראות לגבי מיופה כוח בתמורה</w:t>
            </w:r>
          </w:p>
        </w:tc>
        <w:tc>
          <w:tcPr>
            <w:tcW w:w="567" w:type="dxa"/>
          </w:tcPr>
          <w:p w:rsidR="00C52409" w:rsidRPr="00C52409" w:rsidRDefault="00C52409" w:rsidP="00C52409">
            <w:pPr>
              <w:spacing w:line="240" w:lineRule="auto"/>
              <w:jc w:val="left"/>
              <w:rPr>
                <w:rStyle w:val="Hyperlink"/>
                <w:rFonts w:hint="cs"/>
                <w:rtl/>
              </w:rPr>
            </w:pPr>
            <w:hyperlink w:anchor="med6" w:tooltip="פרק ז: הוראות לגבי מיופה כוח בתמורה" w:history="1">
              <w:r w:rsidRPr="00C52409">
                <w:rPr>
                  <w:rStyle w:val="Hyperlink"/>
                </w:rPr>
                <w:t>Go</w:t>
              </w:r>
            </w:hyperlink>
          </w:p>
        </w:tc>
        <w:tc>
          <w:tcPr>
            <w:tcW w:w="850" w:type="dxa"/>
          </w:tcPr>
          <w:p w:rsidR="00C52409" w:rsidRPr="00C52409" w:rsidRDefault="00C52409" w:rsidP="00C524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med6</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C52409" w:rsidRPr="00C52409" w:rsidTr="00C52409">
        <w:tblPrEx>
          <w:tblCellMar>
            <w:top w:w="0" w:type="dxa"/>
            <w:bottom w:w="0" w:type="dxa"/>
          </w:tblCellMar>
        </w:tblPrEx>
        <w:tc>
          <w:tcPr>
            <w:tcW w:w="1247" w:type="dxa"/>
          </w:tcPr>
          <w:p w:rsidR="00C52409" w:rsidRPr="00C52409" w:rsidRDefault="00C52409" w:rsidP="00C52409">
            <w:pPr>
              <w:spacing w:line="240" w:lineRule="auto"/>
              <w:jc w:val="left"/>
              <w:rPr>
                <w:rFonts w:cs="Frankruhel" w:hint="cs"/>
                <w:sz w:val="24"/>
                <w:rtl/>
              </w:rPr>
            </w:pPr>
            <w:r>
              <w:rPr>
                <w:rFonts w:cs="Times New Roman"/>
                <w:sz w:val="24"/>
                <w:rtl/>
              </w:rPr>
              <w:t xml:space="preserve">סעיף 11 </w:t>
            </w:r>
          </w:p>
        </w:tc>
        <w:tc>
          <w:tcPr>
            <w:tcW w:w="5669" w:type="dxa"/>
          </w:tcPr>
          <w:p w:rsidR="00C52409" w:rsidRPr="00C52409" w:rsidRDefault="00C52409" w:rsidP="00C52409">
            <w:pPr>
              <w:spacing w:line="240" w:lineRule="auto"/>
              <w:jc w:val="left"/>
              <w:rPr>
                <w:rFonts w:cs="Frankruhel" w:hint="cs"/>
                <w:sz w:val="24"/>
                <w:rtl/>
              </w:rPr>
            </w:pPr>
            <w:r>
              <w:rPr>
                <w:rFonts w:cs="Times New Roman"/>
                <w:sz w:val="24"/>
                <w:rtl/>
              </w:rPr>
              <w:t>תנאים שעל מיופה כוח בתמורה לעמוד בהם לשם קבלת דוח ריכוז נתונים רגיל לגבי לקוח מלשכת אשראי</w:t>
            </w:r>
          </w:p>
        </w:tc>
        <w:tc>
          <w:tcPr>
            <w:tcW w:w="567" w:type="dxa"/>
          </w:tcPr>
          <w:p w:rsidR="00C52409" w:rsidRPr="00C52409" w:rsidRDefault="00C52409" w:rsidP="00C52409">
            <w:pPr>
              <w:spacing w:line="240" w:lineRule="auto"/>
              <w:jc w:val="left"/>
              <w:rPr>
                <w:rStyle w:val="Hyperlink"/>
                <w:rFonts w:hint="cs"/>
                <w:rtl/>
              </w:rPr>
            </w:pPr>
            <w:hyperlink w:anchor="Seif11" w:tooltip="תנאים שעל מיופה כוח בתמורה לעמוד בהם לשם קבלת דוח ריכוז נתונים רגיל לגבי לקוח מלשכת אשראי" w:history="1">
              <w:r w:rsidRPr="00C52409">
                <w:rPr>
                  <w:rStyle w:val="Hyperlink"/>
                </w:rPr>
                <w:t>Go</w:t>
              </w:r>
            </w:hyperlink>
          </w:p>
        </w:tc>
        <w:tc>
          <w:tcPr>
            <w:tcW w:w="850" w:type="dxa"/>
          </w:tcPr>
          <w:p w:rsidR="00C52409" w:rsidRPr="00C52409" w:rsidRDefault="00C52409" w:rsidP="00C524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C52409" w:rsidRPr="00C52409" w:rsidTr="00C52409">
        <w:tblPrEx>
          <w:tblCellMar>
            <w:top w:w="0" w:type="dxa"/>
            <w:bottom w:w="0" w:type="dxa"/>
          </w:tblCellMar>
        </w:tblPrEx>
        <w:tc>
          <w:tcPr>
            <w:tcW w:w="1247" w:type="dxa"/>
          </w:tcPr>
          <w:p w:rsidR="00C52409" w:rsidRPr="00C52409" w:rsidRDefault="00C52409" w:rsidP="00C52409">
            <w:pPr>
              <w:spacing w:line="240" w:lineRule="auto"/>
              <w:jc w:val="left"/>
              <w:rPr>
                <w:rFonts w:cs="Frankruhel" w:hint="cs"/>
                <w:sz w:val="24"/>
                <w:rtl/>
              </w:rPr>
            </w:pPr>
            <w:r>
              <w:rPr>
                <w:rFonts w:cs="Times New Roman"/>
                <w:sz w:val="24"/>
                <w:rtl/>
              </w:rPr>
              <w:t xml:space="preserve">סעיף 12 </w:t>
            </w:r>
          </w:p>
        </w:tc>
        <w:tc>
          <w:tcPr>
            <w:tcW w:w="5669" w:type="dxa"/>
          </w:tcPr>
          <w:p w:rsidR="00C52409" w:rsidRPr="00C52409" w:rsidRDefault="00C52409" w:rsidP="00C52409">
            <w:pPr>
              <w:spacing w:line="240" w:lineRule="auto"/>
              <w:jc w:val="left"/>
              <w:rPr>
                <w:rFonts w:cs="Frankruhel" w:hint="cs"/>
                <w:sz w:val="24"/>
                <w:rtl/>
              </w:rPr>
            </w:pPr>
            <w:r>
              <w:rPr>
                <w:rFonts w:cs="Times New Roman"/>
                <w:sz w:val="24"/>
                <w:rtl/>
              </w:rPr>
              <w:t>סוגי מיופה כוח בתמורה לגביהם ינהל הממונה מרשם</w:t>
            </w:r>
          </w:p>
        </w:tc>
        <w:tc>
          <w:tcPr>
            <w:tcW w:w="567" w:type="dxa"/>
          </w:tcPr>
          <w:p w:rsidR="00C52409" w:rsidRPr="00C52409" w:rsidRDefault="00C52409" w:rsidP="00C52409">
            <w:pPr>
              <w:spacing w:line="240" w:lineRule="auto"/>
              <w:jc w:val="left"/>
              <w:rPr>
                <w:rStyle w:val="Hyperlink"/>
                <w:rFonts w:hint="cs"/>
                <w:rtl/>
              </w:rPr>
            </w:pPr>
            <w:hyperlink w:anchor="Seif12" w:tooltip="סוגי מיופה כוח בתמורה לגביהם ינהל הממונה מרשם" w:history="1">
              <w:r w:rsidRPr="00C52409">
                <w:rPr>
                  <w:rStyle w:val="Hyperlink"/>
                </w:rPr>
                <w:t>Go</w:t>
              </w:r>
            </w:hyperlink>
          </w:p>
        </w:tc>
        <w:tc>
          <w:tcPr>
            <w:tcW w:w="850" w:type="dxa"/>
          </w:tcPr>
          <w:p w:rsidR="00C52409" w:rsidRPr="00C52409" w:rsidRDefault="00C52409" w:rsidP="00C524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C52409" w:rsidRPr="00C52409" w:rsidTr="00C52409">
        <w:tblPrEx>
          <w:tblCellMar>
            <w:top w:w="0" w:type="dxa"/>
            <w:bottom w:w="0" w:type="dxa"/>
          </w:tblCellMar>
        </w:tblPrEx>
        <w:tc>
          <w:tcPr>
            <w:tcW w:w="1247" w:type="dxa"/>
          </w:tcPr>
          <w:p w:rsidR="00C52409" w:rsidRPr="00C52409" w:rsidRDefault="00C52409" w:rsidP="00C52409">
            <w:pPr>
              <w:spacing w:line="240" w:lineRule="auto"/>
              <w:jc w:val="left"/>
              <w:rPr>
                <w:rFonts w:cs="Frankruhel" w:hint="cs"/>
                <w:sz w:val="24"/>
                <w:rtl/>
              </w:rPr>
            </w:pPr>
            <w:r>
              <w:rPr>
                <w:rFonts w:cs="Times New Roman"/>
                <w:sz w:val="24"/>
                <w:rtl/>
              </w:rPr>
              <w:t xml:space="preserve">סעיף 13 </w:t>
            </w:r>
          </w:p>
        </w:tc>
        <w:tc>
          <w:tcPr>
            <w:tcW w:w="5669" w:type="dxa"/>
          </w:tcPr>
          <w:p w:rsidR="00C52409" w:rsidRPr="00C52409" w:rsidRDefault="00C52409" w:rsidP="00C52409">
            <w:pPr>
              <w:spacing w:line="240" w:lineRule="auto"/>
              <w:jc w:val="left"/>
              <w:rPr>
                <w:rFonts w:cs="Frankruhel" w:hint="cs"/>
                <w:sz w:val="24"/>
                <w:rtl/>
              </w:rPr>
            </w:pPr>
            <w:r>
              <w:rPr>
                <w:rFonts w:cs="Times New Roman"/>
                <w:sz w:val="24"/>
                <w:rtl/>
              </w:rPr>
              <w:t>שימושים שמיופה כוח בתמורה רשאי לעשות במידע שבדוח ריכוז נתונים רגיל</w:t>
            </w:r>
          </w:p>
        </w:tc>
        <w:tc>
          <w:tcPr>
            <w:tcW w:w="567" w:type="dxa"/>
          </w:tcPr>
          <w:p w:rsidR="00C52409" w:rsidRPr="00C52409" w:rsidRDefault="00C52409" w:rsidP="00C52409">
            <w:pPr>
              <w:spacing w:line="240" w:lineRule="auto"/>
              <w:jc w:val="left"/>
              <w:rPr>
                <w:rStyle w:val="Hyperlink"/>
                <w:rFonts w:hint="cs"/>
                <w:rtl/>
              </w:rPr>
            </w:pPr>
            <w:hyperlink w:anchor="Seif13" w:tooltip="שימושים שמיופה כוח בתמורה רשאי לעשות במידע שבדוח ריכוז נתונים רגיל" w:history="1">
              <w:r w:rsidRPr="00C52409">
                <w:rPr>
                  <w:rStyle w:val="Hyperlink"/>
                </w:rPr>
                <w:t>Go</w:t>
              </w:r>
            </w:hyperlink>
          </w:p>
        </w:tc>
        <w:tc>
          <w:tcPr>
            <w:tcW w:w="850" w:type="dxa"/>
          </w:tcPr>
          <w:p w:rsidR="00C52409" w:rsidRPr="00C52409" w:rsidRDefault="00C52409" w:rsidP="00C524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C52409" w:rsidRPr="00C52409" w:rsidTr="00C52409">
        <w:tblPrEx>
          <w:tblCellMar>
            <w:top w:w="0" w:type="dxa"/>
            <w:bottom w:w="0" w:type="dxa"/>
          </w:tblCellMar>
        </w:tblPrEx>
        <w:tc>
          <w:tcPr>
            <w:tcW w:w="1247" w:type="dxa"/>
          </w:tcPr>
          <w:p w:rsidR="00C52409" w:rsidRPr="00C52409" w:rsidRDefault="00C52409" w:rsidP="00C52409">
            <w:pPr>
              <w:spacing w:line="240" w:lineRule="auto"/>
              <w:jc w:val="left"/>
              <w:rPr>
                <w:rFonts w:cs="Frankruhel" w:hint="cs"/>
                <w:sz w:val="24"/>
                <w:rtl/>
              </w:rPr>
            </w:pPr>
          </w:p>
        </w:tc>
        <w:tc>
          <w:tcPr>
            <w:tcW w:w="5669" w:type="dxa"/>
          </w:tcPr>
          <w:p w:rsidR="00C52409" w:rsidRPr="00C52409" w:rsidRDefault="00C52409" w:rsidP="00C52409">
            <w:pPr>
              <w:spacing w:line="240" w:lineRule="auto"/>
              <w:jc w:val="left"/>
              <w:rPr>
                <w:rFonts w:cs="Frankruhel" w:hint="cs"/>
                <w:sz w:val="24"/>
                <w:rtl/>
              </w:rPr>
            </w:pPr>
            <w:r>
              <w:rPr>
                <w:rFonts w:cs="Times New Roman"/>
                <w:sz w:val="24"/>
                <w:rtl/>
              </w:rPr>
              <w:t>פרק ח': הודעות</w:t>
            </w:r>
          </w:p>
        </w:tc>
        <w:tc>
          <w:tcPr>
            <w:tcW w:w="567" w:type="dxa"/>
          </w:tcPr>
          <w:p w:rsidR="00C52409" w:rsidRPr="00C52409" w:rsidRDefault="00C52409" w:rsidP="00C52409">
            <w:pPr>
              <w:spacing w:line="240" w:lineRule="auto"/>
              <w:jc w:val="left"/>
              <w:rPr>
                <w:rStyle w:val="Hyperlink"/>
                <w:rFonts w:hint="cs"/>
                <w:rtl/>
              </w:rPr>
            </w:pPr>
            <w:hyperlink w:anchor="med7" w:tooltip="פרק ח: הודעות" w:history="1">
              <w:r w:rsidRPr="00C52409">
                <w:rPr>
                  <w:rStyle w:val="Hyperlink"/>
                </w:rPr>
                <w:t>Go</w:t>
              </w:r>
            </w:hyperlink>
          </w:p>
        </w:tc>
        <w:tc>
          <w:tcPr>
            <w:tcW w:w="850" w:type="dxa"/>
          </w:tcPr>
          <w:p w:rsidR="00C52409" w:rsidRPr="00C52409" w:rsidRDefault="00C52409" w:rsidP="00C524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med7</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C52409" w:rsidRPr="00C52409" w:rsidTr="00C52409">
        <w:tblPrEx>
          <w:tblCellMar>
            <w:top w:w="0" w:type="dxa"/>
            <w:bottom w:w="0" w:type="dxa"/>
          </w:tblCellMar>
        </w:tblPrEx>
        <w:tc>
          <w:tcPr>
            <w:tcW w:w="1247" w:type="dxa"/>
          </w:tcPr>
          <w:p w:rsidR="00C52409" w:rsidRPr="00C52409" w:rsidRDefault="00C52409" w:rsidP="00C52409">
            <w:pPr>
              <w:spacing w:line="240" w:lineRule="auto"/>
              <w:jc w:val="left"/>
              <w:rPr>
                <w:rFonts w:cs="Frankruhel" w:hint="cs"/>
                <w:sz w:val="24"/>
                <w:rtl/>
              </w:rPr>
            </w:pPr>
            <w:r>
              <w:rPr>
                <w:rFonts w:cs="Times New Roman"/>
                <w:sz w:val="24"/>
                <w:rtl/>
              </w:rPr>
              <w:t xml:space="preserve">סעיף 14 </w:t>
            </w:r>
          </w:p>
        </w:tc>
        <w:tc>
          <w:tcPr>
            <w:tcW w:w="5669" w:type="dxa"/>
          </w:tcPr>
          <w:p w:rsidR="00C52409" w:rsidRPr="00C52409" w:rsidRDefault="00C52409" w:rsidP="00C52409">
            <w:pPr>
              <w:spacing w:line="240" w:lineRule="auto"/>
              <w:jc w:val="left"/>
              <w:rPr>
                <w:rFonts w:cs="Frankruhel" w:hint="cs"/>
                <w:sz w:val="24"/>
                <w:rtl/>
              </w:rPr>
            </w:pPr>
            <w:r>
              <w:rPr>
                <w:rFonts w:cs="Times New Roman"/>
                <w:sz w:val="24"/>
                <w:rtl/>
              </w:rPr>
              <w:t>הודעה ללקוחות על הזכות לקבל דוח ריכוז נתונים בלא תשלום</w:t>
            </w:r>
          </w:p>
        </w:tc>
        <w:tc>
          <w:tcPr>
            <w:tcW w:w="567" w:type="dxa"/>
          </w:tcPr>
          <w:p w:rsidR="00C52409" w:rsidRPr="00C52409" w:rsidRDefault="00C52409" w:rsidP="00C52409">
            <w:pPr>
              <w:spacing w:line="240" w:lineRule="auto"/>
              <w:jc w:val="left"/>
              <w:rPr>
                <w:rStyle w:val="Hyperlink"/>
                <w:rFonts w:hint="cs"/>
                <w:rtl/>
              </w:rPr>
            </w:pPr>
            <w:hyperlink w:anchor="Seif14" w:tooltip="הודעה ללקוחות על הזכות לקבל דוח ריכוז נתונים בלא תשלום" w:history="1">
              <w:r w:rsidRPr="00C52409">
                <w:rPr>
                  <w:rStyle w:val="Hyperlink"/>
                </w:rPr>
                <w:t>Go</w:t>
              </w:r>
            </w:hyperlink>
          </w:p>
        </w:tc>
        <w:tc>
          <w:tcPr>
            <w:tcW w:w="850" w:type="dxa"/>
          </w:tcPr>
          <w:p w:rsidR="00C52409" w:rsidRPr="00C52409" w:rsidRDefault="00C52409" w:rsidP="00C524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C52409" w:rsidRPr="00C52409" w:rsidTr="00C52409">
        <w:tblPrEx>
          <w:tblCellMar>
            <w:top w:w="0" w:type="dxa"/>
            <w:bottom w:w="0" w:type="dxa"/>
          </w:tblCellMar>
        </w:tblPrEx>
        <w:tc>
          <w:tcPr>
            <w:tcW w:w="1247" w:type="dxa"/>
          </w:tcPr>
          <w:p w:rsidR="00C52409" w:rsidRPr="00C52409" w:rsidRDefault="00C52409" w:rsidP="00C52409">
            <w:pPr>
              <w:spacing w:line="240" w:lineRule="auto"/>
              <w:jc w:val="left"/>
              <w:rPr>
                <w:rFonts w:cs="Frankruhel" w:hint="cs"/>
                <w:sz w:val="24"/>
                <w:rtl/>
              </w:rPr>
            </w:pPr>
            <w:r>
              <w:rPr>
                <w:rFonts w:cs="Times New Roman"/>
                <w:sz w:val="24"/>
                <w:rtl/>
              </w:rPr>
              <w:t xml:space="preserve">סעיף 15 </w:t>
            </w:r>
          </w:p>
        </w:tc>
        <w:tc>
          <w:tcPr>
            <w:tcW w:w="5669" w:type="dxa"/>
          </w:tcPr>
          <w:p w:rsidR="00C52409" w:rsidRPr="00C52409" w:rsidRDefault="00C52409" w:rsidP="00C52409">
            <w:pPr>
              <w:spacing w:line="240" w:lineRule="auto"/>
              <w:jc w:val="left"/>
              <w:rPr>
                <w:rFonts w:cs="Frankruhel" w:hint="cs"/>
                <w:sz w:val="24"/>
                <w:rtl/>
              </w:rPr>
            </w:pPr>
            <w:r>
              <w:rPr>
                <w:rFonts w:cs="Times New Roman"/>
                <w:sz w:val="24"/>
                <w:rtl/>
              </w:rPr>
              <w:t>הודעה ללקוח על תחילת איסוף נתונים</w:t>
            </w:r>
          </w:p>
        </w:tc>
        <w:tc>
          <w:tcPr>
            <w:tcW w:w="567" w:type="dxa"/>
          </w:tcPr>
          <w:p w:rsidR="00C52409" w:rsidRPr="00C52409" w:rsidRDefault="00C52409" w:rsidP="00C52409">
            <w:pPr>
              <w:spacing w:line="240" w:lineRule="auto"/>
              <w:jc w:val="left"/>
              <w:rPr>
                <w:rStyle w:val="Hyperlink"/>
                <w:rFonts w:hint="cs"/>
                <w:rtl/>
              </w:rPr>
            </w:pPr>
            <w:hyperlink w:anchor="Seif15" w:tooltip="הודעה ללקוח על תחילת איסוף נתונים" w:history="1">
              <w:r w:rsidRPr="00C52409">
                <w:rPr>
                  <w:rStyle w:val="Hyperlink"/>
                </w:rPr>
                <w:t>Go</w:t>
              </w:r>
            </w:hyperlink>
          </w:p>
        </w:tc>
        <w:tc>
          <w:tcPr>
            <w:tcW w:w="850" w:type="dxa"/>
          </w:tcPr>
          <w:p w:rsidR="00C52409" w:rsidRPr="00C52409" w:rsidRDefault="00C52409" w:rsidP="00C524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C52409" w:rsidRPr="00C52409" w:rsidTr="00C52409">
        <w:tblPrEx>
          <w:tblCellMar>
            <w:top w:w="0" w:type="dxa"/>
            <w:bottom w:w="0" w:type="dxa"/>
          </w:tblCellMar>
        </w:tblPrEx>
        <w:tc>
          <w:tcPr>
            <w:tcW w:w="1247" w:type="dxa"/>
          </w:tcPr>
          <w:p w:rsidR="00C52409" w:rsidRPr="00C52409" w:rsidRDefault="00C52409" w:rsidP="00C52409">
            <w:pPr>
              <w:spacing w:line="240" w:lineRule="auto"/>
              <w:jc w:val="left"/>
              <w:rPr>
                <w:rFonts w:cs="Frankruhel" w:hint="cs"/>
                <w:sz w:val="24"/>
                <w:rtl/>
              </w:rPr>
            </w:pPr>
          </w:p>
        </w:tc>
        <w:tc>
          <w:tcPr>
            <w:tcW w:w="5669" w:type="dxa"/>
          </w:tcPr>
          <w:p w:rsidR="00C52409" w:rsidRPr="00C52409" w:rsidRDefault="00C52409" w:rsidP="00C52409">
            <w:pPr>
              <w:spacing w:line="240" w:lineRule="auto"/>
              <w:jc w:val="left"/>
              <w:rPr>
                <w:rFonts w:cs="Frankruhel" w:hint="cs"/>
                <w:sz w:val="24"/>
                <w:rtl/>
              </w:rPr>
            </w:pPr>
            <w:r>
              <w:rPr>
                <w:rFonts w:cs="Times New Roman"/>
                <w:sz w:val="24"/>
                <w:rtl/>
              </w:rPr>
              <w:t>פרק ט': יצירת מידע מזוהה לצורכי המאגר</w:t>
            </w:r>
          </w:p>
        </w:tc>
        <w:tc>
          <w:tcPr>
            <w:tcW w:w="567" w:type="dxa"/>
          </w:tcPr>
          <w:p w:rsidR="00C52409" w:rsidRPr="00C52409" w:rsidRDefault="00C52409" w:rsidP="00C52409">
            <w:pPr>
              <w:spacing w:line="240" w:lineRule="auto"/>
              <w:jc w:val="left"/>
              <w:rPr>
                <w:rStyle w:val="Hyperlink"/>
                <w:rFonts w:hint="cs"/>
                <w:rtl/>
              </w:rPr>
            </w:pPr>
            <w:hyperlink w:anchor="med8" w:tooltip="פרק ט: יצירת מידע מזוהה לצורכי המאגר" w:history="1">
              <w:r w:rsidRPr="00C52409">
                <w:rPr>
                  <w:rStyle w:val="Hyperlink"/>
                </w:rPr>
                <w:t>Go</w:t>
              </w:r>
            </w:hyperlink>
          </w:p>
        </w:tc>
        <w:tc>
          <w:tcPr>
            <w:tcW w:w="850" w:type="dxa"/>
          </w:tcPr>
          <w:p w:rsidR="00C52409" w:rsidRPr="00C52409" w:rsidRDefault="00C52409" w:rsidP="00C524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med8</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C52409" w:rsidRPr="00C52409" w:rsidTr="00C52409">
        <w:tblPrEx>
          <w:tblCellMar>
            <w:top w:w="0" w:type="dxa"/>
            <w:bottom w:w="0" w:type="dxa"/>
          </w:tblCellMar>
        </w:tblPrEx>
        <w:tc>
          <w:tcPr>
            <w:tcW w:w="1247" w:type="dxa"/>
          </w:tcPr>
          <w:p w:rsidR="00C52409" w:rsidRPr="00C52409" w:rsidRDefault="00C52409" w:rsidP="00C52409">
            <w:pPr>
              <w:spacing w:line="240" w:lineRule="auto"/>
              <w:jc w:val="left"/>
              <w:rPr>
                <w:rFonts w:cs="Frankruhel" w:hint="cs"/>
                <w:sz w:val="24"/>
                <w:rtl/>
              </w:rPr>
            </w:pPr>
            <w:r>
              <w:rPr>
                <w:rFonts w:cs="Times New Roman"/>
                <w:sz w:val="24"/>
                <w:rtl/>
              </w:rPr>
              <w:t xml:space="preserve">סעיף 15 </w:t>
            </w:r>
          </w:p>
        </w:tc>
        <w:tc>
          <w:tcPr>
            <w:tcW w:w="5669" w:type="dxa"/>
          </w:tcPr>
          <w:p w:rsidR="00C52409" w:rsidRPr="00C52409" w:rsidRDefault="00C52409" w:rsidP="00C52409">
            <w:pPr>
              <w:spacing w:line="240" w:lineRule="auto"/>
              <w:jc w:val="left"/>
              <w:rPr>
                <w:rFonts w:cs="Frankruhel" w:hint="cs"/>
                <w:sz w:val="24"/>
                <w:rtl/>
              </w:rPr>
            </w:pPr>
            <w:r>
              <w:rPr>
                <w:rFonts w:cs="Times New Roman"/>
                <w:sz w:val="24"/>
                <w:rtl/>
              </w:rPr>
              <w:t>יצירת מידע מזוהה לשם הפעלת המאגר</w:t>
            </w:r>
          </w:p>
        </w:tc>
        <w:tc>
          <w:tcPr>
            <w:tcW w:w="567" w:type="dxa"/>
          </w:tcPr>
          <w:p w:rsidR="00C52409" w:rsidRPr="00C52409" w:rsidRDefault="00C52409" w:rsidP="00C52409">
            <w:pPr>
              <w:spacing w:line="240" w:lineRule="auto"/>
              <w:jc w:val="left"/>
              <w:rPr>
                <w:rStyle w:val="Hyperlink"/>
                <w:rFonts w:hint="cs"/>
                <w:rtl/>
              </w:rPr>
            </w:pPr>
            <w:hyperlink w:anchor="Seif16" w:tooltip="יצירת מידע מזוהה לשם הפעלת המאגר" w:history="1">
              <w:r w:rsidRPr="00C52409">
                <w:rPr>
                  <w:rStyle w:val="Hyperlink"/>
                </w:rPr>
                <w:t>Go</w:t>
              </w:r>
            </w:hyperlink>
          </w:p>
        </w:tc>
        <w:tc>
          <w:tcPr>
            <w:tcW w:w="850" w:type="dxa"/>
          </w:tcPr>
          <w:p w:rsidR="00C52409" w:rsidRPr="00C52409" w:rsidRDefault="00C52409" w:rsidP="00C5240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bl>
    <w:p w:rsidR="001153D7" w:rsidRDefault="001153D7">
      <w:pPr>
        <w:pStyle w:val="P00"/>
        <w:spacing w:before="72"/>
        <w:ind w:left="0" w:right="1134"/>
        <w:rPr>
          <w:rFonts w:hint="cs"/>
          <w:rtl/>
        </w:rPr>
      </w:pPr>
    </w:p>
    <w:p w:rsidR="001153D7" w:rsidRDefault="001153D7" w:rsidP="00320967">
      <w:pPr>
        <w:pStyle w:val="big-header"/>
        <w:ind w:left="0" w:right="1134"/>
        <w:rPr>
          <w:rStyle w:val="default"/>
          <w:rFonts w:hint="cs"/>
          <w:sz w:val="22"/>
          <w:szCs w:val="22"/>
          <w:rtl/>
        </w:rPr>
      </w:pPr>
      <w:r>
        <w:rPr>
          <w:rtl/>
        </w:rPr>
        <w:br w:type="page"/>
      </w:r>
      <w:r w:rsidR="00403BCC">
        <w:rPr>
          <w:rFonts w:hint="cs"/>
          <w:rtl/>
        </w:rPr>
        <w:lastRenderedPageBreak/>
        <w:t>כללי נתוני אשראי (הוראות שונות), תשע"ח-2017</w:t>
      </w:r>
      <w:r>
        <w:rPr>
          <w:rStyle w:val="default"/>
          <w:sz w:val="22"/>
          <w:szCs w:val="22"/>
          <w:rtl/>
        </w:rPr>
        <w:footnoteReference w:customMarkFollows="1" w:id="1"/>
        <w:t>*</w:t>
      </w:r>
    </w:p>
    <w:p w:rsidR="001153D7" w:rsidRDefault="000B2C41" w:rsidP="000B2C41">
      <w:pPr>
        <w:pStyle w:val="P00"/>
        <w:spacing w:before="72"/>
        <w:ind w:left="0" w:right="1134"/>
        <w:rPr>
          <w:rStyle w:val="default"/>
          <w:rFonts w:cs="FrankRuehl"/>
          <w:rtl/>
        </w:rPr>
      </w:pPr>
      <w:r w:rsidRPr="000B2C41">
        <w:rPr>
          <w:rStyle w:val="default"/>
          <w:rFonts w:cs="FrankRuehl"/>
          <w:rtl/>
        </w:rPr>
        <w:pict>
          <v:shapetype id="_x0000_t202" coordsize="21600,21600" o:spt="202" path="m,l,21600r21600,l21600,xe">
            <v:stroke joinstyle="miter"/>
            <v:path gradientshapeok="t" o:connecttype="rect"/>
          </v:shapetype>
          <v:shape id="_x0000_s1305" type="#_x0000_t202" style="position:absolute;left:0;text-align:left;margin-left:464.5pt;margin-top:7.2pt;width:77.85pt;height:19.85pt;z-index:251662848" filled="f" stroked="f">
            <v:textbox style="mso-next-textbox:#_x0000_s1305" inset="1mm,0,1mm,0">
              <w:txbxContent>
                <w:p w:rsidR="000B2C41" w:rsidRDefault="000B2C41" w:rsidP="000B2C41">
                  <w:pPr>
                    <w:spacing w:line="160" w:lineRule="exact"/>
                    <w:jc w:val="left"/>
                    <w:rPr>
                      <w:rFonts w:cs="Miriam"/>
                      <w:sz w:val="18"/>
                      <w:szCs w:val="18"/>
                      <w:rtl/>
                    </w:rPr>
                  </w:pPr>
                  <w:r>
                    <w:rPr>
                      <w:rFonts w:cs="Miriam" w:hint="cs"/>
                      <w:sz w:val="18"/>
                      <w:szCs w:val="18"/>
                      <w:rtl/>
                    </w:rPr>
                    <w:t>כללים תשע"ח-2018</w:t>
                  </w:r>
                </w:p>
                <w:p w:rsidR="00C332C7" w:rsidRDefault="00C332C7" w:rsidP="000B2C41">
                  <w:pPr>
                    <w:spacing w:line="160" w:lineRule="exact"/>
                    <w:jc w:val="left"/>
                    <w:rPr>
                      <w:rFonts w:cs="Miriam"/>
                      <w:noProof/>
                      <w:sz w:val="18"/>
                      <w:szCs w:val="18"/>
                      <w:rtl/>
                    </w:rPr>
                  </w:pPr>
                  <w:r>
                    <w:rPr>
                      <w:rFonts w:cs="Miriam" w:hint="cs"/>
                      <w:sz w:val="18"/>
                      <w:szCs w:val="18"/>
                      <w:rtl/>
                    </w:rPr>
                    <w:t>כללים תשפ"א-2021</w:t>
                  </w:r>
                </w:p>
              </w:txbxContent>
            </v:textbox>
          </v:shape>
        </w:pict>
      </w:r>
      <w:r w:rsidRPr="000B2C41">
        <w:rPr>
          <w:rStyle w:val="default"/>
          <w:rFonts w:cs="FrankRuehl"/>
          <w:rtl/>
        </w:rPr>
        <w:tab/>
      </w:r>
      <w:r>
        <w:rPr>
          <w:rStyle w:val="default"/>
          <w:rFonts w:cs="FrankRuehl" w:hint="cs"/>
          <w:rtl/>
        </w:rPr>
        <w:t xml:space="preserve">בתוקף </w:t>
      </w:r>
      <w:r w:rsidR="00E22C9F">
        <w:rPr>
          <w:rStyle w:val="default"/>
          <w:rFonts w:cs="FrankRuehl" w:hint="cs"/>
          <w:rtl/>
        </w:rPr>
        <w:t xml:space="preserve">סמכותי לפי </w:t>
      </w:r>
      <w:r w:rsidR="005F65FC">
        <w:rPr>
          <w:rStyle w:val="default"/>
          <w:rFonts w:cs="FrankRuehl" w:hint="cs"/>
          <w:rtl/>
        </w:rPr>
        <w:t xml:space="preserve">סעיפים </w:t>
      </w:r>
      <w:r w:rsidR="00555B11">
        <w:rPr>
          <w:rStyle w:val="default"/>
          <w:rFonts w:cs="FrankRuehl" w:hint="cs"/>
          <w:rtl/>
        </w:rPr>
        <w:t xml:space="preserve">12(ב), </w:t>
      </w:r>
      <w:r w:rsidR="005F65FC">
        <w:rPr>
          <w:rStyle w:val="default"/>
          <w:rFonts w:cs="FrankRuehl" w:hint="cs"/>
          <w:rtl/>
        </w:rPr>
        <w:t>19(</w:t>
      </w:r>
      <w:r w:rsidR="00555B11">
        <w:rPr>
          <w:rStyle w:val="default"/>
          <w:rFonts w:cs="FrankRuehl" w:hint="cs"/>
          <w:rtl/>
        </w:rPr>
        <w:t>א)(9</w:t>
      </w:r>
      <w:r w:rsidR="005F65FC">
        <w:rPr>
          <w:rStyle w:val="default"/>
          <w:rFonts w:cs="FrankRuehl" w:hint="cs"/>
          <w:rtl/>
        </w:rPr>
        <w:t>), 22(</w:t>
      </w:r>
      <w:r w:rsidR="00555B11">
        <w:rPr>
          <w:rStyle w:val="default"/>
          <w:rFonts w:cs="FrankRuehl" w:hint="cs"/>
          <w:rtl/>
        </w:rPr>
        <w:t>ז</w:t>
      </w:r>
      <w:r w:rsidR="005F65FC">
        <w:rPr>
          <w:rStyle w:val="default"/>
          <w:rFonts w:cs="FrankRuehl" w:hint="cs"/>
          <w:rtl/>
        </w:rPr>
        <w:t>), 30(</w:t>
      </w:r>
      <w:r w:rsidR="00555B11">
        <w:rPr>
          <w:rStyle w:val="default"/>
          <w:rFonts w:cs="FrankRuehl" w:hint="cs"/>
          <w:rtl/>
        </w:rPr>
        <w:t>ד</w:t>
      </w:r>
      <w:r w:rsidR="005F65FC">
        <w:rPr>
          <w:rStyle w:val="default"/>
          <w:rFonts w:cs="FrankRuehl" w:hint="cs"/>
          <w:rtl/>
        </w:rPr>
        <w:t xml:space="preserve">), </w:t>
      </w:r>
      <w:r w:rsidR="00555B11">
        <w:rPr>
          <w:rStyle w:val="default"/>
          <w:rFonts w:cs="FrankRuehl" w:hint="cs"/>
          <w:rtl/>
        </w:rPr>
        <w:t xml:space="preserve">33, </w:t>
      </w:r>
      <w:r w:rsidRPr="000B2C41">
        <w:rPr>
          <w:rStyle w:val="default"/>
          <w:rFonts w:cs="FrankRuehl" w:hint="cs"/>
          <w:rtl/>
        </w:rPr>
        <w:t>38(ד), 43,</w:t>
      </w:r>
      <w:r w:rsidR="00C332C7">
        <w:rPr>
          <w:rStyle w:val="default"/>
          <w:rFonts w:cs="FrankRuehl" w:hint="cs"/>
          <w:rtl/>
        </w:rPr>
        <w:t xml:space="preserve"> 60(ב),</w:t>
      </w:r>
      <w:r w:rsidRPr="000B2C41">
        <w:rPr>
          <w:rStyle w:val="default"/>
          <w:rFonts w:cs="FrankRuehl" w:hint="cs"/>
          <w:rtl/>
        </w:rPr>
        <w:t xml:space="preserve"> 67(א)(4) ו-109</w:t>
      </w:r>
      <w:r w:rsidR="00E22C9F">
        <w:rPr>
          <w:rStyle w:val="default"/>
          <w:rFonts w:cs="FrankRuehl" w:hint="cs"/>
          <w:rtl/>
        </w:rPr>
        <w:t xml:space="preserve"> לחוק נתוני אשראי, </w:t>
      </w:r>
      <w:r w:rsidR="00EF4509">
        <w:rPr>
          <w:rStyle w:val="default"/>
          <w:rFonts w:cs="FrankRuehl" w:hint="cs"/>
          <w:rtl/>
        </w:rPr>
        <w:t>התשע"ו-2016</w:t>
      </w:r>
      <w:r w:rsidR="00E22C9F">
        <w:rPr>
          <w:rStyle w:val="default"/>
          <w:rFonts w:cs="FrankRuehl" w:hint="cs"/>
          <w:rtl/>
        </w:rPr>
        <w:t xml:space="preserve"> (להלן </w:t>
      </w:r>
      <w:r w:rsidR="00E22C9F">
        <w:rPr>
          <w:rStyle w:val="default"/>
          <w:rFonts w:cs="FrankRuehl"/>
          <w:rtl/>
        </w:rPr>
        <w:t>–</w:t>
      </w:r>
      <w:r w:rsidR="00E22C9F">
        <w:rPr>
          <w:rStyle w:val="default"/>
          <w:rFonts w:cs="FrankRuehl" w:hint="cs"/>
          <w:rtl/>
        </w:rPr>
        <w:t xml:space="preserve"> החוק), </w:t>
      </w:r>
      <w:r w:rsidR="002B600C">
        <w:rPr>
          <w:rStyle w:val="default"/>
          <w:rFonts w:cs="FrankRuehl" w:hint="cs"/>
          <w:rtl/>
        </w:rPr>
        <w:t xml:space="preserve">בהסכמת שר </w:t>
      </w:r>
      <w:r w:rsidR="00555B11">
        <w:rPr>
          <w:rStyle w:val="default"/>
          <w:rFonts w:cs="FrankRuehl" w:hint="cs"/>
          <w:rtl/>
        </w:rPr>
        <w:t>המשפטים לעניין סעיפים 3, 11</w:t>
      </w:r>
      <w:r w:rsidR="00C332C7">
        <w:rPr>
          <w:rStyle w:val="default"/>
          <w:rFonts w:cs="FrankRuehl" w:hint="cs"/>
          <w:rtl/>
        </w:rPr>
        <w:t>,</w:t>
      </w:r>
      <w:r w:rsidR="00555B11">
        <w:rPr>
          <w:rStyle w:val="default"/>
          <w:rFonts w:cs="FrankRuehl" w:hint="cs"/>
          <w:rtl/>
        </w:rPr>
        <w:t xml:space="preserve"> 13</w:t>
      </w:r>
      <w:r w:rsidR="00C332C7">
        <w:rPr>
          <w:rStyle w:val="default"/>
          <w:rFonts w:cs="FrankRuehl" w:hint="cs"/>
          <w:rtl/>
        </w:rPr>
        <w:t xml:space="preserve"> ו-16</w:t>
      </w:r>
      <w:r w:rsidR="00555B11">
        <w:rPr>
          <w:rStyle w:val="default"/>
          <w:rFonts w:cs="FrankRuehl" w:hint="cs"/>
          <w:rtl/>
        </w:rPr>
        <w:t>, בהסכמת שר האוצר לעניין סעיף 3 ובאישור ועדת הכלכלה של הכנסת אני קובעת כללים</w:t>
      </w:r>
      <w:r w:rsidR="002B600C">
        <w:rPr>
          <w:rStyle w:val="default"/>
          <w:rFonts w:cs="FrankRuehl" w:hint="cs"/>
          <w:rtl/>
        </w:rPr>
        <w:t xml:space="preserve"> אלה</w:t>
      </w:r>
      <w:r w:rsidR="001153D7">
        <w:rPr>
          <w:rStyle w:val="default"/>
          <w:rFonts w:cs="FrankRuehl"/>
          <w:rtl/>
        </w:rPr>
        <w:t>:</w:t>
      </w:r>
    </w:p>
    <w:p w:rsidR="000B2C41" w:rsidRPr="00C332C7" w:rsidRDefault="000B2C41" w:rsidP="000B2C41">
      <w:pPr>
        <w:pStyle w:val="P00"/>
        <w:spacing w:before="0"/>
        <w:ind w:left="0" w:right="1134"/>
        <w:rPr>
          <w:rStyle w:val="default"/>
          <w:rFonts w:cs="FrankRuehl"/>
          <w:vanish/>
          <w:color w:val="FF0000"/>
          <w:szCs w:val="20"/>
          <w:shd w:val="clear" w:color="auto" w:fill="FFFF99"/>
          <w:rtl/>
        </w:rPr>
      </w:pPr>
      <w:bookmarkStart w:id="0" w:name="Rov21"/>
      <w:r w:rsidRPr="00C332C7">
        <w:rPr>
          <w:rStyle w:val="default"/>
          <w:rFonts w:cs="FrankRuehl" w:hint="cs"/>
          <w:vanish/>
          <w:color w:val="FF0000"/>
          <w:szCs w:val="20"/>
          <w:shd w:val="clear" w:color="auto" w:fill="FFFF99"/>
          <w:rtl/>
        </w:rPr>
        <w:t>מיום 10.6.2018</w:t>
      </w:r>
    </w:p>
    <w:p w:rsidR="000B2C41" w:rsidRPr="00C332C7" w:rsidRDefault="000B2C41" w:rsidP="000B2C41">
      <w:pPr>
        <w:pStyle w:val="P00"/>
        <w:spacing w:before="0"/>
        <w:ind w:left="0" w:right="1134"/>
        <w:rPr>
          <w:rStyle w:val="default"/>
          <w:rFonts w:cs="FrankRuehl"/>
          <w:vanish/>
          <w:szCs w:val="20"/>
          <w:shd w:val="clear" w:color="auto" w:fill="FFFF99"/>
          <w:rtl/>
        </w:rPr>
      </w:pPr>
      <w:r w:rsidRPr="00C332C7">
        <w:rPr>
          <w:rStyle w:val="default"/>
          <w:rFonts w:cs="FrankRuehl" w:hint="cs"/>
          <w:b/>
          <w:bCs/>
          <w:vanish/>
          <w:szCs w:val="20"/>
          <w:shd w:val="clear" w:color="auto" w:fill="FFFF99"/>
          <w:rtl/>
        </w:rPr>
        <w:t>כללים תשע"ח-2018</w:t>
      </w:r>
    </w:p>
    <w:p w:rsidR="000B2C41" w:rsidRPr="00C332C7" w:rsidRDefault="000B2C41" w:rsidP="000B2C41">
      <w:pPr>
        <w:pStyle w:val="P00"/>
        <w:spacing w:before="0"/>
        <w:ind w:left="0" w:right="1134"/>
        <w:rPr>
          <w:rStyle w:val="default"/>
          <w:rFonts w:cs="FrankRuehl"/>
          <w:vanish/>
          <w:szCs w:val="20"/>
          <w:shd w:val="clear" w:color="auto" w:fill="FFFF99"/>
          <w:rtl/>
        </w:rPr>
      </w:pPr>
      <w:hyperlink r:id="rId6" w:history="1">
        <w:r w:rsidRPr="00C332C7">
          <w:rPr>
            <w:rStyle w:val="Hyperlink"/>
            <w:rFonts w:hint="cs"/>
            <w:vanish/>
            <w:szCs w:val="20"/>
            <w:shd w:val="clear" w:color="auto" w:fill="FFFF99"/>
            <w:rtl/>
          </w:rPr>
          <w:t>ק"ת תשע"ח מס' 8016</w:t>
        </w:r>
      </w:hyperlink>
      <w:r w:rsidRPr="00C332C7">
        <w:rPr>
          <w:rStyle w:val="default"/>
          <w:rFonts w:cs="FrankRuehl" w:hint="cs"/>
          <w:vanish/>
          <w:szCs w:val="20"/>
          <w:shd w:val="clear" w:color="auto" w:fill="FFFF99"/>
          <w:rtl/>
        </w:rPr>
        <w:t xml:space="preserve"> מיום 10.6.2018 עמ' 2148</w:t>
      </w:r>
    </w:p>
    <w:p w:rsidR="00C332C7" w:rsidRPr="00C332C7" w:rsidRDefault="00C332C7" w:rsidP="00C332C7">
      <w:pPr>
        <w:pStyle w:val="P00"/>
        <w:ind w:left="0" w:right="1134"/>
        <w:rPr>
          <w:rStyle w:val="default"/>
          <w:rFonts w:cs="FrankRuehl"/>
          <w:vanish/>
          <w:sz w:val="16"/>
          <w:szCs w:val="22"/>
          <w:shd w:val="clear" w:color="auto" w:fill="FFFF99"/>
          <w:rtl/>
        </w:rPr>
      </w:pPr>
      <w:r w:rsidRPr="00C332C7">
        <w:rPr>
          <w:rStyle w:val="default"/>
          <w:rFonts w:cs="FrankRuehl"/>
          <w:vanish/>
          <w:sz w:val="16"/>
          <w:szCs w:val="22"/>
          <w:shd w:val="clear" w:color="auto" w:fill="FFFF99"/>
          <w:rtl/>
        </w:rPr>
        <w:tab/>
      </w:r>
      <w:r w:rsidRPr="00C332C7">
        <w:rPr>
          <w:rStyle w:val="default"/>
          <w:rFonts w:cs="FrankRuehl" w:hint="cs"/>
          <w:vanish/>
          <w:sz w:val="16"/>
          <w:szCs w:val="22"/>
          <w:shd w:val="clear" w:color="auto" w:fill="FFFF99"/>
          <w:rtl/>
        </w:rPr>
        <w:t xml:space="preserve">בתוקף סמכותי לפי סעיפים 12(ב), 19(א)(9), 22(ז), 30(ד), </w:t>
      </w:r>
      <w:r w:rsidRPr="00C332C7">
        <w:rPr>
          <w:rStyle w:val="default"/>
          <w:rFonts w:cs="FrankRuehl" w:hint="cs"/>
          <w:strike/>
          <w:vanish/>
          <w:sz w:val="16"/>
          <w:szCs w:val="22"/>
          <w:shd w:val="clear" w:color="auto" w:fill="FFFF99"/>
          <w:rtl/>
        </w:rPr>
        <w:t>33, 43 ו-67(א)(4)</w:t>
      </w:r>
      <w:r w:rsidRPr="00C332C7">
        <w:rPr>
          <w:rStyle w:val="default"/>
          <w:rFonts w:cs="FrankRuehl" w:hint="cs"/>
          <w:vanish/>
          <w:sz w:val="16"/>
          <w:szCs w:val="22"/>
          <w:shd w:val="clear" w:color="auto" w:fill="FFFF99"/>
          <w:rtl/>
        </w:rPr>
        <w:t xml:space="preserve"> </w:t>
      </w:r>
      <w:r w:rsidRPr="00C332C7">
        <w:rPr>
          <w:rStyle w:val="default"/>
          <w:rFonts w:cs="FrankRuehl" w:hint="cs"/>
          <w:vanish/>
          <w:sz w:val="16"/>
          <w:szCs w:val="22"/>
          <w:u w:val="single"/>
          <w:shd w:val="clear" w:color="auto" w:fill="FFFF99"/>
          <w:rtl/>
        </w:rPr>
        <w:t>33, 38(ד), 43, 67(א)(4) ו-109</w:t>
      </w:r>
      <w:r w:rsidRPr="00C332C7">
        <w:rPr>
          <w:rStyle w:val="default"/>
          <w:rFonts w:cs="FrankRuehl" w:hint="cs"/>
          <w:vanish/>
          <w:sz w:val="16"/>
          <w:szCs w:val="22"/>
          <w:shd w:val="clear" w:color="auto" w:fill="FFFF99"/>
          <w:rtl/>
        </w:rPr>
        <w:t xml:space="preserve"> לחוק נתוני אשראי, התשע"ו-2016 (להלן </w:t>
      </w:r>
      <w:r w:rsidRPr="00C332C7">
        <w:rPr>
          <w:rStyle w:val="default"/>
          <w:rFonts w:cs="FrankRuehl"/>
          <w:vanish/>
          <w:sz w:val="16"/>
          <w:szCs w:val="22"/>
          <w:shd w:val="clear" w:color="auto" w:fill="FFFF99"/>
          <w:rtl/>
        </w:rPr>
        <w:t>–</w:t>
      </w:r>
      <w:r w:rsidRPr="00C332C7">
        <w:rPr>
          <w:rStyle w:val="default"/>
          <w:rFonts w:cs="FrankRuehl" w:hint="cs"/>
          <w:vanish/>
          <w:sz w:val="16"/>
          <w:szCs w:val="22"/>
          <w:shd w:val="clear" w:color="auto" w:fill="FFFF99"/>
          <w:rtl/>
        </w:rPr>
        <w:t xml:space="preserve"> החוק), בהסכמת שר המשפטים לעניין סעיפים 3, 11 ו-13, בהסכמת שר האוצר לעניין סעיף 3 ובאישור ועדת הכלכלה של הכנסת אני קובעת כללים אלה</w:t>
      </w:r>
      <w:r w:rsidRPr="00C332C7">
        <w:rPr>
          <w:rStyle w:val="default"/>
          <w:rFonts w:cs="FrankRuehl"/>
          <w:vanish/>
          <w:sz w:val="16"/>
          <w:szCs w:val="22"/>
          <w:shd w:val="clear" w:color="auto" w:fill="FFFF99"/>
          <w:rtl/>
        </w:rPr>
        <w:t>:</w:t>
      </w:r>
    </w:p>
    <w:p w:rsidR="00C332C7" w:rsidRPr="00C332C7" w:rsidRDefault="00C332C7" w:rsidP="000B2C41">
      <w:pPr>
        <w:pStyle w:val="P00"/>
        <w:spacing w:before="0"/>
        <w:ind w:left="0" w:right="1134"/>
        <w:rPr>
          <w:rStyle w:val="default"/>
          <w:rFonts w:ascii="FrankRuehl" w:hAnsi="FrankRuehl" w:cs="FrankRuehl"/>
          <w:vanish/>
          <w:szCs w:val="20"/>
          <w:shd w:val="clear" w:color="auto" w:fill="FFFF99"/>
          <w:rtl/>
        </w:rPr>
      </w:pPr>
    </w:p>
    <w:p w:rsidR="00C332C7" w:rsidRPr="00C332C7" w:rsidRDefault="00C332C7" w:rsidP="000B2C41">
      <w:pPr>
        <w:pStyle w:val="P00"/>
        <w:spacing w:before="0"/>
        <w:ind w:left="0" w:right="1134"/>
        <w:rPr>
          <w:rStyle w:val="default"/>
          <w:rFonts w:ascii="FrankRuehl" w:hAnsi="FrankRuehl" w:cs="FrankRuehl"/>
          <w:vanish/>
          <w:color w:val="FF0000"/>
          <w:szCs w:val="20"/>
          <w:shd w:val="clear" w:color="auto" w:fill="FFFF99"/>
          <w:rtl/>
        </w:rPr>
      </w:pPr>
      <w:r w:rsidRPr="00C332C7">
        <w:rPr>
          <w:rStyle w:val="default"/>
          <w:rFonts w:ascii="FrankRuehl" w:hAnsi="FrankRuehl" w:cs="FrankRuehl"/>
          <w:vanish/>
          <w:color w:val="FF0000"/>
          <w:szCs w:val="20"/>
          <w:shd w:val="clear" w:color="auto" w:fill="FFFF99"/>
          <w:rtl/>
        </w:rPr>
        <w:t>מיום 12.4.2021</w:t>
      </w:r>
    </w:p>
    <w:p w:rsidR="00C332C7" w:rsidRPr="00C332C7" w:rsidRDefault="00C332C7" w:rsidP="000B2C41">
      <w:pPr>
        <w:pStyle w:val="P00"/>
        <w:spacing w:before="0"/>
        <w:ind w:left="0" w:right="1134"/>
        <w:rPr>
          <w:rStyle w:val="default"/>
          <w:rFonts w:ascii="FrankRuehl" w:hAnsi="FrankRuehl" w:cs="FrankRuehl"/>
          <w:vanish/>
          <w:szCs w:val="20"/>
          <w:shd w:val="clear" w:color="auto" w:fill="FFFF99"/>
          <w:rtl/>
        </w:rPr>
      </w:pPr>
      <w:r w:rsidRPr="00C332C7">
        <w:rPr>
          <w:rStyle w:val="default"/>
          <w:rFonts w:ascii="FrankRuehl" w:hAnsi="FrankRuehl" w:cs="FrankRuehl"/>
          <w:b/>
          <w:bCs/>
          <w:vanish/>
          <w:szCs w:val="20"/>
          <w:shd w:val="clear" w:color="auto" w:fill="FFFF99"/>
          <w:rtl/>
        </w:rPr>
        <w:t>כללים תשפ"א-2021</w:t>
      </w:r>
    </w:p>
    <w:p w:rsidR="00C332C7" w:rsidRPr="00C332C7" w:rsidRDefault="00C332C7" w:rsidP="000B2C41">
      <w:pPr>
        <w:pStyle w:val="P00"/>
        <w:spacing w:before="0"/>
        <w:ind w:left="0" w:right="1134"/>
        <w:rPr>
          <w:rStyle w:val="default"/>
          <w:rFonts w:ascii="FrankRuehl" w:hAnsi="FrankRuehl" w:cs="FrankRuehl"/>
          <w:vanish/>
          <w:szCs w:val="20"/>
          <w:shd w:val="clear" w:color="auto" w:fill="FFFF99"/>
          <w:rtl/>
        </w:rPr>
      </w:pPr>
      <w:hyperlink r:id="rId7" w:history="1">
        <w:r w:rsidRPr="00C332C7">
          <w:rPr>
            <w:rStyle w:val="Hyperlink"/>
            <w:rFonts w:ascii="FrankRuehl" w:hAnsi="FrankRuehl"/>
            <w:vanish/>
            <w:szCs w:val="20"/>
            <w:shd w:val="clear" w:color="auto" w:fill="FFFF99"/>
            <w:rtl/>
          </w:rPr>
          <w:t>ק"ת תשפ"א מס' 9315</w:t>
        </w:r>
      </w:hyperlink>
      <w:r w:rsidRPr="00C332C7">
        <w:rPr>
          <w:rStyle w:val="default"/>
          <w:rFonts w:ascii="FrankRuehl" w:hAnsi="FrankRuehl" w:cs="FrankRuehl"/>
          <w:vanish/>
          <w:szCs w:val="20"/>
          <w:shd w:val="clear" w:color="auto" w:fill="FFFF99"/>
          <w:rtl/>
        </w:rPr>
        <w:t xml:space="preserve"> מיום 12.4.2021 עמ' 2924</w:t>
      </w:r>
    </w:p>
    <w:p w:rsidR="000B2C41" w:rsidRPr="000B2C41" w:rsidRDefault="000B2C41" w:rsidP="000B2C41">
      <w:pPr>
        <w:pStyle w:val="P00"/>
        <w:ind w:left="0" w:right="1134"/>
        <w:rPr>
          <w:rStyle w:val="default"/>
          <w:rFonts w:cs="FrankRuehl"/>
          <w:sz w:val="2"/>
          <w:szCs w:val="2"/>
          <w:rtl/>
        </w:rPr>
      </w:pPr>
      <w:r w:rsidRPr="00C332C7">
        <w:rPr>
          <w:rStyle w:val="default"/>
          <w:rFonts w:cs="FrankRuehl"/>
          <w:vanish/>
          <w:sz w:val="16"/>
          <w:szCs w:val="22"/>
          <w:shd w:val="clear" w:color="auto" w:fill="FFFF99"/>
          <w:rtl/>
        </w:rPr>
        <w:tab/>
      </w:r>
      <w:r w:rsidRPr="00C332C7">
        <w:rPr>
          <w:rStyle w:val="default"/>
          <w:rFonts w:cs="FrankRuehl" w:hint="cs"/>
          <w:vanish/>
          <w:sz w:val="16"/>
          <w:szCs w:val="22"/>
          <w:shd w:val="clear" w:color="auto" w:fill="FFFF99"/>
          <w:rtl/>
        </w:rPr>
        <w:t>בתוקף סמכותי לפי סעיפים 12(ב), 19(א)(9), 22(ז), 30(ד), 33, 38(ד), 43,</w:t>
      </w:r>
      <w:r w:rsidR="00C332C7" w:rsidRPr="00C332C7">
        <w:rPr>
          <w:rStyle w:val="default"/>
          <w:rFonts w:cs="FrankRuehl" w:hint="cs"/>
          <w:vanish/>
          <w:sz w:val="16"/>
          <w:szCs w:val="22"/>
          <w:shd w:val="clear" w:color="auto" w:fill="FFFF99"/>
          <w:rtl/>
        </w:rPr>
        <w:t xml:space="preserve"> </w:t>
      </w:r>
      <w:r w:rsidR="00C332C7" w:rsidRPr="00C332C7">
        <w:rPr>
          <w:rStyle w:val="default"/>
          <w:rFonts w:cs="FrankRuehl" w:hint="cs"/>
          <w:vanish/>
          <w:sz w:val="16"/>
          <w:szCs w:val="22"/>
          <w:u w:val="single"/>
          <w:shd w:val="clear" w:color="auto" w:fill="FFFF99"/>
          <w:rtl/>
        </w:rPr>
        <w:t>60(ב),</w:t>
      </w:r>
      <w:r w:rsidRPr="00C332C7">
        <w:rPr>
          <w:rStyle w:val="default"/>
          <w:rFonts w:cs="FrankRuehl" w:hint="cs"/>
          <w:vanish/>
          <w:sz w:val="16"/>
          <w:szCs w:val="22"/>
          <w:shd w:val="clear" w:color="auto" w:fill="FFFF99"/>
          <w:rtl/>
        </w:rPr>
        <w:t xml:space="preserve"> 67(א)(4) ו-109 לחוק נתוני אשראי, התשע"ו-2016 (להלן </w:t>
      </w:r>
      <w:r w:rsidRPr="00C332C7">
        <w:rPr>
          <w:rStyle w:val="default"/>
          <w:rFonts w:cs="FrankRuehl"/>
          <w:vanish/>
          <w:sz w:val="16"/>
          <w:szCs w:val="22"/>
          <w:shd w:val="clear" w:color="auto" w:fill="FFFF99"/>
          <w:rtl/>
        </w:rPr>
        <w:t>–</w:t>
      </w:r>
      <w:r w:rsidRPr="00C332C7">
        <w:rPr>
          <w:rStyle w:val="default"/>
          <w:rFonts w:cs="FrankRuehl" w:hint="cs"/>
          <w:vanish/>
          <w:sz w:val="16"/>
          <w:szCs w:val="22"/>
          <w:shd w:val="clear" w:color="auto" w:fill="FFFF99"/>
          <w:rtl/>
        </w:rPr>
        <w:t xml:space="preserve"> החוק), בהסכמת שר המשפטים </w:t>
      </w:r>
      <w:r w:rsidRPr="00C332C7">
        <w:rPr>
          <w:rStyle w:val="default"/>
          <w:rFonts w:cs="FrankRuehl" w:hint="cs"/>
          <w:strike/>
          <w:vanish/>
          <w:sz w:val="16"/>
          <w:szCs w:val="22"/>
          <w:shd w:val="clear" w:color="auto" w:fill="FFFF99"/>
          <w:rtl/>
        </w:rPr>
        <w:t>לעניין סעיפים 3, 11 ו-13</w:t>
      </w:r>
      <w:r w:rsidR="00C332C7" w:rsidRPr="00C332C7">
        <w:rPr>
          <w:rStyle w:val="default"/>
          <w:rFonts w:cs="FrankRuehl" w:hint="cs"/>
          <w:vanish/>
          <w:sz w:val="16"/>
          <w:szCs w:val="22"/>
          <w:shd w:val="clear" w:color="auto" w:fill="FFFF99"/>
          <w:rtl/>
        </w:rPr>
        <w:t xml:space="preserve"> </w:t>
      </w:r>
      <w:r w:rsidR="00C332C7" w:rsidRPr="00C332C7">
        <w:rPr>
          <w:rStyle w:val="default"/>
          <w:rFonts w:cs="FrankRuehl" w:hint="cs"/>
          <w:vanish/>
          <w:sz w:val="16"/>
          <w:szCs w:val="22"/>
          <w:u w:val="single"/>
          <w:shd w:val="clear" w:color="auto" w:fill="FFFF99"/>
          <w:rtl/>
        </w:rPr>
        <w:t>לעניין סעיפים 3, 11, 13 ו-16</w:t>
      </w:r>
      <w:r w:rsidRPr="00C332C7">
        <w:rPr>
          <w:rStyle w:val="default"/>
          <w:rFonts w:cs="FrankRuehl" w:hint="cs"/>
          <w:vanish/>
          <w:sz w:val="16"/>
          <w:szCs w:val="22"/>
          <w:shd w:val="clear" w:color="auto" w:fill="FFFF99"/>
          <w:rtl/>
        </w:rPr>
        <w:t>, בהסכמת שר האוצר לעניין סעיף 3 ובאישור ועדת הכלכלה של הכנסת אני קובעת כללים אלה</w:t>
      </w:r>
      <w:r w:rsidRPr="00C332C7">
        <w:rPr>
          <w:rStyle w:val="default"/>
          <w:rFonts w:cs="FrankRuehl"/>
          <w:vanish/>
          <w:sz w:val="16"/>
          <w:szCs w:val="22"/>
          <w:shd w:val="clear" w:color="auto" w:fill="FFFF99"/>
          <w:rtl/>
        </w:rPr>
        <w:t>:</w:t>
      </w:r>
      <w:bookmarkEnd w:id="0"/>
    </w:p>
    <w:p w:rsidR="002B600C" w:rsidRPr="00CE7469" w:rsidRDefault="002B600C" w:rsidP="00CE7469">
      <w:pPr>
        <w:pStyle w:val="medium2-header"/>
        <w:keepLines w:val="0"/>
        <w:spacing w:before="72"/>
        <w:ind w:left="0" w:right="1134"/>
        <w:rPr>
          <w:noProof/>
          <w:rtl/>
        </w:rPr>
      </w:pPr>
      <w:bookmarkStart w:id="1" w:name="med0"/>
      <w:bookmarkEnd w:id="1"/>
      <w:r w:rsidRPr="00CE7469">
        <w:rPr>
          <w:rFonts w:hint="cs"/>
          <w:noProof/>
          <w:rtl/>
        </w:rPr>
        <w:t>פרק א': פרשנות</w:t>
      </w:r>
    </w:p>
    <w:p w:rsidR="001153D7" w:rsidRDefault="001153D7" w:rsidP="00EF4509">
      <w:pPr>
        <w:pStyle w:val="P00"/>
        <w:spacing w:before="72"/>
        <w:ind w:left="0" w:right="1134"/>
        <w:rPr>
          <w:rStyle w:val="default"/>
          <w:rFonts w:cs="FrankRuehl"/>
          <w:rtl/>
        </w:rPr>
      </w:pPr>
      <w:bookmarkStart w:id="2" w:name="Seif1"/>
      <w:bookmarkEnd w:id="2"/>
      <w:r>
        <w:rPr>
          <w:lang w:val="he-IL"/>
        </w:rPr>
        <w:pict>
          <v:rect id="_x0000_s1026" style="position:absolute;left:0;text-align:left;margin-left:464.5pt;margin-top:8.05pt;width:75.05pt;height:12.4pt;z-index:251648512" o:allowincell="f" filled="f" stroked="f" strokecolor="lime" strokeweight=".25pt">
            <v:textbox style="mso-next-textbox:#_x0000_s1026" inset="0,0,0,0">
              <w:txbxContent>
                <w:p w:rsidR="001B0E24" w:rsidRDefault="001B0E24">
                  <w:pPr>
                    <w:spacing w:line="160" w:lineRule="exact"/>
                    <w:jc w:val="left"/>
                    <w:rPr>
                      <w:rFonts w:cs="Miriam" w:hint="cs"/>
                      <w:szCs w:val="18"/>
                      <w:rtl/>
                    </w:rPr>
                  </w:pPr>
                  <w:r>
                    <w:rPr>
                      <w:rFonts w:cs="Miriam" w:hint="cs"/>
                      <w:szCs w:val="18"/>
                      <w:rtl/>
                    </w:rPr>
                    <w:t>הגדרות</w:t>
                  </w:r>
                </w:p>
              </w:txbxContent>
            </v:textbox>
            <w10:anchorlock/>
          </v:rect>
        </w:pict>
      </w:r>
      <w:r>
        <w:rPr>
          <w:rStyle w:val="big-number"/>
          <w:rtl/>
        </w:rPr>
        <w:t>1</w:t>
      </w:r>
      <w:r>
        <w:rPr>
          <w:rStyle w:val="default"/>
          <w:rFonts w:cs="FrankRuehl"/>
          <w:rtl/>
        </w:rPr>
        <w:t>.</w:t>
      </w:r>
      <w:r>
        <w:rPr>
          <w:rStyle w:val="default"/>
          <w:rFonts w:cs="FrankRuehl"/>
          <w:rtl/>
        </w:rPr>
        <w:tab/>
      </w:r>
      <w:r w:rsidR="00555B11">
        <w:rPr>
          <w:rStyle w:val="default"/>
          <w:rFonts w:cs="FrankRuehl" w:hint="cs"/>
          <w:rtl/>
        </w:rPr>
        <w:t>בכללים</w:t>
      </w:r>
      <w:r w:rsidR="00EF4509">
        <w:rPr>
          <w:rStyle w:val="default"/>
          <w:rFonts w:cs="FrankRuehl" w:hint="cs"/>
          <w:rtl/>
        </w:rPr>
        <w:t xml:space="preserve"> אלה</w:t>
      </w:r>
      <w:r w:rsidR="008B1FCD">
        <w:rPr>
          <w:rStyle w:val="default"/>
          <w:rFonts w:cs="FrankRuehl" w:hint="cs"/>
          <w:rtl/>
        </w:rPr>
        <w:t xml:space="preserve"> </w:t>
      </w:r>
      <w:r w:rsidR="008B1FCD">
        <w:rPr>
          <w:rStyle w:val="default"/>
          <w:rFonts w:cs="FrankRuehl"/>
          <w:rtl/>
        </w:rPr>
        <w:t>–</w:t>
      </w:r>
    </w:p>
    <w:p w:rsidR="00555B11" w:rsidRDefault="00555B11" w:rsidP="00EF4509">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"יום עסקים" </w:t>
      </w:r>
      <w:r>
        <w:rPr>
          <w:rStyle w:val="default"/>
          <w:rFonts w:cs="FrankRuehl"/>
          <w:rtl/>
        </w:rPr>
        <w:t>–</w:t>
      </w:r>
      <w:r>
        <w:rPr>
          <w:rStyle w:val="default"/>
          <w:rFonts w:cs="FrankRuehl" w:hint="cs"/>
          <w:rtl/>
        </w:rPr>
        <w:t xml:space="preserve"> יום עסקים בנקאי כהגדרתו בהוראות הבנקאות (שירות ללקוח) (מועד זיכוי וחיוב בשיקים), התשנ"ב-1992;</w:t>
      </w:r>
    </w:p>
    <w:p w:rsidR="00555B11" w:rsidRDefault="00555B11" w:rsidP="00EF4509">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"חוק הפיקוח על שירותים פיננסיים מוסדרים" </w:t>
      </w:r>
      <w:r>
        <w:rPr>
          <w:rStyle w:val="default"/>
          <w:rFonts w:cs="FrankRuehl"/>
          <w:rtl/>
        </w:rPr>
        <w:t>–</w:t>
      </w:r>
      <w:r>
        <w:rPr>
          <w:rStyle w:val="default"/>
          <w:rFonts w:cs="FrankRuehl" w:hint="cs"/>
          <w:rtl/>
        </w:rPr>
        <w:t xml:space="preserve"> חוק הפיקוח על שירותים פיננסיים (שירותים פיננסיים מוסדרים), התשע"ו-2016;</w:t>
      </w:r>
    </w:p>
    <w:p w:rsidR="00075D40" w:rsidRDefault="00075D40" w:rsidP="00EF4509">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"תעודה מזהה" </w:t>
      </w:r>
      <w:r>
        <w:rPr>
          <w:rStyle w:val="default"/>
          <w:rFonts w:cs="FrankRuehl"/>
          <w:rtl/>
        </w:rPr>
        <w:t>–</w:t>
      </w:r>
      <w:r>
        <w:rPr>
          <w:rStyle w:val="default"/>
          <w:rFonts w:cs="FrankRuehl" w:hint="cs"/>
          <w:rtl/>
        </w:rPr>
        <w:t xml:space="preserve"> </w:t>
      </w:r>
      <w:r w:rsidR="00555B11">
        <w:rPr>
          <w:rStyle w:val="default"/>
          <w:rFonts w:cs="FrankRuehl" w:hint="cs"/>
          <w:rtl/>
        </w:rPr>
        <w:t>כהגדרתה בתקנות נתוני אשראי;</w:t>
      </w:r>
    </w:p>
    <w:p w:rsidR="00555B11" w:rsidRDefault="00555B11" w:rsidP="00EF4509">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"תקנות נתוני אשראי" </w:t>
      </w:r>
      <w:r>
        <w:rPr>
          <w:rStyle w:val="default"/>
          <w:rFonts w:cs="FrankRuehl"/>
          <w:rtl/>
        </w:rPr>
        <w:t>–</w:t>
      </w:r>
      <w:r>
        <w:rPr>
          <w:rStyle w:val="default"/>
          <w:rFonts w:cs="FrankRuehl" w:hint="cs"/>
          <w:rtl/>
        </w:rPr>
        <w:t xml:space="preserve"> תקנות נתוני אשראי, התשע"ח-2017.</w:t>
      </w:r>
    </w:p>
    <w:p w:rsidR="00075D40" w:rsidRPr="00075D40" w:rsidRDefault="00075D40" w:rsidP="00075D40">
      <w:pPr>
        <w:pStyle w:val="medium2-header"/>
        <w:keepLines w:val="0"/>
        <w:spacing w:before="72"/>
        <w:ind w:left="0" w:right="1134"/>
        <w:rPr>
          <w:noProof/>
          <w:rtl/>
        </w:rPr>
      </w:pPr>
      <w:bookmarkStart w:id="3" w:name="med1"/>
      <w:bookmarkEnd w:id="3"/>
      <w:r w:rsidRPr="00075D40">
        <w:rPr>
          <w:rFonts w:hint="cs"/>
          <w:noProof/>
          <w:rtl/>
        </w:rPr>
        <w:t xml:space="preserve">פרק ב': </w:t>
      </w:r>
      <w:r w:rsidR="00555B11">
        <w:rPr>
          <w:rFonts w:hint="cs"/>
          <w:noProof/>
          <w:rtl/>
        </w:rPr>
        <w:t>הפעלת שירות נתוני אשראי</w:t>
      </w:r>
    </w:p>
    <w:p w:rsidR="006E0BEF" w:rsidRDefault="006E0BEF" w:rsidP="00EF4509">
      <w:pPr>
        <w:pStyle w:val="P00"/>
        <w:spacing w:before="72"/>
        <w:ind w:left="0" w:right="1134"/>
        <w:rPr>
          <w:rStyle w:val="default"/>
          <w:rFonts w:cs="FrankRuehl"/>
          <w:rtl/>
        </w:rPr>
      </w:pPr>
      <w:bookmarkStart w:id="4" w:name="Seif2"/>
      <w:bookmarkEnd w:id="4"/>
      <w:r>
        <w:rPr>
          <w:lang w:val="he-IL"/>
        </w:rPr>
        <w:pict>
          <v:rect id="_x0000_s1292" style="position:absolute;left:0;text-align:left;margin-left:464.5pt;margin-top:8.05pt;width:75.05pt;height:21.4pt;z-index:251649536" o:allowincell="f" filled="f" stroked="f" strokecolor="lime" strokeweight=".25pt">
            <v:textbox style="mso-next-textbox:#_x0000_s1292" inset="0,0,0,0">
              <w:txbxContent>
                <w:p w:rsidR="001B0E24" w:rsidRDefault="001B0E24" w:rsidP="006E0BEF">
                  <w:pPr>
                    <w:spacing w:line="160" w:lineRule="exact"/>
                    <w:jc w:val="left"/>
                    <w:rPr>
                      <w:rFonts w:cs="Miriam" w:hint="cs"/>
                      <w:szCs w:val="18"/>
                      <w:rtl/>
                    </w:rPr>
                  </w:pPr>
                  <w:r>
                    <w:rPr>
                      <w:rFonts w:cs="Miriam" w:hint="cs"/>
                      <w:szCs w:val="18"/>
                      <w:rtl/>
                    </w:rPr>
                    <w:t>עיסוקים מותרים ללשכת אשראי</w:t>
                  </w:r>
                </w:p>
              </w:txbxContent>
            </v:textbox>
            <w10:anchorlock/>
          </v:rect>
        </w:pict>
      </w:r>
      <w:r w:rsidR="003A263B">
        <w:rPr>
          <w:rStyle w:val="big-number"/>
          <w:rFonts w:hint="cs"/>
          <w:rtl/>
        </w:rPr>
        <w:t>2</w:t>
      </w:r>
      <w:r>
        <w:rPr>
          <w:rStyle w:val="default"/>
          <w:rFonts w:cs="FrankRuehl"/>
          <w:rtl/>
        </w:rPr>
        <w:t>.</w:t>
      </w:r>
      <w:r>
        <w:rPr>
          <w:rStyle w:val="default"/>
          <w:rFonts w:cs="FrankRuehl"/>
          <w:rtl/>
        </w:rPr>
        <w:tab/>
      </w:r>
      <w:r w:rsidR="00555B11">
        <w:rPr>
          <w:rStyle w:val="default"/>
          <w:rFonts w:cs="FrankRuehl" w:hint="cs"/>
          <w:rtl/>
        </w:rPr>
        <w:t>(א)</w:t>
      </w:r>
      <w:r w:rsidR="00555B11">
        <w:rPr>
          <w:rStyle w:val="default"/>
          <w:rFonts w:cs="FrankRuehl"/>
          <w:rtl/>
        </w:rPr>
        <w:tab/>
      </w:r>
      <w:r w:rsidR="00555B11">
        <w:rPr>
          <w:rStyle w:val="default"/>
          <w:rFonts w:cs="FrankRuehl" w:hint="cs"/>
          <w:rtl/>
        </w:rPr>
        <w:t>לשכת אשראי רשאית, נוסף על עיסוקה כמפעילת שירות נתוני אשראי, לעסוק גם בתחומי הפעילות האלה:</w:t>
      </w:r>
    </w:p>
    <w:p w:rsidR="00555B11" w:rsidRDefault="00555B11" w:rsidP="00943BF1">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מתן שירותי ריכוז מידע פיננסי;</w:t>
      </w:r>
    </w:p>
    <w:p w:rsidR="00555B11" w:rsidRDefault="00555B11" w:rsidP="00943BF1">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מתן שירותי השוואת עלויות אשראי;</w:t>
      </w:r>
    </w:p>
    <w:p w:rsidR="00555B11" w:rsidRDefault="00555B11" w:rsidP="00943BF1">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מתן שירותי ניהול תקציב;</w:t>
      </w:r>
    </w:p>
    <w:p w:rsidR="00555B11" w:rsidRDefault="00555B11" w:rsidP="00943BF1">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מתן ייעוץ כלכלי;</w:t>
      </w:r>
    </w:p>
    <w:p w:rsidR="00555B11" w:rsidRDefault="00555B11" w:rsidP="00943BF1">
      <w:pPr>
        <w:pStyle w:val="P00"/>
        <w:spacing w:before="72"/>
        <w:ind w:left="1021" w:right="1134"/>
        <w:rPr>
          <w:rStyle w:val="default"/>
          <w:rFonts w:cs="FrankRuehl"/>
          <w:rtl/>
        </w:rPr>
      </w:pPr>
      <w:r>
        <w:rPr>
          <w:rStyle w:val="default"/>
          <w:rFonts w:cs="FrankRuehl" w:hint="cs"/>
          <w:rtl/>
        </w:rPr>
        <w:t>(5)</w:t>
      </w:r>
      <w:r>
        <w:rPr>
          <w:rStyle w:val="default"/>
          <w:rFonts w:cs="FrankRuehl"/>
          <w:rtl/>
        </w:rPr>
        <w:tab/>
      </w:r>
      <w:r w:rsidR="00943BF1">
        <w:rPr>
          <w:rStyle w:val="default"/>
          <w:rFonts w:cs="FrankRuehl" w:hint="cs"/>
          <w:rtl/>
        </w:rPr>
        <w:t>בניית מודלים כלכליים;</w:t>
      </w:r>
    </w:p>
    <w:p w:rsidR="00943BF1" w:rsidRDefault="00943BF1" w:rsidP="00943BF1">
      <w:pPr>
        <w:pStyle w:val="P00"/>
        <w:spacing w:before="72"/>
        <w:ind w:left="1021"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עריכת סקרי שוק ומחקר כלכלי;</w:t>
      </w:r>
    </w:p>
    <w:p w:rsidR="00943BF1" w:rsidRDefault="00943BF1" w:rsidP="00943BF1">
      <w:pPr>
        <w:pStyle w:val="P00"/>
        <w:spacing w:before="72"/>
        <w:ind w:left="1021" w:right="1134"/>
        <w:rPr>
          <w:rStyle w:val="default"/>
          <w:rFonts w:cs="FrankRuehl"/>
          <w:rtl/>
        </w:rPr>
      </w:pPr>
      <w:r>
        <w:rPr>
          <w:rStyle w:val="default"/>
          <w:rFonts w:cs="FrankRuehl" w:hint="cs"/>
          <w:rtl/>
        </w:rPr>
        <w:t>(7)</w:t>
      </w:r>
      <w:r>
        <w:rPr>
          <w:rStyle w:val="default"/>
          <w:rFonts w:cs="FrankRuehl"/>
          <w:rtl/>
        </w:rPr>
        <w:tab/>
      </w:r>
      <w:r>
        <w:rPr>
          <w:rStyle w:val="default"/>
          <w:rFonts w:cs="FrankRuehl" w:hint="cs"/>
          <w:rtl/>
        </w:rPr>
        <w:t>אימות זהות ונתונים;</w:t>
      </w:r>
    </w:p>
    <w:p w:rsidR="00943BF1" w:rsidRDefault="00943BF1" w:rsidP="00943BF1">
      <w:pPr>
        <w:pStyle w:val="P00"/>
        <w:spacing w:before="72"/>
        <w:ind w:left="1021" w:right="1134"/>
        <w:rPr>
          <w:rStyle w:val="default"/>
          <w:rFonts w:cs="FrankRuehl"/>
          <w:rtl/>
        </w:rPr>
      </w:pPr>
      <w:r>
        <w:rPr>
          <w:rStyle w:val="default"/>
          <w:rFonts w:cs="FrankRuehl" w:hint="cs"/>
          <w:rtl/>
        </w:rPr>
        <w:t>(8)</w:t>
      </w:r>
      <w:r>
        <w:rPr>
          <w:rStyle w:val="default"/>
          <w:rFonts w:cs="FrankRuehl"/>
          <w:rtl/>
        </w:rPr>
        <w:tab/>
      </w:r>
      <w:r>
        <w:rPr>
          <w:rStyle w:val="default"/>
          <w:rFonts w:cs="FrankRuehl" w:hint="cs"/>
          <w:rtl/>
        </w:rPr>
        <w:t>ניהול סיכונים, בין השאר, פיתוח כלים לזיהוי הערכה ומדידה של סיכונים.</w:t>
      </w:r>
    </w:p>
    <w:p w:rsidR="00943BF1" w:rsidRDefault="00943BF1" w:rsidP="00EF4509">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sidR="004D03C7">
        <w:rPr>
          <w:rStyle w:val="default"/>
          <w:rFonts w:cs="FrankRuehl" w:hint="cs"/>
          <w:rtl/>
        </w:rPr>
        <w:t xml:space="preserve">הנגיד ידווח לוועדה על ממצאים בנוגע לשימוש לרעה בנתוני אשראי במסגרת פעילות לשכת נתוני אשראי בתחום מהתחומים שנקבעו בסעיף קטן (א), אם נמצאו כאלה, במסגרת פעולות פיקוח ובקרה, וכן ימסור מידע </w:t>
      </w:r>
      <w:r w:rsidR="0061133A">
        <w:rPr>
          <w:rStyle w:val="default"/>
          <w:rFonts w:cs="FrankRuehl" w:hint="cs"/>
          <w:rtl/>
        </w:rPr>
        <w:t>בנוגע למחירים שגובות לשכות האשראי בעד שירותים אלה; דיווח כאמור יימסר לוועדה בדוח נפרד ובמועד מסירת דיווח לפי סעיף 113 לחוק ולמשך התקופה הקבועה באותו הסעיף.</w:t>
      </w:r>
    </w:p>
    <w:p w:rsidR="00C92E0E" w:rsidRPr="00C92E0E" w:rsidRDefault="00C92E0E" w:rsidP="00C92E0E">
      <w:pPr>
        <w:pStyle w:val="medium2-header"/>
        <w:keepLines w:val="0"/>
        <w:spacing w:before="72"/>
        <w:ind w:left="0" w:right="1134"/>
        <w:rPr>
          <w:noProof/>
          <w:rtl/>
        </w:rPr>
      </w:pPr>
      <w:bookmarkStart w:id="5" w:name="med2"/>
      <w:bookmarkEnd w:id="5"/>
      <w:r w:rsidRPr="00C92E0E">
        <w:rPr>
          <w:rFonts w:hint="cs"/>
          <w:noProof/>
          <w:rtl/>
        </w:rPr>
        <w:t xml:space="preserve">פרק ג': </w:t>
      </w:r>
      <w:r w:rsidR="0061133A">
        <w:rPr>
          <w:rFonts w:hint="cs"/>
          <w:noProof/>
          <w:rtl/>
        </w:rPr>
        <w:t>העברת מידע למאגר ושמירתו</w:t>
      </w:r>
    </w:p>
    <w:p w:rsidR="009A4D64" w:rsidRDefault="0098048A" w:rsidP="00276269">
      <w:pPr>
        <w:pStyle w:val="P00"/>
        <w:spacing w:before="72"/>
        <w:ind w:left="0" w:right="1134"/>
        <w:rPr>
          <w:rStyle w:val="default"/>
          <w:rFonts w:cs="FrankRuehl"/>
          <w:rtl/>
        </w:rPr>
      </w:pPr>
      <w:bookmarkStart w:id="6" w:name="Seif3"/>
      <w:bookmarkEnd w:id="6"/>
      <w:r>
        <w:rPr>
          <w:lang w:val="he-IL"/>
        </w:rPr>
        <w:pict>
          <v:rect id="_x0000_s1293" style="position:absolute;left:0;text-align:left;margin-left:464.5pt;margin-top:8.05pt;width:75.05pt;height:18.85pt;z-index:251650560" o:allowincell="f" filled="f" stroked="f" strokecolor="lime" strokeweight=".25pt">
            <v:textbox style="mso-next-textbox:#_x0000_s1293" inset="0,0,0,0">
              <w:txbxContent>
                <w:p w:rsidR="001B0E24" w:rsidRDefault="001B0E24" w:rsidP="0098048A">
                  <w:pPr>
                    <w:spacing w:line="160" w:lineRule="exact"/>
                    <w:jc w:val="left"/>
                    <w:rPr>
                      <w:rFonts w:cs="Miriam" w:hint="cs"/>
                      <w:szCs w:val="18"/>
                      <w:rtl/>
                    </w:rPr>
                  </w:pPr>
                  <w:r>
                    <w:rPr>
                      <w:rFonts w:cs="Miriam" w:hint="cs"/>
                      <w:szCs w:val="18"/>
                      <w:rtl/>
                    </w:rPr>
                    <w:t>מקור מוסמך החייב בהעברת מידע למאגר</w:t>
                  </w:r>
                </w:p>
              </w:txbxContent>
            </v:textbox>
            <w10:anchorlock/>
          </v:rect>
        </w:pict>
      </w:r>
      <w:r>
        <w:rPr>
          <w:rStyle w:val="big-number"/>
          <w:rFonts w:hint="cs"/>
          <w:rtl/>
        </w:rPr>
        <w:t>3</w:t>
      </w:r>
      <w:r>
        <w:rPr>
          <w:rStyle w:val="default"/>
          <w:rFonts w:cs="FrankRuehl"/>
          <w:rtl/>
        </w:rPr>
        <w:t>.</w:t>
      </w:r>
      <w:r>
        <w:rPr>
          <w:rStyle w:val="default"/>
          <w:rFonts w:cs="FrankRuehl"/>
          <w:rtl/>
        </w:rPr>
        <w:tab/>
      </w:r>
      <w:r w:rsidR="00CB6E53">
        <w:rPr>
          <w:rStyle w:val="default"/>
          <w:rFonts w:cs="FrankRuehl" w:hint="cs"/>
          <w:rtl/>
        </w:rPr>
        <w:t>מקור מוסמך המפורט להלן, יעביר נתוני אשראי לשם הכללתם במאגר, ובלבד שהעמיד אשראי ללקוחות, בהיקף שנתי בסכום העולה על 250 מיליון שקלים</w:t>
      </w:r>
      <w:r w:rsidR="00C92E0E">
        <w:rPr>
          <w:rStyle w:val="default"/>
          <w:rFonts w:cs="FrankRuehl" w:hint="cs"/>
          <w:rtl/>
        </w:rPr>
        <w:t>:</w:t>
      </w:r>
    </w:p>
    <w:p w:rsidR="00C92E0E" w:rsidRDefault="00C92E0E" w:rsidP="00C92E0E">
      <w:pPr>
        <w:pStyle w:val="P00"/>
        <w:spacing w:before="72"/>
        <w:ind w:left="624" w:right="1134"/>
        <w:rPr>
          <w:rStyle w:val="default"/>
          <w:rFonts w:cs="FrankRuehl"/>
          <w:rtl/>
        </w:rPr>
      </w:pPr>
      <w:r>
        <w:rPr>
          <w:rStyle w:val="default"/>
          <w:rFonts w:cs="FrankRuehl" w:hint="cs"/>
          <w:rtl/>
        </w:rPr>
        <w:t>(1)</w:t>
      </w:r>
      <w:r>
        <w:rPr>
          <w:rStyle w:val="default"/>
          <w:rFonts w:cs="FrankRuehl"/>
          <w:rtl/>
        </w:rPr>
        <w:tab/>
      </w:r>
      <w:r w:rsidR="00CB6E53">
        <w:rPr>
          <w:rStyle w:val="default"/>
          <w:rFonts w:cs="FrankRuehl" w:hint="cs"/>
          <w:rtl/>
        </w:rPr>
        <w:t>בעל רישיון למתן אשראי, כמשמעותו בחוק הפיקוח על שירותים פיננסיים מוסדרים</w:t>
      </w:r>
      <w:r>
        <w:rPr>
          <w:rStyle w:val="default"/>
          <w:rFonts w:cs="FrankRuehl" w:hint="cs"/>
          <w:rtl/>
        </w:rPr>
        <w:t>;</w:t>
      </w:r>
    </w:p>
    <w:p w:rsidR="00CB6E53" w:rsidRDefault="00CB6E53" w:rsidP="00C92E0E">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בעל רישיון למתן שירותי פיקדון ואשראי, כמשמעותו בחוק הפיקוח על שירותים פיננסיים מוסדרים;</w:t>
      </w:r>
    </w:p>
    <w:p w:rsidR="00CB6E53" w:rsidRDefault="00CB6E53" w:rsidP="00C92E0E">
      <w:pPr>
        <w:pStyle w:val="P00"/>
        <w:spacing w:before="72"/>
        <w:ind w:left="624" w:right="1134"/>
        <w:rPr>
          <w:rStyle w:val="default"/>
          <w:rFonts w:cs="FrankRuehl"/>
          <w:rtl/>
        </w:rPr>
      </w:pPr>
      <w:r>
        <w:rPr>
          <w:rStyle w:val="default"/>
          <w:rFonts w:cs="FrankRuehl" w:hint="cs"/>
          <w:rtl/>
        </w:rPr>
        <w:t>(3)</w:t>
      </w:r>
      <w:r>
        <w:rPr>
          <w:rStyle w:val="default"/>
          <w:rFonts w:cs="FrankRuehl"/>
          <w:rtl/>
        </w:rPr>
        <w:tab/>
      </w:r>
      <w:r w:rsidR="00477532">
        <w:rPr>
          <w:rStyle w:val="default"/>
          <w:rFonts w:cs="FrankRuehl" w:hint="cs"/>
          <w:rtl/>
        </w:rPr>
        <w:t>בעל רישיון הנפקה, כמשמעותו בחוק הפיקוח על שירותים פיננסיים מוסדרים;</w:t>
      </w:r>
    </w:p>
    <w:p w:rsidR="00477532" w:rsidRDefault="00477532" w:rsidP="00C92E0E">
      <w:pPr>
        <w:pStyle w:val="P00"/>
        <w:spacing w:before="72"/>
        <w:ind w:left="624"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 xml:space="preserve">בעל רישיון להפעלת מערכת לתיווך באשראי כמשמעותו בסעיף 25יז בחוק הפיקוח </w:t>
      </w:r>
      <w:r>
        <w:rPr>
          <w:rStyle w:val="default"/>
          <w:rFonts w:cs="FrankRuehl" w:hint="cs"/>
          <w:rtl/>
        </w:rPr>
        <w:lastRenderedPageBreak/>
        <w:t>על שירותים פיננסיים מוסדרים;</w:t>
      </w:r>
    </w:p>
    <w:p w:rsidR="00477532" w:rsidRDefault="00477532" w:rsidP="00C92E0E">
      <w:pPr>
        <w:pStyle w:val="P00"/>
        <w:spacing w:before="72"/>
        <w:ind w:left="624"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גוף מוסדי, כהגדרתו בחוק הפיקוח על שירותים פיננסיים (ביטוח), התשמ"א-1981;</w:t>
      </w:r>
    </w:p>
    <w:p w:rsidR="00477532" w:rsidRDefault="00477532" w:rsidP="00C92E0E">
      <w:pPr>
        <w:pStyle w:val="P00"/>
        <w:spacing w:before="72"/>
        <w:ind w:left="624"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סולק כהגדרתו בסעיף 36ט לחוק הבנקאות (רישוי).</w:t>
      </w:r>
    </w:p>
    <w:p w:rsidR="002E22C6" w:rsidRPr="00627848" w:rsidRDefault="002E22C6" w:rsidP="002E22C6">
      <w:pPr>
        <w:pStyle w:val="medium2-header"/>
        <w:keepLines w:val="0"/>
        <w:spacing w:before="72"/>
        <w:ind w:left="0" w:right="1134"/>
        <w:rPr>
          <w:noProof/>
          <w:rtl/>
        </w:rPr>
      </w:pPr>
      <w:bookmarkStart w:id="7" w:name="med3"/>
      <w:bookmarkEnd w:id="7"/>
      <w:r w:rsidRPr="00627848">
        <w:rPr>
          <w:rFonts w:hint="cs"/>
          <w:noProof/>
          <w:rtl/>
        </w:rPr>
        <w:t xml:space="preserve">פרק ד': </w:t>
      </w:r>
      <w:r w:rsidR="00477532">
        <w:rPr>
          <w:rFonts w:hint="cs"/>
          <w:noProof/>
          <w:rtl/>
        </w:rPr>
        <w:t>בקשת לקוח לאי-הכללת נתוני אשראי לגביו במאגר וביטולה</w:t>
      </w:r>
    </w:p>
    <w:p w:rsidR="00386EF5" w:rsidRDefault="00386EF5" w:rsidP="00386EF5">
      <w:pPr>
        <w:pStyle w:val="P00"/>
        <w:spacing w:before="72"/>
        <w:ind w:left="0" w:right="1134"/>
        <w:rPr>
          <w:rStyle w:val="default"/>
          <w:rFonts w:cs="FrankRuehl"/>
          <w:rtl/>
        </w:rPr>
      </w:pPr>
      <w:bookmarkStart w:id="8" w:name="Seif4"/>
      <w:bookmarkEnd w:id="8"/>
      <w:r>
        <w:rPr>
          <w:lang w:val="he-IL"/>
        </w:rPr>
        <w:pict>
          <v:rect id="_x0000_s1294" style="position:absolute;left:0;text-align:left;margin-left:464.5pt;margin-top:8.05pt;width:75.05pt;height:18.1pt;z-index:251651584" o:allowincell="f" filled="f" stroked="f" strokecolor="lime" strokeweight=".25pt">
            <v:textbox style="mso-next-textbox:#_x0000_s1294" inset="0,0,0,0">
              <w:txbxContent>
                <w:p w:rsidR="001B0E24" w:rsidRDefault="001B0E24" w:rsidP="00386EF5">
                  <w:pPr>
                    <w:spacing w:line="160" w:lineRule="exact"/>
                    <w:jc w:val="left"/>
                    <w:rPr>
                      <w:rFonts w:cs="Miriam" w:hint="cs"/>
                      <w:szCs w:val="18"/>
                      <w:rtl/>
                    </w:rPr>
                  </w:pPr>
                  <w:r>
                    <w:rPr>
                      <w:rFonts w:cs="Miriam" w:hint="cs"/>
                      <w:szCs w:val="18"/>
                      <w:rtl/>
                    </w:rPr>
                    <w:t>אופן הגשת בקשת לקוח</w:t>
                  </w:r>
                </w:p>
              </w:txbxContent>
            </v:textbox>
            <w10:anchorlock/>
          </v:rect>
        </w:pict>
      </w:r>
      <w:r w:rsidR="00796D72">
        <w:rPr>
          <w:rStyle w:val="big-number"/>
          <w:rFonts w:hint="cs"/>
          <w:rtl/>
        </w:rPr>
        <w:t>4</w:t>
      </w:r>
      <w:r>
        <w:rPr>
          <w:rStyle w:val="default"/>
          <w:rFonts w:cs="FrankRuehl"/>
          <w:rtl/>
        </w:rPr>
        <w:t>.</w:t>
      </w:r>
      <w:r>
        <w:rPr>
          <w:rStyle w:val="default"/>
          <w:rFonts w:cs="FrankRuehl"/>
          <w:rtl/>
        </w:rPr>
        <w:tab/>
      </w:r>
      <w:r w:rsidR="00F2433C">
        <w:rPr>
          <w:rStyle w:val="default"/>
          <w:rFonts w:cs="FrankRuehl" w:hint="cs"/>
          <w:rtl/>
        </w:rPr>
        <w:t>(א)</w:t>
      </w:r>
      <w:r w:rsidR="00F97D23">
        <w:rPr>
          <w:rStyle w:val="a6"/>
          <w:rtl/>
        </w:rPr>
        <w:footnoteReference w:id="2"/>
      </w:r>
      <w:r w:rsidR="00F2433C">
        <w:rPr>
          <w:rStyle w:val="default"/>
          <w:rFonts w:cs="FrankRuehl"/>
          <w:rtl/>
        </w:rPr>
        <w:tab/>
      </w:r>
      <w:r w:rsidR="00F2433C">
        <w:rPr>
          <w:rStyle w:val="default"/>
          <w:rFonts w:cs="FrankRuehl" w:hint="cs"/>
          <w:rtl/>
        </w:rPr>
        <w:t>לקוח ייפנה לבנק ישראל בבקשה</w:t>
      </w:r>
      <w:r w:rsidR="000602F5">
        <w:rPr>
          <w:rStyle w:val="default"/>
          <w:rFonts w:cs="FrankRuehl" w:hint="cs"/>
          <w:rtl/>
        </w:rPr>
        <w:t xml:space="preserve"> לאי-הכללת נתוני אשראי לגביו במאגר או בבקשה לביטול בקשתו לאי הכללת נתוני אשראי לגביו במאגר, באחת מהדרכים האלה:</w:t>
      </w:r>
    </w:p>
    <w:p w:rsidR="000602F5" w:rsidRDefault="000602F5" w:rsidP="00F97D23">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בטופס מקוון באתר האינטרנט של בנק ישראל;</w:t>
      </w:r>
    </w:p>
    <w:p w:rsidR="000602F5" w:rsidRDefault="000602F5" w:rsidP="00F97D23">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דרך מוקד טלפוני מאויש של בנק ישראל; מספר הטלפון ושעות הפעילות של המוקד יהיו כפי שיפרסם בנק ישראל באתר האינטרנט שלו;</w:t>
      </w:r>
    </w:p>
    <w:p w:rsidR="000602F5" w:rsidRDefault="00F97D23" w:rsidP="00F97D23">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הפנייה תוכל להיעשות בשפה העברית או בשפה הערבית;</w:t>
      </w:r>
    </w:p>
    <w:p w:rsidR="00F97D23" w:rsidRDefault="00F97D23" w:rsidP="00F97D23">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לקוח הפונה לבנק ישראל בבקשה לאי-הכללת נתוני אשראי או ביטול בקשה כאמור בסעיף קטן (א), יזוהה באחת הדרכים שנקבעו בתקנה 5(1) לתקנות נתוני אשראי בשינויים המחויבים;</w:t>
      </w:r>
    </w:p>
    <w:p w:rsidR="00F97D23" w:rsidRDefault="00F97D23" w:rsidP="00F97D23">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בנק ישראל יידע את הלקוח לגבי השלכות בקשתו בטרם תבוצע; היידוע יהיה באתר בנק ישראל אם פנה באמצעות הטופס המקוון באתר או באמצעות המוקד הטלפוני אם הלקוח פנה בדרך זו.</w:t>
      </w:r>
    </w:p>
    <w:p w:rsidR="00386EF5" w:rsidRDefault="00386EF5" w:rsidP="00386EF5">
      <w:pPr>
        <w:pStyle w:val="P00"/>
        <w:spacing w:before="72"/>
        <w:ind w:left="0" w:right="1134"/>
        <w:rPr>
          <w:rStyle w:val="default"/>
          <w:rFonts w:cs="FrankRuehl"/>
          <w:rtl/>
        </w:rPr>
      </w:pPr>
      <w:bookmarkStart w:id="9" w:name="Seif5"/>
      <w:bookmarkEnd w:id="9"/>
      <w:r>
        <w:rPr>
          <w:lang w:val="he-IL"/>
        </w:rPr>
        <w:pict>
          <v:rect id="_x0000_s1295" style="position:absolute;left:0;text-align:left;margin-left:464.5pt;margin-top:8.05pt;width:75.05pt;height:16.85pt;z-index:251652608" o:allowincell="f" filled="f" stroked="f" strokecolor="lime" strokeweight=".25pt">
            <v:textbox style="mso-next-textbox:#_x0000_s1295" inset="0,0,0,0">
              <w:txbxContent>
                <w:p w:rsidR="001B0E24" w:rsidRDefault="001B0E24" w:rsidP="00386EF5">
                  <w:pPr>
                    <w:spacing w:line="160" w:lineRule="exact"/>
                    <w:jc w:val="left"/>
                    <w:rPr>
                      <w:rFonts w:cs="Miriam" w:hint="cs"/>
                      <w:szCs w:val="18"/>
                      <w:rtl/>
                    </w:rPr>
                  </w:pPr>
                  <w:r>
                    <w:rPr>
                      <w:rFonts w:cs="Miriam" w:hint="cs"/>
                      <w:szCs w:val="18"/>
                      <w:rtl/>
                    </w:rPr>
                    <w:t>מועדים לטיפול בבקשת לקוח</w:t>
                  </w:r>
                </w:p>
              </w:txbxContent>
            </v:textbox>
            <w10:anchorlock/>
          </v:rect>
        </w:pict>
      </w:r>
      <w:r w:rsidR="00627848">
        <w:rPr>
          <w:rStyle w:val="big-number"/>
          <w:rFonts w:hint="cs"/>
          <w:rtl/>
        </w:rPr>
        <w:t>5</w:t>
      </w:r>
      <w:r>
        <w:rPr>
          <w:rStyle w:val="default"/>
          <w:rFonts w:cs="FrankRuehl"/>
          <w:rtl/>
        </w:rPr>
        <w:t>.</w:t>
      </w:r>
      <w:r>
        <w:rPr>
          <w:rStyle w:val="default"/>
          <w:rFonts w:cs="FrankRuehl"/>
          <w:rtl/>
        </w:rPr>
        <w:tab/>
      </w:r>
      <w:r w:rsidR="00F97D23">
        <w:rPr>
          <w:rStyle w:val="default"/>
          <w:rFonts w:cs="FrankRuehl" w:hint="cs"/>
          <w:rtl/>
        </w:rPr>
        <w:t>הוגשה לבנק ישראל בקשת לקוח כאמור בסעיף 4, תטופל בקשתו בתוך יום עסקים אחד.</w:t>
      </w:r>
    </w:p>
    <w:p w:rsidR="00386EF5" w:rsidRDefault="00386EF5" w:rsidP="00386EF5">
      <w:pPr>
        <w:pStyle w:val="P00"/>
        <w:spacing w:before="72"/>
        <w:ind w:left="0" w:right="1134"/>
        <w:rPr>
          <w:rStyle w:val="default"/>
          <w:rFonts w:cs="FrankRuehl"/>
          <w:rtl/>
        </w:rPr>
      </w:pPr>
      <w:bookmarkStart w:id="10" w:name="Seif6"/>
      <w:bookmarkEnd w:id="10"/>
      <w:r>
        <w:rPr>
          <w:lang w:val="he-IL"/>
        </w:rPr>
        <w:pict>
          <v:rect id="_x0000_s1296" style="position:absolute;left:0;text-align:left;margin-left:464.5pt;margin-top:8.05pt;width:75.05pt;height:21.25pt;z-index:251653632" o:allowincell="f" filled="f" stroked="f" strokecolor="lime" strokeweight=".25pt">
            <v:textbox style="mso-next-textbox:#_x0000_s1296" inset="0,0,0,0">
              <w:txbxContent>
                <w:p w:rsidR="001B0E24" w:rsidRDefault="001B0E24" w:rsidP="00386EF5">
                  <w:pPr>
                    <w:spacing w:line="160" w:lineRule="exact"/>
                    <w:jc w:val="left"/>
                    <w:rPr>
                      <w:rFonts w:cs="Miriam" w:hint="cs"/>
                      <w:szCs w:val="18"/>
                      <w:rtl/>
                    </w:rPr>
                  </w:pPr>
                  <w:r>
                    <w:rPr>
                      <w:rFonts w:cs="Miriam" w:hint="cs"/>
                      <w:szCs w:val="18"/>
                      <w:rtl/>
                    </w:rPr>
                    <w:t>הודעת ביצוע ללקוח לגבי בקשתו</w:t>
                  </w:r>
                </w:p>
              </w:txbxContent>
            </v:textbox>
            <w10:anchorlock/>
          </v:rect>
        </w:pict>
      </w:r>
      <w:r w:rsidR="00992CEB">
        <w:rPr>
          <w:rStyle w:val="big-number"/>
          <w:rFonts w:hint="cs"/>
          <w:rtl/>
        </w:rPr>
        <w:t>6</w:t>
      </w:r>
      <w:r>
        <w:rPr>
          <w:rStyle w:val="default"/>
          <w:rFonts w:cs="FrankRuehl"/>
          <w:rtl/>
        </w:rPr>
        <w:t>.</w:t>
      </w:r>
      <w:r>
        <w:rPr>
          <w:rStyle w:val="default"/>
          <w:rFonts w:cs="FrankRuehl"/>
          <w:rtl/>
        </w:rPr>
        <w:tab/>
      </w:r>
      <w:r w:rsidR="00F97D23">
        <w:rPr>
          <w:rStyle w:val="default"/>
          <w:rFonts w:cs="FrankRuehl" w:hint="cs"/>
          <w:rtl/>
        </w:rPr>
        <w:t>בסיום הטיפול תישלח הודעת ביצוע ללקוח בכתב לגבי בקשתו, בדרך שבה בחר לקבל את ההודעה בפנייתו</w:t>
      </w:r>
      <w:r w:rsidR="00992CEB">
        <w:rPr>
          <w:rStyle w:val="default"/>
          <w:rFonts w:cs="FrankRuehl" w:hint="cs"/>
          <w:rtl/>
        </w:rPr>
        <w:t>.</w:t>
      </w:r>
    </w:p>
    <w:p w:rsidR="00F97D23" w:rsidRPr="00F97D23" w:rsidRDefault="00F97D23" w:rsidP="00F97D23">
      <w:pPr>
        <w:pStyle w:val="medium2-header"/>
        <w:keepLines w:val="0"/>
        <w:spacing w:before="72"/>
        <w:ind w:left="0" w:right="1134"/>
        <w:rPr>
          <w:noProof/>
          <w:rtl/>
        </w:rPr>
      </w:pPr>
      <w:bookmarkStart w:id="11" w:name="med4"/>
      <w:bookmarkEnd w:id="11"/>
      <w:r w:rsidRPr="00F97D23">
        <w:rPr>
          <w:rFonts w:hint="cs"/>
          <w:noProof/>
          <w:rtl/>
        </w:rPr>
        <w:t>פרק ה': בקשת לקוח שלא יימסרו נתוני אשראי לגביו מהמאגר וביטולה</w:t>
      </w:r>
    </w:p>
    <w:p w:rsidR="00386EF5" w:rsidRDefault="00386EF5" w:rsidP="00386EF5">
      <w:pPr>
        <w:pStyle w:val="P00"/>
        <w:spacing w:before="72"/>
        <w:ind w:left="0" w:right="1134"/>
        <w:rPr>
          <w:rStyle w:val="default"/>
          <w:rFonts w:cs="FrankRuehl"/>
          <w:rtl/>
        </w:rPr>
      </w:pPr>
      <w:bookmarkStart w:id="12" w:name="Seif7"/>
      <w:bookmarkEnd w:id="12"/>
      <w:r>
        <w:rPr>
          <w:lang w:val="he-IL"/>
        </w:rPr>
        <w:pict>
          <v:rect id="_x0000_s1297" style="position:absolute;left:0;text-align:left;margin-left:464.5pt;margin-top:8.05pt;width:75.05pt;height:19.7pt;z-index:251654656" o:allowincell="f" filled="f" stroked="f" strokecolor="lime" strokeweight=".25pt">
            <v:textbox style="mso-next-textbox:#_x0000_s1297" inset="0,0,0,0">
              <w:txbxContent>
                <w:p w:rsidR="001B0E24" w:rsidRDefault="001B0E24" w:rsidP="00386EF5">
                  <w:pPr>
                    <w:spacing w:line="160" w:lineRule="exact"/>
                    <w:jc w:val="left"/>
                    <w:rPr>
                      <w:rFonts w:cs="Miriam" w:hint="cs"/>
                      <w:szCs w:val="18"/>
                      <w:rtl/>
                    </w:rPr>
                  </w:pPr>
                  <w:r>
                    <w:rPr>
                      <w:rFonts w:cs="Miriam" w:hint="cs"/>
                      <w:szCs w:val="18"/>
                      <w:rtl/>
                    </w:rPr>
                    <w:t>אופן הגשת בקשת לקוח</w:t>
                  </w:r>
                </w:p>
              </w:txbxContent>
            </v:textbox>
            <w10:anchorlock/>
          </v:rect>
        </w:pict>
      </w:r>
      <w:r w:rsidR="00992CEB">
        <w:rPr>
          <w:rStyle w:val="big-number"/>
          <w:rFonts w:hint="cs"/>
          <w:rtl/>
        </w:rPr>
        <w:t>7</w:t>
      </w:r>
      <w:r>
        <w:rPr>
          <w:rStyle w:val="default"/>
          <w:rFonts w:cs="FrankRuehl"/>
          <w:rtl/>
        </w:rPr>
        <w:t>.</w:t>
      </w:r>
      <w:r>
        <w:rPr>
          <w:rStyle w:val="default"/>
          <w:rFonts w:cs="FrankRuehl"/>
          <w:rtl/>
        </w:rPr>
        <w:tab/>
      </w:r>
      <w:r w:rsidR="00F97D23">
        <w:rPr>
          <w:rStyle w:val="default"/>
          <w:rFonts w:cs="FrankRuehl" w:hint="cs"/>
          <w:rtl/>
        </w:rPr>
        <w:t>(א)</w:t>
      </w:r>
      <w:r w:rsidR="00F97D23">
        <w:rPr>
          <w:rStyle w:val="default"/>
          <w:rFonts w:cs="FrankRuehl"/>
          <w:rtl/>
        </w:rPr>
        <w:tab/>
      </w:r>
      <w:r w:rsidR="00F97D23">
        <w:rPr>
          <w:rStyle w:val="default"/>
          <w:rFonts w:cs="FrankRuehl" w:hint="cs"/>
          <w:rtl/>
        </w:rPr>
        <w:t>לקוח יפנה לבנק ישראל בבקשה לאי-מסירת נתוני אשראי לגביו, לשם עריכת דוח אשראי, או בבקשה לשינוי או ביטול בקשתו לאי מסירת נתוני אשראי לגביו, באחת מהדרכים האלה:</w:t>
      </w:r>
    </w:p>
    <w:p w:rsidR="00F97D23" w:rsidRDefault="00F97D23" w:rsidP="00F97D23">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בטופס מקוון באתר האינטרנט של בנק ישראל;</w:t>
      </w:r>
    </w:p>
    <w:p w:rsidR="00F97D23" w:rsidRDefault="00F97D23" w:rsidP="00F97D23">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דרך מוקד טלפוני מאויש של בנק ישראל; מספר הטלפון ושעות הפעילות של המוקד יהיו כפי שפרסם בנק ישראל באתר האינטרנט שלו.</w:t>
      </w:r>
    </w:p>
    <w:p w:rsidR="00F97D23" w:rsidRDefault="00F97D23" w:rsidP="00F97D23">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הפנייה תוכל להיעשות בשפה העברית או בשפה הערבית.</w:t>
      </w:r>
    </w:p>
    <w:p w:rsidR="00F97D23" w:rsidRDefault="00F97D23" w:rsidP="00F97D23">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לקוח הפונה לבנק ישראל בבקשה לאי-מסירת נתוני אשראי, שינוי או ביטול בקשה כאמור בסעיף קטן (א), יזוהה באחת הדרכים שנקבעו בתקנה 5(1) לתקנות נתוני אשראי בשינויים המחויבים.</w:t>
      </w:r>
    </w:p>
    <w:p w:rsidR="00F97D23" w:rsidRDefault="00F97D23" w:rsidP="00F97D23">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בקשה לפי סעיף קטן (א) יכול שתוגש לגבי נותן אשראי מסוים, לסוג מסוים של נותני אשראי או לכלל נותני האשראי לפי תקנה 16 לתקנות נתוני אשראי.</w:t>
      </w:r>
    </w:p>
    <w:p w:rsidR="00386EF5" w:rsidRDefault="00386EF5" w:rsidP="00386EF5">
      <w:pPr>
        <w:pStyle w:val="P00"/>
        <w:spacing w:before="72"/>
        <w:ind w:left="0" w:right="1134"/>
        <w:rPr>
          <w:rStyle w:val="default"/>
          <w:rFonts w:cs="FrankRuehl"/>
          <w:rtl/>
        </w:rPr>
      </w:pPr>
      <w:bookmarkStart w:id="13" w:name="Seif8"/>
      <w:bookmarkEnd w:id="13"/>
      <w:r>
        <w:rPr>
          <w:lang w:val="he-IL"/>
        </w:rPr>
        <w:pict>
          <v:rect id="_x0000_s1298" style="position:absolute;left:0;text-align:left;margin-left:464.5pt;margin-top:8.05pt;width:75.05pt;height:31.9pt;z-index:251655680" o:allowincell="f" filled="f" stroked="f" strokecolor="lime" strokeweight=".25pt">
            <v:textbox style="mso-next-textbox:#_x0000_s1298" inset="0,0,0,0">
              <w:txbxContent>
                <w:p w:rsidR="001B0E24" w:rsidRDefault="001B0E24" w:rsidP="00386EF5">
                  <w:pPr>
                    <w:spacing w:line="160" w:lineRule="exact"/>
                    <w:jc w:val="left"/>
                    <w:rPr>
                      <w:rFonts w:cs="Miriam" w:hint="cs"/>
                      <w:szCs w:val="18"/>
                      <w:rtl/>
                    </w:rPr>
                  </w:pPr>
                  <w:r>
                    <w:rPr>
                      <w:rFonts w:cs="Miriam" w:hint="cs"/>
                      <w:szCs w:val="18"/>
                      <w:rtl/>
                    </w:rPr>
                    <w:t xml:space="preserve">מועדים לטיפול בבקשת לקוח </w:t>
                  </w:r>
                  <w:r>
                    <w:rPr>
                      <w:rFonts w:cs="Miriam"/>
                      <w:szCs w:val="18"/>
                      <w:rtl/>
                    </w:rPr>
                    <w:br/>
                  </w:r>
                  <w:r>
                    <w:rPr>
                      <w:rFonts w:cs="Miriam" w:hint="cs"/>
                      <w:szCs w:val="18"/>
                      <w:rtl/>
                    </w:rPr>
                    <w:t>לאי-מסירת נתוני אשראי לגביו</w:t>
                  </w:r>
                </w:p>
              </w:txbxContent>
            </v:textbox>
            <w10:anchorlock/>
          </v:rect>
        </w:pict>
      </w:r>
      <w:r w:rsidR="00B9089A">
        <w:rPr>
          <w:rStyle w:val="big-number"/>
          <w:rFonts w:hint="cs"/>
          <w:rtl/>
        </w:rPr>
        <w:t>8</w:t>
      </w:r>
      <w:r>
        <w:rPr>
          <w:rStyle w:val="default"/>
          <w:rFonts w:cs="FrankRuehl"/>
          <w:rtl/>
        </w:rPr>
        <w:t>.</w:t>
      </w:r>
      <w:r>
        <w:rPr>
          <w:rStyle w:val="default"/>
          <w:rFonts w:cs="FrankRuehl"/>
          <w:rtl/>
        </w:rPr>
        <w:tab/>
      </w:r>
      <w:r w:rsidR="00F97D23">
        <w:rPr>
          <w:rStyle w:val="default"/>
          <w:rFonts w:cs="FrankRuehl" w:hint="cs"/>
          <w:rtl/>
        </w:rPr>
        <w:t>הוגשה לבנק ישראל בקשת לקוח כאמור בסעיף 7, תטופל בקשתו בתוך יום עסקים אחד</w:t>
      </w:r>
      <w:r w:rsidR="00B9089A">
        <w:rPr>
          <w:rStyle w:val="default"/>
          <w:rFonts w:cs="FrankRuehl" w:hint="cs"/>
          <w:rtl/>
        </w:rPr>
        <w:t>.</w:t>
      </w:r>
    </w:p>
    <w:p w:rsidR="00F97D23" w:rsidRDefault="00F97D23" w:rsidP="00386EF5">
      <w:pPr>
        <w:pStyle w:val="P00"/>
        <w:spacing w:before="72"/>
        <w:ind w:left="0" w:right="1134"/>
        <w:rPr>
          <w:rStyle w:val="default"/>
          <w:rFonts w:cs="FrankRuehl"/>
          <w:rtl/>
        </w:rPr>
      </w:pPr>
    </w:p>
    <w:p w:rsidR="00386EF5" w:rsidRDefault="00386EF5" w:rsidP="00386EF5">
      <w:pPr>
        <w:pStyle w:val="P00"/>
        <w:spacing w:before="72"/>
        <w:ind w:left="0" w:right="1134"/>
        <w:rPr>
          <w:rStyle w:val="default"/>
          <w:rFonts w:cs="FrankRuehl"/>
          <w:rtl/>
        </w:rPr>
      </w:pPr>
      <w:bookmarkStart w:id="14" w:name="Seif9"/>
      <w:bookmarkEnd w:id="14"/>
      <w:r>
        <w:rPr>
          <w:lang w:val="he-IL"/>
        </w:rPr>
        <w:pict>
          <v:rect id="_x0000_s1299" style="position:absolute;left:0;text-align:left;margin-left:464.5pt;margin-top:8.05pt;width:75.05pt;height:16.75pt;z-index:251656704" o:allowincell="f" filled="f" stroked="f" strokecolor="lime" strokeweight=".25pt">
            <v:textbox style="mso-next-textbox:#_x0000_s1299" inset="0,0,0,0">
              <w:txbxContent>
                <w:p w:rsidR="001B0E24" w:rsidRDefault="001B0E24" w:rsidP="00386EF5">
                  <w:pPr>
                    <w:spacing w:line="160" w:lineRule="exact"/>
                    <w:jc w:val="left"/>
                    <w:rPr>
                      <w:rFonts w:cs="Miriam" w:hint="cs"/>
                      <w:szCs w:val="18"/>
                      <w:rtl/>
                    </w:rPr>
                  </w:pPr>
                  <w:r>
                    <w:rPr>
                      <w:rFonts w:cs="Miriam" w:hint="cs"/>
                      <w:szCs w:val="18"/>
                      <w:rtl/>
                    </w:rPr>
                    <w:t>הודעת ביצוע ללקוח לגבי בקשתו</w:t>
                  </w:r>
                </w:p>
              </w:txbxContent>
            </v:textbox>
            <w10:anchorlock/>
          </v:rect>
        </w:pict>
      </w:r>
      <w:r w:rsidR="00B9089A">
        <w:rPr>
          <w:rStyle w:val="big-number"/>
          <w:rFonts w:hint="cs"/>
          <w:rtl/>
        </w:rPr>
        <w:t>9</w:t>
      </w:r>
      <w:r>
        <w:rPr>
          <w:rStyle w:val="default"/>
          <w:rFonts w:cs="FrankRuehl"/>
          <w:rtl/>
        </w:rPr>
        <w:t>.</w:t>
      </w:r>
      <w:r>
        <w:rPr>
          <w:rStyle w:val="default"/>
          <w:rFonts w:cs="FrankRuehl"/>
          <w:rtl/>
        </w:rPr>
        <w:tab/>
      </w:r>
      <w:r w:rsidR="00F97D23">
        <w:rPr>
          <w:rStyle w:val="default"/>
          <w:rFonts w:cs="FrankRuehl" w:hint="cs"/>
          <w:rtl/>
        </w:rPr>
        <w:t>בסיום הטיפול תישלח הודעת ביצוע ללקוח לגבי בקשתו, בדרך שבה בחר לקבל את ההודעה בפנייתו</w:t>
      </w:r>
      <w:r w:rsidR="00B9089A">
        <w:rPr>
          <w:rStyle w:val="default"/>
          <w:rFonts w:cs="FrankRuehl" w:hint="cs"/>
          <w:rtl/>
        </w:rPr>
        <w:t>.</w:t>
      </w:r>
    </w:p>
    <w:p w:rsidR="00F97D23" w:rsidRPr="008E7F61" w:rsidRDefault="00F97D23" w:rsidP="008E7F61">
      <w:pPr>
        <w:pStyle w:val="medium2-header"/>
        <w:keepLines w:val="0"/>
        <w:spacing w:before="72"/>
        <w:ind w:left="0" w:right="1134"/>
        <w:rPr>
          <w:noProof/>
          <w:rtl/>
        </w:rPr>
      </w:pPr>
      <w:bookmarkStart w:id="15" w:name="med5"/>
      <w:bookmarkEnd w:id="15"/>
      <w:r w:rsidRPr="008E7F61">
        <w:rPr>
          <w:rFonts w:hint="cs"/>
          <w:noProof/>
          <w:rtl/>
        </w:rPr>
        <w:t>פרק ו': בקשת נותן אשראי לקבל חיווי אשראי מלשכת אשראי</w:t>
      </w:r>
    </w:p>
    <w:p w:rsidR="00386EF5" w:rsidRDefault="00386EF5" w:rsidP="00386EF5">
      <w:pPr>
        <w:pStyle w:val="P00"/>
        <w:spacing w:before="72"/>
        <w:ind w:left="0" w:right="1134"/>
        <w:rPr>
          <w:rStyle w:val="default"/>
          <w:rFonts w:cs="FrankRuehl"/>
          <w:rtl/>
        </w:rPr>
      </w:pPr>
      <w:bookmarkStart w:id="16" w:name="Seif10"/>
      <w:bookmarkEnd w:id="16"/>
      <w:r>
        <w:rPr>
          <w:lang w:val="he-IL"/>
        </w:rPr>
        <w:pict>
          <v:rect id="_x0000_s1300" style="position:absolute;left:0;text-align:left;margin-left:464.5pt;margin-top:8.05pt;width:75.05pt;height:27.15pt;z-index:251657728" o:allowincell="f" filled="f" stroked="f" strokecolor="lime" strokeweight=".25pt">
            <v:textbox style="mso-next-textbox:#_x0000_s1300" inset="0,0,0,0">
              <w:txbxContent>
                <w:p w:rsidR="001B0E24" w:rsidRDefault="001B0E24" w:rsidP="00386EF5">
                  <w:pPr>
                    <w:spacing w:line="160" w:lineRule="exact"/>
                    <w:jc w:val="left"/>
                    <w:rPr>
                      <w:rFonts w:cs="Miriam" w:hint="cs"/>
                      <w:szCs w:val="18"/>
                      <w:rtl/>
                    </w:rPr>
                  </w:pPr>
                  <w:r>
                    <w:rPr>
                      <w:rFonts w:cs="Miriam" w:hint="cs"/>
                      <w:szCs w:val="18"/>
                      <w:rtl/>
                    </w:rPr>
                    <w:t>דרך יידוע הלקוח מראש ובאופן מפורש על כוונה לקבל חיווי</w:t>
                  </w:r>
                </w:p>
              </w:txbxContent>
            </v:textbox>
            <w10:anchorlock/>
          </v:rect>
        </w:pict>
      </w:r>
      <w:r>
        <w:rPr>
          <w:rStyle w:val="big-number"/>
          <w:rFonts w:hint="cs"/>
          <w:rtl/>
        </w:rPr>
        <w:t>10</w:t>
      </w:r>
      <w:r>
        <w:rPr>
          <w:rStyle w:val="default"/>
          <w:rFonts w:cs="FrankRuehl"/>
          <w:rtl/>
        </w:rPr>
        <w:t>.</w:t>
      </w:r>
      <w:r>
        <w:rPr>
          <w:rStyle w:val="default"/>
          <w:rFonts w:cs="FrankRuehl"/>
          <w:rtl/>
        </w:rPr>
        <w:tab/>
      </w:r>
      <w:r w:rsidR="008E7F61">
        <w:rPr>
          <w:rStyle w:val="default"/>
          <w:rFonts w:cs="FrankRuehl" w:hint="cs"/>
          <w:rtl/>
        </w:rPr>
        <w:t>(א)</w:t>
      </w:r>
      <w:r w:rsidR="008E7F61">
        <w:rPr>
          <w:rStyle w:val="default"/>
          <w:rFonts w:cs="FrankRuehl"/>
          <w:rtl/>
        </w:rPr>
        <w:tab/>
      </w:r>
      <w:r w:rsidR="0062178A">
        <w:rPr>
          <w:rStyle w:val="default"/>
          <w:rFonts w:cs="FrankRuehl" w:hint="cs"/>
          <w:rtl/>
        </w:rPr>
        <w:t xml:space="preserve">נותן אשראי המעוניין לקבל חיווי מלשכת אשראי, בשאלה אם להתקשר עם הלקוח בעסקת אשראי לפי סימן ג' בפרק ז' לחוק, יודיע ללקוח בעל פה, אם הדבר אפשרי בנסיבות העניין, וכן יציג הודעה באשר לכוונתו לעשות כן באזור התשלום או על גבי טופס מתן השירות ללקוח, באופן שנראה לעין ובאותיות ברורות וקריאות, בשפה העברית ובשפה הערבית; </w:t>
      </w:r>
      <w:r w:rsidR="00482B63">
        <w:rPr>
          <w:rStyle w:val="default"/>
          <w:rFonts w:cs="FrankRuehl" w:hint="cs"/>
          <w:rtl/>
        </w:rPr>
        <w:t>הודעה כאמור תכלול גם הסבר לכך שלשם קבלת החיווי לשכת האשראי תגיש לבנק ישראל בקשה לקבלת נתוני האשראי לגביו הכלולים במאגר.</w:t>
      </w:r>
    </w:p>
    <w:p w:rsidR="00482B63" w:rsidRDefault="00482B63" w:rsidP="00386EF5">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בהודעה לפי סעיף קטן (א) יפורטו המקרים שבהם יפנה נותן האשראי ללשכה לקבלת החיווי; נותן אשראי המאפשר ביצוע של בדיקת חיווי לגבי לקוח לפני הגעתו לאזור התשלום </w:t>
      </w:r>
      <w:r>
        <w:rPr>
          <w:rStyle w:val="default"/>
          <w:rFonts w:cs="FrankRuehl"/>
          <w:rtl/>
        </w:rPr>
        <w:t>–</w:t>
      </w:r>
      <w:r>
        <w:rPr>
          <w:rStyle w:val="default"/>
          <w:rFonts w:cs="FrankRuehl" w:hint="cs"/>
          <w:rtl/>
        </w:rPr>
        <w:t xml:space="preserve"> יודיע על כך בהודעה האמורה.</w:t>
      </w:r>
    </w:p>
    <w:p w:rsidR="00482B63" w:rsidRDefault="00482B63" w:rsidP="00386EF5">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בראש ההודעה לפי סעיף קטן (א) תופיע כותרת שנוסחה יהיה: "הודעה בנוגע לקבלת חיווי אשראי".</w:t>
      </w:r>
    </w:p>
    <w:p w:rsidR="00482B63" w:rsidRPr="00482B63" w:rsidRDefault="00482B63" w:rsidP="00482B63">
      <w:pPr>
        <w:pStyle w:val="medium2-header"/>
        <w:keepLines w:val="0"/>
        <w:spacing w:before="72"/>
        <w:ind w:left="0" w:right="1134"/>
        <w:rPr>
          <w:noProof/>
          <w:rtl/>
        </w:rPr>
      </w:pPr>
      <w:bookmarkStart w:id="17" w:name="med6"/>
      <w:bookmarkEnd w:id="17"/>
      <w:r w:rsidRPr="00482B63">
        <w:rPr>
          <w:rFonts w:hint="cs"/>
          <w:noProof/>
          <w:rtl/>
        </w:rPr>
        <w:t>פרק ז': הוראות לגבי מיופה כוח בתמורה</w:t>
      </w:r>
    </w:p>
    <w:p w:rsidR="00386EF5" w:rsidRDefault="00386EF5" w:rsidP="00386EF5">
      <w:pPr>
        <w:pStyle w:val="P00"/>
        <w:spacing w:before="72"/>
        <w:ind w:left="0" w:right="1134"/>
        <w:rPr>
          <w:rStyle w:val="default"/>
          <w:rFonts w:cs="FrankRuehl"/>
          <w:rtl/>
        </w:rPr>
      </w:pPr>
      <w:bookmarkStart w:id="18" w:name="Seif11"/>
      <w:bookmarkEnd w:id="18"/>
      <w:r>
        <w:rPr>
          <w:lang w:val="he-IL"/>
        </w:rPr>
        <w:pict>
          <v:rect id="_x0000_s1301" style="position:absolute;left:0;text-align:left;margin-left:459.5pt;margin-top:8.05pt;width:80.05pt;height:41.8pt;z-index:251658752" o:allowincell="f" filled="f" stroked="f" strokecolor="lime" strokeweight=".25pt">
            <v:textbox style="mso-next-textbox:#_x0000_s1301" inset="0,0,0,0">
              <w:txbxContent>
                <w:p w:rsidR="001B0E24" w:rsidRDefault="001B0E24" w:rsidP="00386EF5">
                  <w:pPr>
                    <w:spacing w:line="160" w:lineRule="exact"/>
                    <w:jc w:val="left"/>
                    <w:rPr>
                      <w:rFonts w:cs="Miriam" w:hint="cs"/>
                      <w:szCs w:val="18"/>
                      <w:rtl/>
                    </w:rPr>
                  </w:pPr>
                  <w:r>
                    <w:rPr>
                      <w:rFonts w:cs="Miriam" w:hint="cs"/>
                      <w:szCs w:val="18"/>
                      <w:rtl/>
                    </w:rPr>
                    <w:t>תנאים שעל מיופה כוח בתמורה לעמוד בהם לשם קבלת דוח ריכוז נתונים רגיל לגבי לקוח מלשכת אשראי</w:t>
                  </w:r>
                </w:p>
              </w:txbxContent>
            </v:textbox>
            <w10:anchorlock/>
          </v:rect>
        </w:pict>
      </w:r>
      <w:r>
        <w:rPr>
          <w:rStyle w:val="big-number"/>
          <w:rFonts w:hint="cs"/>
          <w:rtl/>
        </w:rPr>
        <w:t>1</w:t>
      </w:r>
      <w:r w:rsidR="00322940">
        <w:rPr>
          <w:rStyle w:val="big-number"/>
          <w:rFonts w:hint="cs"/>
          <w:rtl/>
        </w:rPr>
        <w:t>1</w:t>
      </w:r>
      <w:r>
        <w:rPr>
          <w:rStyle w:val="default"/>
          <w:rFonts w:cs="FrankRuehl"/>
          <w:rtl/>
        </w:rPr>
        <w:t>.</w:t>
      </w:r>
      <w:r>
        <w:rPr>
          <w:rStyle w:val="default"/>
          <w:rFonts w:cs="FrankRuehl"/>
          <w:rtl/>
        </w:rPr>
        <w:tab/>
      </w:r>
      <w:r w:rsidR="00871F02">
        <w:rPr>
          <w:rStyle w:val="default"/>
          <w:rFonts w:cs="FrankRuehl" w:hint="cs"/>
          <w:rtl/>
        </w:rPr>
        <w:t>(א)</w:t>
      </w:r>
      <w:r w:rsidR="00871F02">
        <w:rPr>
          <w:rStyle w:val="default"/>
          <w:rFonts w:cs="FrankRuehl"/>
          <w:rtl/>
        </w:rPr>
        <w:tab/>
      </w:r>
      <w:r w:rsidR="007479C4">
        <w:rPr>
          <w:rStyle w:val="default"/>
          <w:rFonts w:cs="FrankRuehl" w:hint="cs"/>
          <w:rtl/>
        </w:rPr>
        <w:t>יחיד המבקש לקבל דוח ריכוז נתונים רגיל לגבי הלקוח בשל היותו מיופה כוח בתמורה יעמוד בתנאים האלה:</w:t>
      </w:r>
    </w:p>
    <w:p w:rsidR="007479C4" w:rsidRDefault="007479C4" w:rsidP="007479C4">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בגיר;</w:t>
      </w:r>
    </w:p>
    <w:p w:rsidR="007479C4" w:rsidRDefault="007479C4" w:rsidP="007479C4">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אזרח ישראל או תושב ישראל;</w:t>
      </w:r>
    </w:p>
    <w:p w:rsidR="007479C4" w:rsidRDefault="007479C4" w:rsidP="007479C4">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לא הורשע בישראל בעבירה שמפאת מהותה, חומרתה או נסיבותיה, אינו ראוי, לדעת הממונה, לפעול כמיופה כוח בתמורה.</w:t>
      </w:r>
    </w:p>
    <w:p w:rsidR="007479C4" w:rsidRDefault="007479C4" w:rsidP="00386EF5">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תאגיד המבקש לקבל דוח ריכוז נתונים רגיל לגבי הלקוח בשל היותו מיופה כוח בתמורה יעמוד בתנאים האלה:</w:t>
      </w:r>
    </w:p>
    <w:p w:rsidR="007479C4" w:rsidRDefault="007479C4" w:rsidP="00440062">
      <w:pPr>
        <w:pStyle w:val="P00"/>
        <w:spacing w:before="72"/>
        <w:ind w:left="1021" w:right="1134"/>
        <w:rPr>
          <w:rStyle w:val="default"/>
          <w:rFonts w:cs="FrankRuehl"/>
          <w:rtl/>
        </w:rPr>
      </w:pPr>
      <w:r>
        <w:rPr>
          <w:rStyle w:val="default"/>
          <w:rFonts w:cs="FrankRuehl" w:hint="cs"/>
          <w:rtl/>
        </w:rPr>
        <w:t>(1)</w:t>
      </w:r>
      <w:r>
        <w:rPr>
          <w:rStyle w:val="default"/>
          <w:rFonts w:cs="FrankRuehl"/>
          <w:rtl/>
        </w:rPr>
        <w:tab/>
      </w:r>
      <w:r w:rsidR="00440062">
        <w:rPr>
          <w:rStyle w:val="default"/>
          <w:rFonts w:cs="FrankRuehl" w:hint="cs"/>
          <w:rtl/>
        </w:rPr>
        <w:t>נרשם בישראל;</w:t>
      </w:r>
    </w:p>
    <w:p w:rsidR="00440062" w:rsidRDefault="00440062" w:rsidP="00440062">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התאגיד, בעל השליטה בו או נושא המשרה בו לא הורשעו בישראל בעבירה שמפאת מהותה, חומרתה או נסיבותיה, אינו ראוי, לדעת הממונה, לפעול כמיופה כוח בתמורה.</w:t>
      </w:r>
    </w:p>
    <w:p w:rsidR="00440062" w:rsidRDefault="00440062" w:rsidP="00386EF5">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 xml:space="preserve">הממונה רשאי לסרב </w:t>
      </w:r>
      <w:r w:rsidR="001B0E24">
        <w:rPr>
          <w:rStyle w:val="default"/>
          <w:rFonts w:cs="FrankRuehl" w:hint="cs"/>
          <w:rtl/>
        </w:rPr>
        <w:t>לבקשת מיופה כוח בתמורה לקבל דוח ריכוז נתונים רגיל לגבי הלקוח, אם מתקיים אחד מאלה:</w:t>
      </w:r>
    </w:p>
    <w:p w:rsidR="001B0E24" w:rsidRDefault="001B0E24" w:rsidP="001B55B9">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המבקש הוכרז פושט רגל, ואם הוא תאגיד </w:t>
      </w:r>
      <w:r>
        <w:rPr>
          <w:rStyle w:val="default"/>
          <w:rFonts w:cs="FrankRuehl"/>
          <w:rtl/>
        </w:rPr>
        <w:t>–</w:t>
      </w:r>
      <w:r>
        <w:rPr>
          <w:rStyle w:val="default"/>
          <w:rFonts w:cs="FrankRuehl" w:hint="cs"/>
          <w:rtl/>
        </w:rPr>
        <w:t xml:space="preserve"> החליט על פירוק מרצון, או שבית המשפט ציווה על הקפאת הליכים, מינה לו כונס נכסים או ציווה על פירוקו;</w:t>
      </w:r>
    </w:p>
    <w:p w:rsidR="001B0E24" w:rsidRDefault="001B0E24" w:rsidP="001B55B9">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הוגש נגדו כתב אישום בשל עבירה כאמור בסעיף קטן (א)(3) או בסעיף קטן (ב)(2) וטרם ניתן פסק דין סופי בעניינו או מתנהלת נגדו חקירה פלילית בשל חשד לביצוע עבירה כאמור;</w:t>
      </w:r>
    </w:p>
    <w:p w:rsidR="001B0E24" w:rsidRDefault="001B0E24" w:rsidP="001B55B9">
      <w:pPr>
        <w:pStyle w:val="P00"/>
        <w:spacing w:before="72"/>
        <w:ind w:left="1021" w:right="1134"/>
        <w:rPr>
          <w:rStyle w:val="default"/>
          <w:rFonts w:cs="FrankRuehl"/>
          <w:rtl/>
        </w:rPr>
      </w:pPr>
      <w:r>
        <w:rPr>
          <w:rStyle w:val="default"/>
          <w:rFonts w:cs="FrankRuehl" w:hint="cs"/>
          <w:rtl/>
        </w:rPr>
        <w:t>(3)</w:t>
      </w:r>
      <w:r>
        <w:rPr>
          <w:rStyle w:val="default"/>
          <w:rFonts w:cs="FrankRuehl"/>
          <w:rtl/>
        </w:rPr>
        <w:tab/>
      </w:r>
      <w:r w:rsidR="001B55B9">
        <w:rPr>
          <w:rStyle w:val="default"/>
          <w:rFonts w:cs="FrankRuehl" w:hint="cs"/>
          <w:rtl/>
        </w:rPr>
        <w:t xml:space="preserve">קיימות נסיבות, שבשלהן סבר הממונה שאין הוא ראוי לשמש מיופה כוח בתמורה, ואם הוא תאגיד </w:t>
      </w:r>
      <w:r w:rsidR="001B55B9">
        <w:rPr>
          <w:rStyle w:val="default"/>
          <w:rFonts w:cs="FrankRuehl"/>
          <w:rtl/>
        </w:rPr>
        <w:t>–</w:t>
      </w:r>
      <w:r w:rsidR="001B55B9">
        <w:rPr>
          <w:rStyle w:val="default"/>
          <w:rFonts w:cs="FrankRuehl" w:hint="cs"/>
          <w:rtl/>
        </w:rPr>
        <w:t xml:space="preserve"> קיימות נסיבות כאמור הנוגעות לנושא המשרה בו או למי ששולט בו.</w:t>
      </w:r>
    </w:p>
    <w:p w:rsidR="00871F02" w:rsidRDefault="00871F02" w:rsidP="00386EF5">
      <w:pPr>
        <w:pStyle w:val="P00"/>
        <w:spacing w:before="72"/>
        <w:ind w:left="0" w:right="1134"/>
        <w:rPr>
          <w:rStyle w:val="default"/>
          <w:rFonts w:cs="FrankRuehl"/>
          <w:rtl/>
        </w:rPr>
      </w:pPr>
      <w:r>
        <w:rPr>
          <w:rStyle w:val="default"/>
          <w:rFonts w:cs="FrankRuehl"/>
          <w:rtl/>
        </w:rPr>
        <w:tab/>
      </w:r>
      <w:r>
        <w:rPr>
          <w:rStyle w:val="default"/>
          <w:rFonts w:cs="FrankRuehl" w:hint="cs"/>
          <w:rtl/>
        </w:rPr>
        <w:t>(</w:t>
      </w:r>
      <w:r w:rsidR="001B55B9">
        <w:rPr>
          <w:rStyle w:val="default"/>
          <w:rFonts w:cs="FrankRuehl" w:hint="cs"/>
          <w:rtl/>
        </w:rPr>
        <w:t>ד)</w:t>
      </w:r>
      <w:r w:rsidR="001B55B9">
        <w:rPr>
          <w:rStyle w:val="default"/>
          <w:rFonts w:cs="FrankRuehl"/>
          <w:rtl/>
        </w:rPr>
        <w:tab/>
      </w:r>
      <w:r w:rsidR="001B55B9">
        <w:rPr>
          <w:rStyle w:val="default"/>
          <w:rFonts w:cs="FrankRuehl" w:hint="cs"/>
          <w:rtl/>
        </w:rPr>
        <w:t xml:space="preserve">בסעיף זה, "נושא משרה" </w:t>
      </w:r>
      <w:r w:rsidR="001B55B9">
        <w:rPr>
          <w:rStyle w:val="default"/>
          <w:rFonts w:cs="FrankRuehl"/>
          <w:rtl/>
        </w:rPr>
        <w:t>–</w:t>
      </w:r>
      <w:r w:rsidR="001B55B9">
        <w:rPr>
          <w:rStyle w:val="default"/>
          <w:rFonts w:cs="FrankRuehl" w:hint="cs"/>
          <w:rtl/>
        </w:rPr>
        <w:t xml:space="preserve"> למעט דירקטור</w:t>
      </w:r>
      <w:r w:rsidR="00070495">
        <w:rPr>
          <w:rStyle w:val="default"/>
          <w:rFonts w:cs="FrankRuehl" w:hint="cs"/>
          <w:rtl/>
        </w:rPr>
        <w:t>.</w:t>
      </w:r>
    </w:p>
    <w:p w:rsidR="00386EF5" w:rsidRDefault="00386EF5" w:rsidP="00386EF5">
      <w:pPr>
        <w:pStyle w:val="P00"/>
        <w:spacing w:before="72"/>
        <w:ind w:left="0" w:right="1134"/>
        <w:rPr>
          <w:rStyle w:val="default"/>
          <w:rFonts w:cs="FrankRuehl"/>
          <w:rtl/>
        </w:rPr>
      </w:pPr>
      <w:bookmarkStart w:id="19" w:name="Seif12"/>
      <w:bookmarkEnd w:id="19"/>
      <w:r>
        <w:rPr>
          <w:lang w:val="he-IL"/>
        </w:rPr>
        <w:pict>
          <v:rect id="_x0000_s1302" style="position:absolute;left:0;text-align:left;margin-left:464.5pt;margin-top:8.05pt;width:75.05pt;height:27.6pt;z-index:251659776" o:allowincell="f" filled="f" stroked="f" strokecolor="lime" strokeweight=".25pt">
            <v:textbox style="mso-next-textbox:#_x0000_s1302" inset="0,0,0,0">
              <w:txbxContent>
                <w:p w:rsidR="001B0E24" w:rsidRDefault="001B55B9" w:rsidP="00386EF5">
                  <w:pPr>
                    <w:spacing w:line="160" w:lineRule="exact"/>
                    <w:jc w:val="left"/>
                    <w:rPr>
                      <w:rFonts w:cs="Miriam" w:hint="cs"/>
                      <w:szCs w:val="18"/>
                      <w:rtl/>
                    </w:rPr>
                  </w:pPr>
                  <w:r>
                    <w:rPr>
                      <w:rFonts w:cs="Miriam" w:hint="cs"/>
                      <w:szCs w:val="18"/>
                      <w:rtl/>
                    </w:rPr>
                    <w:t>סוגי מיופה כוח בתמורה לגביהם ינהל הממונה מרשם</w:t>
                  </w:r>
                </w:p>
              </w:txbxContent>
            </v:textbox>
            <w10:anchorlock/>
          </v:rect>
        </w:pict>
      </w:r>
      <w:r>
        <w:rPr>
          <w:rStyle w:val="big-number"/>
          <w:rFonts w:hint="cs"/>
          <w:rtl/>
        </w:rPr>
        <w:t>1</w:t>
      </w:r>
      <w:r w:rsidR="00070495">
        <w:rPr>
          <w:rStyle w:val="big-number"/>
          <w:rFonts w:hint="cs"/>
          <w:rtl/>
        </w:rPr>
        <w:t>2</w:t>
      </w:r>
      <w:r>
        <w:rPr>
          <w:rStyle w:val="default"/>
          <w:rFonts w:cs="FrankRuehl"/>
          <w:rtl/>
        </w:rPr>
        <w:t>.</w:t>
      </w:r>
      <w:r>
        <w:rPr>
          <w:rStyle w:val="default"/>
          <w:rFonts w:cs="FrankRuehl"/>
          <w:rtl/>
        </w:rPr>
        <w:tab/>
      </w:r>
      <w:r w:rsidR="001B55B9">
        <w:rPr>
          <w:rStyle w:val="default"/>
          <w:rFonts w:cs="FrankRuehl" w:hint="cs"/>
          <w:rtl/>
        </w:rPr>
        <w:t>הממונה ינהל מרשם לכל מיופי הכוח בתמורה שעומדים בתנאים שנקבעו בסעיף 11</w:t>
      </w:r>
      <w:r w:rsidR="002D5811">
        <w:rPr>
          <w:rStyle w:val="default"/>
          <w:rFonts w:cs="FrankRuehl" w:hint="cs"/>
          <w:rtl/>
        </w:rPr>
        <w:t>.</w:t>
      </w:r>
    </w:p>
    <w:p w:rsidR="001B55B9" w:rsidRDefault="001B55B9" w:rsidP="00386EF5">
      <w:pPr>
        <w:pStyle w:val="P00"/>
        <w:spacing w:before="72"/>
        <w:ind w:left="0" w:right="1134"/>
        <w:rPr>
          <w:rStyle w:val="default"/>
          <w:rFonts w:cs="FrankRuehl"/>
          <w:rtl/>
        </w:rPr>
      </w:pPr>
    </w:p>
    <w:p w:rsidR="00386EF5" w:rsidRDefault="00386EF5" w:rsidP="00386EF5">
      <w:pPr>
        <w:pStyle w:val="P00"/>
        <w:spacing w:before="72"/>
        <w:ind w:left="0" w:right="1134"/>
        <w:rPr>
          <w:rStyle w:val="default"/>
          <w:rFonts w:cs="FrankRuehl"/>
          <w:rtl/>
        </w:rPr>
      </w:pPr>
      <w:bookmarkStart w:id="20" w:name="Seif13"/>
      <w:bookmarkEnd w:id="20"/>
      <w:r>
        <w:rPr>
          <w:lang w:val="he-IL"/>
        </w:rPr>
        <w:pict>
          <v:rect id="_x0000_s1303" style="position:absolute;left:0;text-align:left;margin-left:464.5pt;margin-top:8.05pt;width:75.05pt;height:34.35pt;z-index:251660800" o:allowincell="f" filled="f" stroked="f" strokecolor="lime" strokeweight=".25pt">
            <v:textbox style="mso-next-textbox:#_x0000_s1303" inset="0,0,0,0">
              <w:txbxContent>
                <w:p w:rsidR="001B0E24" w:rsidRDefault="001B55B9" w:rsidP="00386EF5">
                  <w:pPr>
                    <w:spacing w:line="160" w:lineRule="exact"/>
                    <w:jc w:val="left"/>
                    <w:rPr>
                      <w:rFonts w:cs="Miriam" w:hint="cs"/>
                      <w:szCs w:val="18"/>
                      <w:rtl/>
                    </w:rPr>
                  </w:pPr>
                  <w:r>
                    <w:rPr>
                      <w:rFonts w:cs="Miriam" w:hint="cs"/>
                      <w:szCs w:val="18"/>
                      <w:rtl/>
                    </w:rPr>
                    <w:t>שימושים שמיופה כוח בתמורה רשאי לעשות במידע שבדוח ריכוז נתונים רגיל</w:t>
                  </w:r>
                </w:p>
              </w:txbxContent>
            </v:textbox>
            <w10:anchorlock/>
          </v:rect>
        </w:pict>
      </w:r>
      <w:r>
        <w:rPr>
          <w:rStyle w:val="big-number"/>
          <w:rFonts w:hint="cs"/>
          <w:rtl/>
        </w:rPr>
        <w:t>1</w:t>
      </w:r>
      <w:r w:rsidR="002D5811">
        <w:rPr>
          <w:rStyle w:val="big-number"/>
          <w:rFonts w:hint="cs"/>
          <w:rtl/>
        </w:rPr>
        <w:t>3</w:t>
      </w:r>
      <w:r>
        <w:rPr>
          <w:rStyle w:val="default"/>
          <w:rFonts w:cs="FrankRuehl"/>
          <w:rtl/>
        </w:rPr>
        <w:t>.</w:t>
      </w:r>
      <w:r>
        <w:rPr>
          <w:rStyle w:val="default"/>
          <w:rFonts w:cs="FrankRuehl"/>
          <w:rtl/>
        </w:rPr>
        <w:tab/>
      </w:r>
      <w:r w:rsidR="001B55B9">
        <w:rPr>
          <w:rStyle w:val="default"/>
          <w:rFonts w:cs="FrankRuehl" w:hint="cs"/>
          <w:rtl/>
        </w:rPr>
        <w:t>(א)</w:t>
      </w:r>
      <w:r w:rsidR="001B55B9">
        <w:rPr>
          <w:rStyle w:val="default"/>
          <w:rFonts w:cs="FrankRuehl"/>
          <w:rtl/>
        </w:rPr>
        <w:tab/>
      </w:r>
      <w:r w:rsidR="001B55B9">
        <w:rPr>
          <w:rStyle w:val="default"/>
          <w:rFonts w:cs="FrankRuehl" w:hint="cs"/>
          <w:rtl/>
        </w:rPr>
        <w:t xml:space="preserve">מיופה </w:t>
      </w:r>
      <w:r w:rsidR="000C5361">
        <w:rPr>
          <w:rStyle w:val="default"/>
          <w:rFonts w:cs="FrankRuehl" w:hint="cs"/>
          <w:rtl/>
        </w:rPr>
        <w:t>כוח בתמורה לא ימסור לגורם כלשהו נתוני אשראי על הלקוח או מידע אחר שמסר לו הלקוח לצורך שירותי הייעוץ וכן לא ימסור את תוצאות ומסקנות הייעוץ שנתן ללקוח, אלא אם כן הלקוח ביקש ממנו לעשות כן באופן מפורש ובכתב ונקב בבקשה בשם הגורם שלו הוא מבקש למסור נתוני אשראי או מידע אחר כאמור</w:t>
      </w:r>
      <w:r w:rsidR="00ED158A">
        <w:rPr>
          <w:rStyle w:val="default"/>
          <w:rFonts w:cs="FrankRuehl" w:hint="cs"/>
          <w:rtl/>
        </w:rPr>
        <w:t>.</w:t>
      </w:r>
    </w:p>
    <w:p w:rsidR="000C5361" w:rsidRDefault="000C5361" w:rsidP="00386EF5">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sidR="007675AC">
        <w:rPr>
          <w:rStyle w:val="default"/>
          <w:rFonts w:cs="FrankRuehl" w:hint="cs"/>
          <w:rtl/>
        </w:rPr>
        <w:t>במתן שירותי ייעוץ פיננסי ללקוח בתחום האשראי לפי תקנה 6 לתקנות נתוני אשראי רשאי מיופה כוח בתמורה להשתמש בדוח ריכוז הנתונים הרגיל של הלקוח לכל אחד מאלה:</w:t>
      </w:r>
    </w:p>
    <w:p w:rsidR="007675AC" w:rsidRDefault="007675AC" w:rsidP="005D75B5">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ייעוץ בדבר סבירות תנאי האשראי שקיבל מנותני אשראי שונים;</w:t>
      </w:r>
    </w:p>
    <w:p w:rsidR="007675AC" w:rsidRDefault="007675AC" w:rsidP="005D75B5">
      <w:pPr>
        <w:pStyle w:val="P00"/>
        <w:spacing w:before="72"/>
        <w:ind w:left="1021" w:right="1134"/>
        <w:rPr>
          <w:rStyle w:val="default"/>
          <w:rFonts w:cs="FrankRuehl"/>
          <w:rtl/>
        </w:rPr>
      </w:pPr>
      <w:r>
        <w:rPr>
          <w:rStyle w:val="default"/>
          <w:rFonts w:cs="FrankRuehl" w:hint="cs"/>
          <w:rtl/>
        </w:rPr>
        <w:t>(2)</w:t>
      </w:r>
      <w:r>
        <w:rPr>
          <w:rStyle w:val="default"/>
          <w:rFonts w:cs="FrankRuehl"/>
          <w:rtl/>
        </w:rPr>
        <w:tab/>
      </w:r>
      <w:r w:rsidR="005D75B5">
        <w:rPr>
          <w:rStyle w:val="default"/>
          <w:rFonts w:cs="FrankRuehl" w:hint="cs"/>
          <w:rtl/>
        </w:rPr>
        <w:t>הצגת תנאי אשראי רצויים או עדיפים ללקוח לעומת תנאי האשראי שקיבל או שעשוי הלקוח לקבל;</w:t>
      </w:r>
    </w:p>
    <w:p w:rsidR="005D75B5" w:rsidRDefault="005D75B5" w:rsidP="005D75B5">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ייעוץ בדבר דירוג האשראי של הלקוח וכיצד ניתן לשפרו;</w:t>
      </w:r>
    </w:p>
    <w:p w:rsidR="005D75B5" w:rsidRDefault="005D75B5" w:rsidP="005D75B5">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הצגת הצעות אשראי של מלווים שונים בכפוף להסכמה מפורשת של הלקוח לקבלתם ובתנאי שהן נוגעות לאשראי קיים או לאשראי שהלקוח ביקש לקבל לצרכיו.</w:t>
      </w:r>
    </w:p>
    <w:p w:rsidR="000B2C41" w:rsidRDefault="000B2C41" w:rsidP="000B2C41">
      <w:pPr>
        <w:pStyle w:val="medium2-header"/>
        <w:keepLines w:val="0"/>
        <w:spacing w:before="72"/>
        <w:ind w:left="0" w:right="1134"/>
        <w:rPr>
          <w:rFonts w:hint="cs"/>
          <w:noProof/>
          <w:rtl/>
        </w:rPr>
      </w:pPr>
      <w:bookmarkStart w:id="21" w:name="med7"/>
      <w:bookmarkEnd w:id="21"/>
      <w:r>
        <w:rPr>
          <w:noProof/>
          <w:rtl/>
          <w:lang w:eastAsia="en-US"/>
        </w:rPr>
        <w:pict>
          <v:shape id="_x0000_s1304" type="#_x0000_t202" style="position:absolute;left:0;text-align:left;margin-left:466.6pt;margin-top:7.1pt;width:75.75pt;height:11.95pt;z-index:251661824" filled="f" stroked="f">
            <v:textbox inset="1mm,0,1mm,0">
              <w:txbxContent>
                <w:p w:rsidR="000B2C41" w:rsidRDefault="000B2C41" w:rsidP="000B2C41">
                  <w:pPr>
                    <w:spacing w:line="160" w:lineRule="exact"/>
                    <w:jc w:val="left"/>
                    <w:rPr>
                      <w:rFonts w:cs="Miriam"/>
                      <w:noProof/>
                      <w:sz w:val="18"/>
                      <w:szCs w:val="18"/>
                      <w:rtl/>
                    </w:rPr>
                  </w:pPr>
                  <w:r>
                    <w:rPr>
                      <w:rFonts w:cs="Miriam" w:hint="cs"/>
                      <w:sz w:val="18"/>
                      <w:szCs w:val="18"/>
                      <w:rtl/>
                    </w:rPr>
                    <w:t>כללים תשע"ח-2018</w:t>
                  </w:r>
                </w:p>
              </w:txbxContent>
            </v:textbox>
          </v:shape>
        </w:pict>
      </w:r>
      <w:r>
        <w:rPr>
          <w:noProof/>
          <w:rtl/>
        </w:rPr>
        <w:t>פר</w:t>
      </w:r>
      <w:r>
        <w:rPr>
          <w:rFonts w:hint="cs"/>
          <w:noProof/>
          <w:rtl/>
        </w:rPr>
        <w:t>ק ח': הודעות</w:t>
      </w:r>
    </w:p>
    <w:p w:rsidR="000B2C41" w:rsidRPr="00C332C7" w:rsidRDefault="000B2C41" w:rsidP="000B2C41">
      <w:pPr>
        <w:pStyle w:val="P00"/>
        <w:spacing w:before="0"/>
        <w:ind w:left="0" w:right="1134"/>
        <w:rPr>
          <w:rStyle w:val="default"/>
          <w:rFonts w:cs="FrankRuehl"/>
          <w:vanish/>
          <w:color w:val="FF0000"/>
          <w:szCs w:val="20"/>
          <w:shd w:val="clear" w:color="auto" w:fill="FFFF99"/>
          <w:rtl/>
        </w:rPr>
      </w:pPr>
      <w:bookmarkStart w:id="22" w:name="Rov22"/>
      <w:r w:rsidRPr="00C332C7">
        <w:rPr>
          <w:rStyle w:val="default"/>
          <w:rFonts w:cs="FrankRuehl" w:hint="cs"/>
          <w:vanish/>
          <w:color w:val="FF0000"/>
          <w:szCs w:val="20"/>
          <w:shd w:val="clear" w:color="auto" w:fill="FFFF99"/>
          <w:rtl/>
        </w:rPr>
        <w:t>מיום 10.6.2018</w:t>
      </w:r>
    </w:p>
    <w:p w:rsidR="000B2C41" w:rsidRPr="00C332C7" w:rsidRDefault="000B2C41" w:rsidP="000B2C41">
      <w:pPr>
        <w:pStyle w:val="P00"/>
        <w:spacing w:before="0"/>
        <w:ind w:left="0" w:right="1134"/>
        <w:rPr>
          <w:rStyle w:val="default"/>
          <w:rFonts w:cs="FrankRuehl"/>
          <w:vanish/>
          <w:szCs w:val="20"/>
          <w:shd w:val="clear" w:color="auto" w:fill="FFFF99"/>
          <w:rtl/>
        </w:rPr>
      </w:pPr>
      <w:r w:rsidRPr="00C332C7">
        <w:rPr>
          <w:rStyle w:val="default"/>
          <w:rFonts w:cs="FrankRuehl" w:hint="cs"/>
          <w:b/>
          <w:bCs/>
          <w:vanish/>
          <w:szCs w:val="20"/>
          <w:shd w:val="clear" w:color="auto" w:fill="FFFF99"/>
          <w:rtl/>
        </w:rPr>
        <w:t>כללים תשע"ח-2018</w:t>
      </w:r>
    </w:p>
    <w:p w:rsidR="000B2C41" w:rsidRPr="00C332C7" w:rsidRDefault="000B2C41" w:rsidP="000B2C41">
      <w:pPr>
        <w:pStyle w:val="P00"/>
        <w:spacing w:before="0"/>
        <w:ind w:left="0" w:right="1134"/>
        <w:rPr>
          <w:rStyle w:val="default"/>
          <w:rFonts w:cs="FrankRuehl"/>
          <w:vanish/>
          <w:szCs w:val="20"/>
          <w:shd w:val="clear" w:color="auto" w:fill="FFFF99"/>
          <w:rtl/>
        </w:rPr>
      </w:pPr>
      <w:hyperlink r:id="rId8" w:history="1">
        <w:r w:rsidRPr="00C332C7">
          <w:rPr>
            <w:rStyle w:val="Hyperlink"/>
            <w:rFonts w:hint="cs"/>
            <w:vanish/>
            <w:szCs w:val="20"/>
            <w:shd w:val="clear" w:color="auto" w:fill="FFFF99"/>
            <w:rtl/>
          </w:rPr>
          <w:t>ק"ת תשע"ח מס' 8016</w:t>
        </w:r>
      </w:hyperlink>
      <w:r w:rsidRPr="00C332C7">
        <w:rPr>
          <w:rStyle w:val="default"/>
          <w:rFonts w:cs="FrankRuehl" w:hint="cs"/>
          <w:vanish/>
          <w:szCs w:val="20"/>
          <w:shd w:val="clear" w:color="auto" w:fill="FFFF99"/>
          <w:rtl/>
        </w:rPr>
        <w:t xml:space="preserve"> מיום 10.6.2018 עמ' 2148</w:t>
      </w:r>
    </w:p>
    <w:p w:rsidR="000B2C41" w:rsidRPr="000B2C41" w:rsidRDefault="000B2C41" w:rsidP="000B2C41">
      <w:pPr>
        <w:pStyle w:val="P00"/>
        <w:spacing w:before="0"/>
        <w:ind w:left="0" w:right="1134"/>
        <w:rPr>
          <w:rStyle w:val="default"/>
          <w:rFonts w:cs="FrankRuehl"/>
          <w:sz w:val="2"/>
          <w:szCs w:val="2"/>
          <w:shd w:val="clear" w:color="auto" w:fill="FFFF99"/>
          <w:rtl/>
        </w:rPr>
      </w:pPr>
      <w:r w:rsidRPr="00C332C7">
        <w:rPr>
          <w:rStyle w:val="default"/>
          <w:rFonts w:cs="FrankRuehl" w:hint="cs"/>
          <w:b/>
          <w:bCs/>
          <w:vanish/>
          <w:szCs w:val="20"/>
          <w:shd w:val="clear" w:color="auto" w:fill="FFFF99"/>
          <w:rtl/>
        </w:rPr>
        <w:t>הוספת פרק ח'</w:t>
      </w:r>
      <w:bookmarkEnd w:id="22"/>
    </w:p>
    <w:p w:rsidR="000B2C41" w:rsidRDefault="000B2C41" w:rsidP="000B2C41">
      <w:pPr>
        <w:pStyle w:val="P00"/>
        <w:spacing w:before="72"/>
        <w:ind w:left="0" w:right="1134"/>
        <w:rPr>
          <w:rStyle w:val="default"/>
          <w:rFonts w:cs="FrankRuehl"/>
          <w:rtl/>
        </w:rPr>
      </w:pPr>
      <w:bookmarkStart w:id="23" w:name="Seif14"/>
      <w:bookmarkEnd w:id="23"/>
      <w:r>
        <w:rPr>
          <w:lang w:val="he-IL"/>
        </w:rPr>
        <w:pict>
          <v:rect id="_x0000_s1307" style="position:absolute;left:0;text-align:left;margin-left:458.1pt;margin-top:8.05pt;width:81.45pt;height:33.85pt;z-index:251663872" o:allowincell="f" filled="f" stroked="f" strokecolor="lime" strokeweight=".25pt">
            <v:textbox style="mso-next-textbox:#_x0000_s1307" inset="0,0,0,0">
              <w:txbxContent>
                <w:p w:rsidR="000B2C41" w:rsidRDefault="000B2C41" w:rsidP="000B2C41">
                  <w:pPr>
                    <w:spacing w:line="160" w:lineRule="exact"/>
                    <w:jc w:val="left"/>
                    <w:rPr>
                      <w:rFonts w:cs="Miriam"/>
                      <w:szCs w:val="18"/>
                      <w:rtl/>
                    </w:rPr>
                  </w:pPr>
                  <w:r>
                    <w:rPr>
                      <w:rFonts w:cs="Miriam" w:hint="cs"/>
                      <w:szCs w:val="18"/>
                      <w:rtl/>
                    </w:rPr>
                    <w:t>הודעה ללקוחות על הזכות לקבל דוח ריכוז נתונים בלא תשלום</w:t>
                  </w:r>
                </w:p>
                <w:p w:rsidR="000B2C41" w:rsidRDefault="000B2C41" w:rsidP="000B2C41">
                  <w:pPr>
                    <w:spacing w:line="160" w:lineRule="exact"/>
                    <w:jc w:val="left"/>
                    <w:rPr>
                      <w:rFonts w:cs="Miriam"/>
                      <w:noProof/>
                      <w:sz w:val="18"/>
                      <w:szCs w:val="18"/>
                      <w:rtl/>
                    </w:rPr>
                  </w:pPr>
                  <w:r>
                    <w:rPr>
                      <w:rFonts w:cs="Miriam" w:hint="cs"/>
                      <w:sz w:val="18"/>
                      <w:szCs w:val="18"/>
                      <w:rtl/>
                    </w:rPr>
                    <w:t>כללים תשע"ח-2018</w:t>
                  </w:r>
                </w:p>
              </w:txbxContent>
            </v:textbox>
            <w10:anchorlock/>
          </v:rect>
        </w:pict>
      </w:r>
      <w:r>
        <w:rPr>
          <w:rStyle w:val="big-number"/>
          <w:rFonts w:hint="cs"/>
          <w:rtl/>
        </w:rPr>
        <w:t>14</w:t>
      </w:r>
      <w:r>
        <w:rPr>
          <w:rStyle w:val="default"/>
          <w:rFonts w:cs="FrankRuehl"/>
          <w:rtl/>
        </w:rPr>
        <w:t>.</w:t>
      </w:r>
      <w:r>
        <w:rPr>
          <w:rStyle w:val="default"/>
          <w:rFonts w:cs="FrankRuehl"/>
          <w:rtl/>
        </w:rPr>
        <w:tab/>
      </w:r>
      <w:r>
        <w:rPr>
          <w:rStyle w:val="default"/>
          <w:rFonts w:cs="FrankRuehl" w:hint="cs"/>
          <w:rtl/>
        </w:rPr>
        <w:t>הודעה ללקוחות על זכותם לקבל דוח ריכוז נתונים בלא תשלום אחת לשנה לפי סעיף 38(ד) לחוק, תפורסם בידי בנק ישראל בשפה ברורה ופשוטה בשלושה עיתונים יומיים בעלי תפוצה רחבה בישראל ששניים מהם בשפה העברית ואחד בשפה הערבית, וכן באתר האינטרנט של בנק ישראל.</w:t>
      </w:r>
    </w:p>
    <w:p w:rsidR="000B2C41" w:rsidRPr="00C332C7" w:rsidRDefault="000B2C41" w:rsidP="000B2C41">
      <w:pPr>
        <w:pStyle w:val="P00"/>
        <w:spacing w:before="0"/>
        <w:ind w:left="0" w:right="1134"/>
        <w:rPr>
          <w:rStyle w:val="default"/>
          <w:rFonts w:cs="FrankRuehl"/>
          <w:vanish/>
          <w:color w:val="FF0000"/>
          <w:szCs w:val="20"/>
          <w:shd w:val="clear" w:color="auto" w:fill="FFFF99"/>
          <w:rtl/>
        </w:rPr>
      </w:pPr>
      <w:bookmarkStart w:id="24" w:name="Rov23"/>
      <w:r w:rsidRPr="00C332C7">
        <w:rPr>
          <w:rStyle w:val="default"/>
          <w:rFonts w:cs="FrankRuehl" w:hint="cs"/>
          <w:vanish/>
          <w:color w:val="FF0000"/>
          <w:szCs w:val="20"/>
          <w:shd w:val="clear" w:color="auto" w:fill="FFFF99"/>
          <w:rtl/>
        </w:rPr>
        <w:t>מיום 10.6.2018</w:t>
      </w:r>
    </w:p>
    <w:p w:rsidR="000B2C41" w:rsidRPr="00C332C7" w:rsidRDefault="000B2C41" w:rsidP="000B2C41">
      <w:pPr>
        <w:pStyle w:val="P00"/>
        <w:spacing w:before="0"/>
        <w:ind w:left="0" w:right="1134"/>
        <w:rPr>
          <w:rStyle w:val="default"/>
          <w:rFonts w:cs="FrankRuehl"/>
          <w:vanish/>
          <w:szCs w:val="20"/>
          <w:shd w:val="clear" w:color="auto" w:fill="FFFF99"/>
          <w:rtl/>
        </w:rPr>
      </w:pPr>
      <w:r w:rsidRPr="00C332C7">
        <w:rPr>
          <w:rStyle w:val="default"/>
          <w:rFonts w:cs="FrankRuehl" w:hint="cs"/>
          <w:b/>
          <w:bCs/>
          <w:vanish/>
          <w:szCs w:val="20"/>
          <w:shd w:val="clear" w:color="auto" w:fill="FFFF99"/>
          <w:rtl/>
        </w:rPr>
        <w:t>כללים תשע"ח-2018</w:t>
      </w:r>
    </w:p>
    <w:p w:rsidR="000B2C41" w:rsidRPr="00C332C7" w:rsidRDefault="000B2C41" w:rsidP="000B2C41">
      <w:pPr>
        <w:pStyle w:val="P00"/>
        <w:spacing w:before="0"/>
        <w:ind w:left="0" w:right="1134"/>
        <w:rPr>
          <w:rStyle w:val="default"/>
          <w:rFonts w:cs="FrankRuehl"/>
          <w:vanish/>
          <w:szCs w:val="20"/>
          <w:shd w:val="clear" w:color="auto" w:fill="FFFF99"/>
          <w:rtl/>
        </w:rPr>
      </w:pPr>
      <w:hyperlink r:id="rId9" w:history="1">
        <w:r w:rsidRPr="00C332C7">
          <w:rPr>
            <w:rStyle w:val="Hyperlink"/>
            <w:rFonts w:hint="cs"/>
            <w:vanish/>
            <w:szCs w:val="20"/>
            <w:shd w:val="clear" w:color="auto" w:fill="FFFF99"/>
            <w:rtl/>
          </w:rPr>
          <w:t>ק"ת תשע"ח מס' 8016</w:t>
        </w:r>
      </w:hyperlink>
      <w:r w:rsidRPr="00C332C7">
        <w:rPr>
          <w:rStyle w:val="default"/>
          <w:rFonts w:cs="FrankRuehl" w:hint="cs"/>
          <w:vanish/>
          <w:szCs w:val="20"/>
          <w:shd w:val="clear" w:color="auto" w:fill="FFFF99"/>
          <w:rtl/>
        </w:rPr>
        <w:t xml:space="preserve"> מיום 10.6.2018 עמ' 2148</w:t>
      </w:r>
    </w:p>
    <w:p w:rsidR="000B2C41" w:rsidRPr="000B2C41" w:rsidRDefault="000B2C41" w:rsidP="000B2C41">
      <w:pPr>
        <w:pStyle w:val="P00"/>
        <w:spacing w:before="0"/>
        <w:ind w:left="0" w:right="1134"/>
        <w:rPr>
          <w:rStyle w:val="default"/>
          <w:rFonts w:cs="FrankRuehl"/>
          <w:sz w:val="2"/>
          <w:szCs w:val="2"/>
          <w:shd w:val="clear" w:color="auto" w:fill="FFFF99"/>
          <w:rtl/>
        </w:rPr>
      </w:pPr>
      <w:r w:rsidRPr="00C332C7">
        <w:rPr>
          <w:rStyle w:val="default"/>
          <w:rFonts w:cs="FrankRuehl" w:hint="cs"/>
          <w:b/>
          <w:bCs/>
          <w:vanish/>
          <w:szCs w:val="20"/>
          <w:shd w:val="clear" w:color="auto" w:fill="FFFF99"/>
          <w:rtl/>
        </w:rPr>
        <w:t>הוספת סעיף 14</w:t>
      </w:r>
      <w:bookmarkEnd w:id="24"/>
    </w:p>
    <w:p w:rsidR="000B2C41" w:rsidRDefault="000B2C41" w:rsidP="000B2C41">
      <w:pPr>
        <w:pStyle w:val="P00"/>
        <w:spacing w:before="72"/>
        <w:ind w:left="0" w:right="1134"/>
        <w:rPr>
          <w:rStyle w:val="default"/>
          <w:rFonts w:cs="FrankRuehl"/>
          <w:rtl/>
        </w:rPr>
      </w:pPr>
      <w:bookmarkStart w:id="25" w:name="Seif15"/>
      <w:bookmarkEnd w:id="25"/>
      <w:r>
        <w:rPr>
          <w:lang w:val="he-IL"/>
        </w:rPr>
        <w:pict>
          <v:rect id="_x0000_s1308" style="position:absolute;left:0;text-align:left;margin-left:464.5pt;margin-top:8.05pt;width:75.05pt;height:29.5pt;z-index:251664896" o:allowincell="f" filled="f" stroked="f" strokecolor="lime" strokeweight=".25pt">
            <v:textbox style="mso-next-textbox:#_x0000_s1308" inset="0,0,0,0">
              <w:txbxContent>
                <w:p w:rsidR="000B2C41" w:rsidRDefault="000B2C41" w:rsidP="000B2C41">
                  <w:pPr>
                    <w:spacing w:line="160" w:lineRule="exact"/>
                    <w:jc w:val="left"/>
                    <w:rPr>
                      <w:rFonts w:cs="Miriam"/>
                      <w:szCs w:val="18"/>
                      <w:rtl/>
                    </w:rPr>
                  </w:pPr>
                  <w:r>
                    <w:rPr>
                      <w:rFonts w:cs="Miriam" w:hint="cs"/>
                      <w:szCs w:val="18"/>
                      <w:rtl/>
                    </w:rPr>
                    <w:t>הודעה ללקוח על תחילת איסוף נתונים</w:t>
                  </w:r>
                </w:p>
                <w:p w:rsidR="000B2C41" w:rsidRDefault="000B2C41" w:rsidP="000B2C41">
                  <w:pPr>
                    <w:spacing w:line="160" w:lineRule="exact"/>
                    <w:jc w:val="left"/>
                    <w:rPr>
                      <w:rFonts w:cs="Miriam"/>
                      <w:noProof/>
                      <w:sz w:val="18"/>
                      <w:szCs w:val="18"/>
                      <w:rtl/>
                    </w:rPr>
                  </w:pPr>
                  <w:r>
                    <w:rPr>
                      <w:rFonts w:cs="Miriam" w:hint="cs"/>
                      <w:sz w:val="18"/>
                      <w:szCs w:val="18"/>
                      <w:rtl/>
                    </w:rPr>
                    <w:t>כללים תשע"ח-2018</w:t>
                  </w:r>
                </w:p>
              </w:txbxContent>
            </v:textbox>
            <w10:anchorlock/>
          </v:rect>
        </w:pict>
      </w:r>
      <w:r>
        <w:rPr>
          <w:rStyle w:val="big-number"/>
          <w:rFonts w:hint="cs"/>
          <w:rtl/>
        </w:rPr>
        <w:t>15</w:t>
      </w:r>
      <w:r>
        <w:rPr>
          <w:rStyle w:val="default"/>
          <w:rFonts w:cs="FrankRuehl"/>
          <w:rtl/>
        </w:rPr>
        <w:t>.</w:t>
      </w:r>
      <w:r>
        <w:rPr>
          <w:rStyle w:val="default"/>
          <w:rFonts w:cs="FrankRuehl"/>
          <w:rtl/>
        </w:rPr>
        <w:tab/>
      </w:r>
      <w:r>
        <w:rPr>
          <w:rStyle w:val="default"/>
          <w:rFonts w:cs="FrankRuehl" w:hint="cs"/>
          <w:rtl/>
        </w:rPr>
        <w:t>הודעה ללקוח על תחילת איסוף נתוני אשראי לגביו במאגר לפי סעיף 109 לחוק, תישלח על ידי בנק ישראל למען הלקוח כפי שמופיע במרשם האוכלוסין.</w:t>
      </w:r>
    </w:p>
    <w:p w:rsidR="000B2C41" w:rsidRPr="00C332C7" w:rsidRDefault="000B2C41" w:rsidP="000B2C41">
      <w:pPr>
        <w:pStyle w:val="P00"/>
        <w:spacing w:before="0"/>
        <w:ind w:left="0" w:right="1134"/>
        <w:rPr>
          <w:rStyle w:val="default"/>
          <w:rFonts w:cs="FrankRuehl"/>
          <w:vanish/>
          <w:color w:val="FF0000"/>
          <w:szCs w:val="20"/>
          <w:shd w:val="clear" w:color="auto" w:fill="FFFF99"/>
          <w:rtl/>
        </w:rPr>
      </w:pPr>
      <w:bookmarkStart w:id="26" w:name="Rov24"/>
      <w:r w:rsidRPr="00C332C7">
        <w:rPr>
          <w:rStyle w:val="default"/>
          <w:rFonts w:cs="FrankRuehl" w:hint="cs"/>
          <w:vanish/>
          <w:color w:val="FF0000"/>
          <w:szCs w:val="20"/>
          <w:shd w:val="clear" w:color="auto" w:fill="FFFF99"/>
          <w:rtl/>
        </w:rPr>
        <w:t>מיום 10.6.2018</w:t>
      </w:r>
    </w:p>
    <w:p w:rsidR="000B2C41" w:rsidRPr="00C332C7" w:rsidRDefault="000B2C41" w:rsidP="000B2C41">
      <w:pPr>
        <w:pStyle w:val="P00"/>
        <w:spacing w:before="0"/>
        <w:ind w:left="0" w:right="1134"/>
        <w:rPr>
          <w:rStyle w:val="default"/>
          <w:rFonts w:cs="FrankRuehl"/>
          <w:vanish/>
          <w:szCs w:val="20"/>
          <w:shd w:val="clear" w:color="auto" w:fill="FFFF99"/>
          <w:rtl/>
        </w:rPr>
      </w:pPr>
      <w:r w:rsidRPr="00C332C7">
        <w:rPr>
          <w:rStyle w:val="default"/>
          <w:rFonts w:cs="FrankRuehl" w:hint="cs"/>
          <w:b/>
          <w:bCs/>
          <w:vanish/>
          <w:szCs w:val="20"/>
          <w:shd w:val="clear" w:color="auto" w:fill="FFFF99"/>
          <w:rtl/>
        </w:rPr>
        <w:t>כללים תשע"ח-2018</w:t>
      </w:r>
    </w:p>
    <w:p w:rsidR="000B2C41" w:rsidRPr="00C332C7" w:rsidRDefault="000B2C41" w:rsidP="000B2C41">
      <w:pPr>
        <w:pStyle w:val="P00"/>
        <w:spacing w:before="0"/>
        <w:ind w:left="0" w:right="1134"/>
        <w:rPr>
          <w:rStyle w:val="default"/>
          <w:rFonts w:cs="FrankRuehl"/>
          <w:vanish/>
          <w:szCs w:val="20"/>
          <w:shd w:val="clear" w:color="auto" w:fill="FFFF99"/>
          <w:rtl/>
        </w:rPr>
      </w:pPr>
      <w:hyperlink r:id="rId10" w:history="1">
        <w:r w:rsidRPr="00C332C7">
          <w:rPr>
            <w:rStyle w:val="Hyperlink"/>
            <w:rFonts w:hint="cs"/>
            <w:vanish/>
            <w:szCs w:val="20"/>
            <w:shd w:val="clear" w:color="auto" w:fill="FFFF99"/>
            <w:rtl/>
          </w:rPr>
          <w:t>ק"ת תשע"ח מס' 8016</w:t>
        </w:r>
      </w:hyperlink>
      <w:r w:rsidRPr="00C332C7">
        <w:rPr>
          <w:rStyle w:val="default"/>
          <w:rFonts w:cs="FrankRuehl" w:hint="cs"/>
          <w:vanish/>
          <w:szCs w:val="20"/>
          <w:shd w:val="clear" w:color="auto" w:fill="FFFF99"/>
          <w:rtl/>
        </w:rPr>
        <w:t xml:space="preserve"> מיום 10.6.2018 עמ' 2148</w:t>
      </w:r>
    </w:p>
    <w:p w:rsidR="000B2C41" w:rsidRPr="000B2C41" w:rsidRDefault="000B2C41" w:rsidP="000B2C41">
      <w:pPr>
        <w:pStyle w:val="P00"/>
        <w:spacing w:before="0"/>
        <w:ind w:left="0" w:right="1134"/>
        <w:rPr>
          <w:rStyle w:val="default"/>
          <w:rFonts w:cs="FrankRuehl"/>
          <w:sz w:val="2"/>
          <w:szCs w:val="2"/>
          <w:shd w:val="clear" w:color="auto" w:fill="FFFF99"/>
          <w:rtl/>
        </w:rPr>
      </w:pPr>
      <w:r w:rsidRPr="00C332C7">
        <w:rPr>
          <w:rStyle w:val="default"/>
          <w:rFonts w:cs="FrankRuehl" w:hint="cs"/>
          <w:b/>
          <w:bCs/>
          <w:vanish/>
          <w:szCs w:val="20"/>
          <w:shd w:val="clear" w:color="auto" w:fill="FFFF99"/>
          <w:rtl/>
        </w:rPr>
        <w:t>הוספת סעיף 15</w:t>
      </w:r>
      <w:bookmarkEnd w:id="26"/>
    </w:p>
    <w:p w:rsidR="00C332C7" w:rsidRDefault="00C332C7" w:rsidP="00C332C7">
      <w:pPr>
        <w:pStyle w:val="medium2-header"/>
        <w:keepLines w:val="0"/>
        <w:spacing w:before="72"/>
        <w:ind w:left="0" w:right="1134"/>
        <w:rPr>
          <w:rFonts w:hint="cs"/>
          <w:noProof/>
          <w:rtl/>
        </w:rPr>
      </w:pPr>
      <w:bookmarkStart w:id="27" w:name="med8"/>
      <w:bookmarkEnd w:id="27"/>
      <w:r>
        <w:rPr>
          <w:noProof/>
          <w:rtl/>
          <w:lang w:eastAsia="en-US"/>
        </w:rPr>
        <w:pict>
          <v:shape id="_x0000_s1309" type="#_x0000_t202" style="position:absolute;left:0;text-align:left;margin-left:466.6pt;margin-top:7.1pt;width:75.75pt;height:11.95pt;z-index:251665920" filled="f" stroked="f">
            <v:textbox inset="1mm,0,1mm,0">
              <w:txbxContent>
                <w:p w:rsidR="00C332C7" w:rsidRDefault="00C332C7" w:rsidP="00C332C7">
                  <w:pPr>
                    <w:spacing w:line="160" w:lineRule="exact"/>
                    <w:jc w:val="left"/>
                    <w:rPr>
                      <w:rFonts w:cs="Miriam"/>
                      <w:noProof/>
                      <w:sz w:val="18"/>
                      <w:szCs w:val="18"/>
                      <w:rtl/>
                    </w:rPr>
                  </w:pPr>
                  <w:r>
                    <w:rPr>
                      <w:rFonts w:cs="Miriam" w:hint="cs"/>
                      <w:sz w:val="18"/>
                      <w:szCs w:val="18"/>
                      <w:rtl/>
                    </w:rPr>
                    <w:t>כללים תשפ"א-2021</w:t>
                  </w:r>
                </w:p>
              </w:txbxContent>
            </v:textbox>
          </v:shape>
        </w:pict>
      </w:r>
      <w:r>
        <w:rPr>
          <w:noProof/>
          <w:rtl/>
        </w:rPr>
        <w:t>פר</w:t>
      </w:r>
      <w:r>
        <w:rPr>
          <w:rFonts w:hint="cs"/>
          <w:noProof/>
          <w:rtl/>
        </w:rPr>
        <w:t>ק ט': יצירת מידע מזוהה לצורכי המאגר</w:t>
      </w:r>
    </w:p>
    <w:p w:rsidR="00C332C7" w:rsidRPr="00C332C7" w:rsidRDefault="00C332C7" w:rsidP="00C332C7">
      <w:pPr>
        <w:pStyle w:val="P00"/>
        <w:spacing w:before="0"/>
        <w:ind w:left="0" w:right="1134"/>
        <w:rPr>
          <w:rStyle w:val="default"/>
          <w:rFonts w:ascii="FrankRuehl" w:hAnsi="FrankRuehl" w:cs="FrankRuehl"/>
          <w:vanish/>
          <w:color w:val="FF0000"/>
          <w:szCs w:val="20"/>
          <w:shd w:val="clear" w:color="auto" w:fill="FFFF99"/>
          <w:rtl/>
        </w:rPr>
      </w:pPr>
      <w:bookmarkStart w:id="28" w:name="Rov28"/>
      <w:r w:rsidRPr="00C332C7">
        <w:rPr>
          <w:rStyle w:val="default"/>
          <w:rFonts w:ascii="FrankRuehl" w:hAnsi="FrankRuehl" w:cs="FrankRuehl"/>
          <w:vanish/>
          <w:color w:val="FF0000"/>
          <w:szCs w:val="20"/>
          <w:shd w:val="clear" w:color="auto" w:fill="FFFF99"/>
          <w:rtl/>
        </w:rPr>
        <w:t>מיום 12.4.2021</w:t>
      </w:r>
    </w:p>
    <w:p w:rsidR="00C332C7" w:rsidRPr="00C332C7" w:rsidRDefault="00C332C7" w:rsidP="00C332C7">
      <w:pPr>
        <w:pStyle w:val="P00"/>
        <w:spacing w:before="0"/>
        <w:ind w:left="0" w:right="1134"/>
        <w:rPr>
          <w:rStyle w:val="default"/>
          <w:rFonts w:ascii="FrankRuehl" w:hAnsi="FrankRuehl" w:cs="FrankRuehl"/>
          <w:vanish/>
          <w:szCs w:val="20"/>
          <w:shd w:val="clear" w:color="auto" w:fill="FFFF99"/>
          <w:rtl/>
        </w:rPr>
      </w:pPr>
      <w:r w:rsidRPr="00C332C7">
        <w:rPr>
          <w:rStyle w:val="default"/>
          <w:rFonts w:ascii="FrankRuehl" w:hAnsi="FrankRuehl" w:cs="FrankRuehl"/>
          <w:b/>
          <w:bCs/>
          <w:vanish/>
          <w:szCs w:val="20"/>
          <w:shd w:val="clear" w:color="auto" w:fill="FFFF99"/>
          <w:rtl/>
        </w:rPr>
        <w:t>כללים תשפ"א-2021</w:t>
      </w:r>
    </w:p>
    <w:p w:rsidR="00C332C7" w:rsidRPr="00C332C7" w:rsidRDefault="00C332C7" w:rsidP="00C332C7">
      <w:pPr>
        <w:pStyle w:val="P00"/>
        <w:spacing w:before="0"/>
        <w:ind w:left="0" w:right="1134"/>
        <w:rPr>
          <w:rStyle w:val="default"/>
          <w:rFonts w:ascii="FrankRuehl" w:hAnsi="FrankRuehl" w:cs="FrankRuehl"/>
          <w:vanish/>
          <w:szCs w:val="20"/>
          <w:shd w:val="clear" w:color="auto" w:fill="FFFF99"/>
          <w:rtl/>
        </w:rPr>
      </w:pPr>
      <w:hyperlink r:id="rId11" w:history="1">
        <w:r w:rsidRPr="00C332C7">
          <w:rPr>
            <w:rStyle w:val="Hyperlink"/>
            <w:rFonts w:ascii="FrankRuehl" w:hAnsi="FrankRuehl"/>
            <w:vanish/>
            <w:szCs w:val="20"/>
            <w:shd w:val="clear" w:color="auto" w:fill="FFFF99"/>
            <w:rtl/>
          </w:rPr>
          <w:t>ק"ת תשפ"א מס' 9315</w:t>
        </w:r>
      </w:hyperlink>
      <w:r w:rsidRPr="00C332C7">
        <w:rPr>
          <w:rStyle w:val="default"/>
          <w:rFonts w:ascii="FrankRuehl" w:hAnsi="FrankRuehl" w:cs="FrankRuehl"/>
          <w:vanish/>
          <w:szCs w:val="20"/>
          <w:shd w:val="clear" w:color="auto" w:fill="FFFF99"/>
          <w:rtl/>
        </w:rPr>
        <w:t xml:space="preserve"> מיום 12.4.2021 עמ' 2924</w:t>
      </w:r>
    </w:p>
    <w:p w:rsidR="00C332C7" w:rsidRPr="00C332C7" w:rsidRDefault="00C332C7" w:rsidP="00C332C7">
      <w:pPr>
        <w:pStyle w:val="P00"/>
        <w:spacing w:before="0"/>
        <w:ind w:left="0" w:right="1134"/>
        <w:rPr>
          <w:rStyle w:val="default"/>
          <w:rFonts w:ascii="FrankRuehl" w:hAnsi="FrankRuehl" w:cs="FrankRuehl"/>
          <w:sz w:val="2"/>
          <w:szCs w:val="2"/>
          <w:shd w:val="clear" w:color="auto" w:fill="FFFF99"/>
          <w:rtl/>
        </w:rPr>
      </w:pPr>
      <w:r w:rsidRPr="00C332C7">
        <w:rPr>
          <w:rStyle w:val="default"/>
          <w:rFonts w:ascii="FrankRuehl" w:hAnsi="FrankRuehl" w:cs="FrankRuehl" w:hint="cs"/>
          <w:b/>
          <w:bCs/>
          <w:vanish/>
          <w:szCs w:val="20"/>
          <w:shd w:val="clear" w:color="auto" w:fill="FFFF99"/>
          <w:rtl/>
        </w:rPr>
        <w:t>הוספת פרק ט'</w:t>
      </w:r>
      <w:bookmarkEnd w:id="28"/>
    </w:p>
    <w:p w:rsidR="00C332C7" w:rsidRDefault="00C332C7" w:rsidP="00C332C7">
      <w:pPr>
        <w:pStyle w:val="P00"/>
        <w:spacing w:before="72"/>
        <w:ind w:left="0" w:right="1134"/>
        <w:rPr>
          <w:rStyle w:val="default"/>
          <w:rFonts w:cs="FrankRuehl"/>
          <w:rtl/>
        </w:rPr>
      </w:pPr>
      <w:bookmarkStart w:id="29" w:name="Seif16"/>
      <w:bookmarkEnd w:id="29"/>
      <w:r>
        <w:rPr>
          <w:lang w:val="he-IL"/>
        </w:rPr>
        <w:pict>
          <v:rect id="_x0000_s1310" style="position:absolute;left:0;text-align:left;margin-left:464.5pt;margin-top:8.05pt;width:75.05pt;height:29.5pt;z-index:251666944" o:allowincell="f" filled="f" stroked="f" strokecolor="lime" strokeweight=".25pt">
            <v:textbox style="mso-next-textbox:#_x0000_s1310" inset="0,0,0,0">
              <w:txbxContent>
                <w:p w:rsidR="00C332C7" w:rsidRDefault="00C332C7" w:rsidP="00C332C7">
                  <w:pPr>
                    <w:spacing w:line="160" w:lineRule="exact"/>
                    <w:jc w:val="left"/>
                    <w:rPr>
                      <w:rFonts w:cs="Miriam"/>
                      <w:szCs w:val="18"/>
                      <w:rtl/>
                    </w:rPr>
                  </w:pPr>
                  <w:r>
                    <w:rPr>
                      <w:rFonts w:cs="Miriam" w:hint="cs"/>
                      <w:szCs w:val="18"/>
                      <w:rtl/>
                    </w:rPr>
                    <w:t>יצירת מידע מזוהה לשם הפעלת המאגר</w:t>
                  </w:r>
                </w:p>
                <w:p w:rsidR="00C332C7" w:rsidRDefault="00C332C7" w:rsidP="00C332C7">
                  <w:pPr>
                    <w:spacing w:line="160" w:lineRule="exact"/>
                    <w:jc w:val="left"/>
                    <w:rPr>
                      <w:rFonts w:cs="Miriam"/>
                      <w:noProof/>
                      <w:sz w:val="18"/>
                      <w:szCs w:val="18"/>
                      <w:rtl/>
                    </w:rPr>
                  </w:pPr>
                  <w:r>
                    <w:rPr>
                      <w:rFonts w:cs="Miriam" w:hint="cs"/>
                      <w:szCs w:val="18"/>
                      <w:rtl/>
                    </w:rPr>
                    <w:t>כללים תשפ"א-2021</w:t>
                  </w:r>
                </w:p>
              </w:txbxContent>
            </v:textbox>
            <w10:anchorlock/>
          </v:rect>
        </w:pict>
      </w:r>
      <w:r>
        <w:rPr>
          <w:rStyle w:val="big-number"/>
          <w:rFonts w:hint="cs"/>
          <w:rtl/>
        </w:rPr>
        <w:t>15</w:t>
      </w:r>
      <w:r>
        <w:rPr>
          <w:rStyle w:val="default"/>
          <w:rFonts w:cs="FrankRuehl"/>
          <w:rtl/>
        </w:rPr>
        <w:t>.</w:t>
      </w:r>
      <w:r>
        <w:rPr>
          <w:rStyle w:val="default"/>
          <w:rFonts w:cs="FrankRuehl"/>
          <w:rtl/>
        </w:rPr>
        <w:tab/>
      </w:r>
      <w:r>
        <w:rPr>
          <w:rStyle w:val="default"/>
          <w:rFonts w:cs="FrankRuehl" w:hint="cs"/>
          <w:rtl/>
        </w:rPr>
        <w:t>ניתן לקשר בין נתוני האשראי וכל מידע אחר על לקוח לפרטים המזהים של הלקוח, תוך יצירת מידע מזוהה, במקרים המפורטים להלן, במידה הנדרשת לכך, ובלבד שלא ניתן לבצע פעולות אלה בלא גישה למידע מזוהה של לקוח:</w:t>
      </w:r>
    </w:p>
    <w:p w:rsidR="00C332C7" w:rsidRDefault="00C332C7" w:rsidP="00C332C7">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לשם ביצוע תפקידיו של הממונה בהתאם לסמכותו לפי סעיף 66 לחוק, למעט לעניין מתן רישיונות לפי סעיף 66(ב)(1) לחוק או מתן הוראות לפי סעיף 66(ב)(4) לחוק;</w:t>
      </w:r>
    </w:p>
    <w:p w:rsidR="00C332C7" w:rsidRDefault="00C332C7" w:rsidP="00C332C7">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לשם הצרכים המפורטים להלן:</w:t>
      </w:r>
    </w:p>
    <w:p w:rsidR="00C332C7" w:rsidRDefault="00C332C7" w:rsidP="00C332C7">
      <w:pPr>
        <w:pStyle w:val="P00"/>
        <w:spacing w:before="72"/>
        <w:ind w:left="1021"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טיפול בפניית לקוח בהתאם להוראות סימן ה' בפרק י"א לחוק;</w:t>
      </w:r>
    </w:p>
    <w:p w:rsidR="00C332C7" w:rsidRDefault="00C332C7" w:rsidP="00C332C7">
      <w:pPr>
        <w:pStyle w:val="P00"/>
        <w:spacing w:before="72"/>
        <w:ind w:left="1021"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תיקון מידע הכלול במאגר לגבי לקוח בהתאם להוראות פרק ח' לחוק;</w:t>
      </w:r>
    </w:p>
    <w:p w:rsidR="00C332C7" w:rsidRDefault="00C332C7" w:rsidP="00C332C7">
      <w:pPr>
        <w:pStyle w:val="P00"/>
        <w:spacing w:before="72"/>
        <w:ind w:left="1021"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תחקור נתונים במסגרת בירור של תקלה או חשד לתקלה במערכות הטכנולוגיות המשרתות את המאגר;</w:t>
      </w:r>
    </w:p>
    <w:p w:rsidR="00C332C7" w:rsidRDefault="00C332C7" w:rsidP="00C332C7">
      <w:pPr>
        <w:pStyle w:val="P00"/>
        <w:spacing w:before="72"/>
        <w:ind w:left="1021" w:right="1134"/>
        <w:rPr>
          <w:rStyle w:val="default"/>
          <w:rFonts w:cs="FrankRuehl"/>
          <w:rtl/>
        </w:rPr>
      </w:pPr>
      <w:r>
        <w:rPr>
          <w:rStyle w:val="default"/>
          <w:rFonts w:cs="FrankRuehl" w:hint="cs"/>
          <w:rtl/>
        </w:rPr>
        <w:t>(ד)</w:t>
      </w:r>
      <w:r>
        <w:rPr>
          <w:rStyle w:val="default"/>
          <w:rFonts w:cs="FrankRuehl"/>
          <w:rtl/>
        </w:rPr>
        <w:tab/>
      </w:r>
      <w:r>
        <w:rPr>
          <w:rStyle w:val="default"/>
          <w:rFonts w:cs="FrankRuehl" w:hint="cs"/>
          <w:rtl/>
        </w:rPr>
        <w:t>בירור של פגיעה או חשד לפגיעה באבטחת מידע או הגנת הפרטיות;</w:t>
      </w:r>
    </w:p>
    <w:p w:rsidR="00C332C7" w:rsidRDefault="00C332C7" w:rsidP="00C332C7">
      <w:pPr>
        <w:pStyle w:val="P00"/>
        <w:spacing w:before="72"/>
        <w:ind w:left="1021" w:right="1134"/>
        <w:rPr>
          <w:rStyle w:val="default"/>
          <w:rFonts w:cs="FrankRuehl"/>
          <w:rtl/>
        </w:rPr>
      </w:pPr>
      <w:r>
        <w:rPr>
          <w:rStyle w:val="default"/>
          <w:rFonts w:cs="FrankRuehl" w:hint="cs"/>
          <w:rtl/>
        </w:rPr>
        <w:t>(ה)</w:t>
      </w:r>
      <w:r>
        <w:rPr>
          <w:rStyle w:val="default"/>
          <w:rFonts w:cs="FrankRuehl"/>
          <w:rtl/>
        </w:rPr>
        <w:tab/>
      </w:r>
      <w:r>
        <w:rPr>
          <w:rStyle w:val="default"/>
          <w:rFonts w:cs="FrankRuehl" w:hint="cs"/>
          <w:rtl/>
        </w:rPr>
        <w:t>הליך משפטי בין בנק ישראל לבין לקוח, משתמש בנתוני אשראי, מיופה כוח בתמורה, מקור מידע או לשכת אשראי.</w:t>
      </w:r>
    </w:p>
    <w:p w:rsidR="00C332C7" w:rsidRPr="00C332C7" w:rsidRDefault="00C332C7" w:rsidP="00C332C7">
      <w:pPr>
        <w:pStyle w:val="P00"/>
        <w:spacing w:before="0"/>
        <w:ind w:left="0" w:right="1134"/>
        <w:rPr>
          <w:rStyle w:val="default"/>
          <w:rFonts w:ascii="FrankRuehl" w:hAnsi="FrankRuehl" w:cs="FrankRuehl"/>
          <w:vanish/>
          <w:color w:val="FF0000"/>
          <w:szCs w:val="20"/>
          <w:shd w:val="clear" w:color="auto" w:fill="FFFF99"/>
          <w:rtl/>
        </w:rPr>
      </w:pPr>
      <w:bookmarkStart w:id="30" w:name="Rov29"/>
      <w:r w:rsidRPr="00C332C7">
        <w:rPr>
          <w:rStyle w:val="default"/>
          <w:rFonts w:ascii="FrankRuehl" w:hAnsi="FrankRuehl" w:cs="FrankRuehl"/>
          <w:vanish/>
          <w:color w:val="FF0000"/>
          <w:szCs w:val="20"/>
          <w:shd w:val="clear" w:color="auto" w:fill="FFFF99"/>
          <w:rtl/>
        </w:rPr>
        <w:t>מיום 12.4.2021</w:t>
      </w:r>
    </w:p>
    <w:p w:rsidR="00C332C7" w:rsidRPr="00C332C7" w:rsidRDefault="00C332C7" w:rsidP="00C332C7">
      <w:pPr>
        <w:pStyle w:val="P00"/>
        <w:spacing w:before="0"/>
        <w:ind w:left="0" w:right="1134"/>
        <w:rPr>
          <w:rStyle w:val="default"/>
          <w:rFonts w:ascii="FrankRuehl" w:hAnsi="FrankRuehl" w:cs="FrankRuehl"/>
          <w:vanish/>
          <w:szCs w:val="20"/>
          <w:shd w:val="clear" w:color="auto" w:fill="FFFF99"/>
          <w:rtl/>
        </w:rPr>
      </w:pPr>
      <w:r w:rsidRPr="00C332C7">
        <w:rPr>
          <w:rStyle w:val="default"/>
          <w:rFonts w:ascii="FrankRuehl" w:hAnsi="FrankRuehl" w:cs="FrankRuehl"/>
          <w:b/>
          <w:bCs/>
          <w:vanish/>
          <w:szCs w:val="20"/>
          <w:shd w:val="clear" w:color="auto" w:fill="FFFF99"/>
          <w:rtl/>
        </w:rPr>
        <w:t>כללים תשפ"א-2021</w:t>
      </w:r>
    </w:p>
    <w:p w:rsidR="00C332C7" w:rsidRPr="00C332C7" w:rsidRDefault="00C332C7" w:rsidP="00C332C7">
      <w:pPr>
        <w:pStyle w:val="P00"/>
        <w:spacing w:before="0"/>
        <w:ind w:left="0" w:right="1134"/>
        <w:rPr>
          <w:rStyle w:val="default"/>
          <w:rFonts w:ascii="FrankRuehl" w:hAnsi="FrankRuehl" w:cs="FrankRuehl"/>
          <w:vanish/>
          <w:szCs w:val="20"/>
          <w:shd w:val="clear" w:color="auto" w:fill="FFFF99"/>
          <w:rtl/>
        </w:rPr>
      </w:pPr>
      <w:hyperlink r:id="rId12" w:history="1">
        <w:r w:rsidRPr="00C332C7">
          <w:rPr>
            <w:rStyle w:val="Hyperlink"/>
            <w:rFonts w:ascii="FrankRuehl" w:hAnsi="FrankRuehl"/>
            <w:vanish/>
            <w:szCs w:val="20"/>
            <w:shd w:val="clear" w:color="auto" w:fill="FFFF99"/>
            <w:rtl/>
          </w:rPr>
          <w:t>ק"ת תשפ"א מס' 9315</w:t>
        </w:r>
      </w:hyperlink>
      <w:r w:rsidRPr="00C332C7">
        <w:rPr>
          <w:rStyle w:val="default"/>
          <w:rFonts w:ascii="FrankRuehl" w:hAnsi="FrankRuehl" w:cs="FrankRuehl"/>
          <w:vanish/>
          <w:szCs w:val="20"/>
          <w:shd w:val="clear" w:color="auto" w:fill="FFFF99"/>
          <w:rtl/>
        </w:rPr>
        <w:t xml:space="preserve"> מיום 12.4.2021 עמ' 2924</w:t>
      </w:r>
    </w:p>
    <w:p w:rsidR="00C332C7" w:rsidRPr="00C332C7" w:rsidRDefault="00C332C7" w:rsidP="00C332C7">
      <w:pPr>
        <w:pStyle w:val="P00"/>
        <w:spacing w:before="0"/>
        <w:ind w:left="0" w:right="1134"/>
        <w:rPr>
          <w:rStyle w:val="default"/>
          <w:rFonts w:ascii="FrankRuehl" w:hAnsi="FrankRuehl" w:cs="FrankRuehl"/>
          <w:sz w:val="2"/>
          <w:szCs w:val="2"/>
          <w:shd w:val="clear" w:color="auto" w:fill="FFFF99"/>
          <w:rtl/>
        </w:rPr>
      </w:pPr>
      <w:r w:rsidRPr="00C332C7">
        <w:rPr>
          <w:rStyle w:val="default"/>
          <w:rFonts w:ascii="FrankRuehl" w:hAnsi="FrankRuehl" w:cs="FrankRuehl" w:hint="cs"/>
          <w:b/>
          <w:bCs/>
          <w:vanish/>
          <w:szCs w:val="20"/>
          <w:shd w:val="clear" w:color="auto" w:fill="FFFF99"/>
          <w:rtl/>
        </w:rPr>
        <w:t>הוספת סעיף 16</w:t>
      </w:r>
      <w:bookmarkEnd w:id="30"/>
    </w:p>
    <w:p w:rsidR="00C332C7" w:rsidRDefault="00C332C7">
      <w:pPr>
        <w:pStyle w:val="P00"/>
        <w:spacing w:before="72"/>
        <w:ind w:left="0" w:right="1134"/>
        <w:rPr>
          <w:rStyle w:val="default"/>
          <w:rFonts w:cs="FrankRuehl"/>
          <w:rtl/>
        </w:rPr>
      </w:pPr>
    </w:p>
    <w:p w:rsidR="00A5567F" w:rsidRDefault="00A5567F">
      <w:pPr>
        <w:pStyle w:val="P00"/>
        <w:spacing w:before="72"/>
        <w:ind w:left="0" w:right="1134"/>
        <w:rPr>
          <w:rStyle w:val="default"/>
          <w:rFonts w:cs="FrankRuehl" w:hint="cs"/>
          <w:rtl/>
        </w:rPr>
      </w:pPr>
    </w:p>
    <w:p w:rsidR="001153D7" w:rsidRDefault="005D75B5" w:rsidP="00005B60">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hint="cs"/>
          <w:rtl/>
        </w:rPr>
      </w:pPr>
      <w:r>
        <w:rPr>
          <w:rFonts w:hint="cs"/>
          <w:rtl/>
        </w:rPr>
        <w:t>י"ח בחשוון</w:t>
      </w:r>
      <w:r w:rsidR="008B1FCD">
        <w:rPr>
          <w:rFonts w:hint="cs"/>
          <w:rtl/>
        </w:rPr>
        <w:t xml:space="preserve"> התשע"ח (</w:t>
      </w:r>
      <w:r>
        <w:rPr>
          <w:rFonts w:hint="cs"/>
          <w:rtl/>
        </w:rPr>
        <w:t>7</w:t>
      </w:r>
      <w:r w:rsidR="008B1FCD">
        <w:rPr>
          <w:rFonts w:hint="cs"/>
          <w:rtl/>
        </w:rPr>
        <w:t xml:space="preserve"> בנובמבר</w:t>
      </w:r>
      <w:r w:rsidR="00005B60">
        <w:rPr>
          <w:rFonts w:hint="cs"/>
          <w:rtl/>
        </w:rPr>
        <w:t xml:space="preserve"> 2017</w:t>
      </w:r>
      <w:r w:rsidR="001153D7">
        <w:rPr>
          <w:rFonts w:hint="cs"/>
          <w:rtl/>
        </w:rPr>
        <w:t>)</w:t>
      </w:r>
      <w:r w:rsidR="001153D7">
        <w:rPr>
          <w:rFonts w:hint="cs"/>
          <w:rtl/>
        </w:rPr>
        <w:tab/>
      </w:r>
      <w:r>
        <w:rPr>
          <w:rFonts w:hint="cs"/>
          <w:rtl/>
        </w:rPr>
        <w:t>קרנית פלוג</w:t>
      </w:r>
    </w:p>
    <w:p w:rsidR="001153D7" w:rsidRDefault="001153D7" w:rsidP="00005B60">
      <w:pPr>
        <w:pStyle w:val="P00"/>
        <w:tabs>
          <w:tab w:val="clear" w:pos="624"/>
          <w:tab w:val="clear" w:pos="1021"/>
          <w:tab w:val="clear" w:pos="1474"/>
          <w:tab w:val="clear" w:pos="1928"/>
          <w:tab w:val="clear" w:pos="2381"/>
          <w:tab w:val="clear" w:pos="2835"/>
          <w:tab w:val="clear" w:pos="6259"/>
          <w:tab w:val="center" w:pos="5670"/>
        </w:tabs>
        <w:spacing w:before="0"/>
        <w:ind w:left="0" w:right="1134"/>
        <w:rPr>
          <w:rFonts w:hint="cs"/>
          <w:sz w:val="22"/>
          <w:szCs w:val="22"/>
          <w:rtl/>
        </w:rPr>
      </w:pPr>
      <w:r>
        <w:rPr>
          <w:rFonts w:hint="cs"/>
          <w:sz w:val="22"/>
          <w:szCs w:val="22"/>
          <w:rtl/>
        </w:rPr>
        <w:tab/>
      </w:r>
      <w:r w:rsidR="005D75B5">
        <w:rPr>
          <w:rFonts w:hint="cs"/>
          <w:sz w:val="22"/>
          <w:szCs w:val="22"/>
          <w:rtl/>
        </w:rPr>
        <w:t>נגידת בנק ישראל</w:t>
      </w:r>
    </w:p>
    <w:p w:rsidR="00555B11" w:rsidRDefault="00555B11">
      <w:pPr>
        <w:pStyle w:val="P00"/>
        <w:spacing w:before="72"/>
        <w:ind w:left="0" w:right="1134"/>
        <w:rPr>
          <w:rtl/>
        </w:rPr>
      </w:pPr>
    </w:p>
    <w:p w:rsidR="00B75003" w:rsidRDefault="00B75003">
      <w:pPr>
        <w:pStyle w:val="P00"/>
        <w:spacing w:before="72"/>
        <w:ind w:left="0" w:right="1134"/>
        <w:rPr>
          <w:rtl/>
        </w:rPr>
      </w:pPr>
    </w:p>
    <w:p w:rsidR="00CC29D6" w:rsidRDefault="00CC29D6">
      <w:pPr>
        <w:pStyle w:val="P00"/>
        <w:spacing w:before="72"/>
        <w:ind w:left="0" w:right="1134"/>
        <w:rPr>
          <w:rtl/>
        </w:rPr>
      </w:pPr>
    </w:p>
    <w:p w:rsidR="00CC29D6" w:rsidRDefault="00CC29D6" w:rsidP="00CC29D6">
      <w:pPr>
        <w:pStyle w:val="P00"/>
        <w:spacing w:before="72"/>
        <w:ind w:left="0" w:right="1134"/>
        <w:jc w:val="center"/>
        <w:rPr>
          <w:rFonts w:cs="David"/>
          <w:color w:val="0000FF"/>
          <w:szCs w:val="24"/>
          <w:u w:val="single"/>
          <w:rtl/>
        </w:rPr>
      </w:pPr>
      <w:hyperlink r:id="rId13" w:history="1">
        <w:r>
          <w:rPr>
            <w:rFonts w:cs="David"/>
            <w:color w:val="0000FF"/>
            <w:szCs w:val="24"/>
            <w:u w:val="single"/>
            <w:rtl/>
          </w:rPr>
          <w:t>הודעה למנויים על עריכה ושינויים במסמכי פסיקה, חקיקה ועוד באתר נבו - הקש כאן</w:t>
        </w:r>
      </w:hyperlink>
    </w:p>
    <w:p w:rsidR="00C52409" w:rsidRDefault="00C52409" w:rsidP="00CC29D6">
      <w:pPr>
        <w:pStyle w:val="P00"/>
        <w:spacing w:before="72"/>
        <w:ind w:left="0" w:right="1134"/>
        <w:jc w:val="center"/>
        <w:rPr>
          <w:rFonts w:cs="David"/>
          <w:color w:val="0000FF"/>
          <w:szCs w:val="24"/>
          <w:u w:val="single"/>
          <w:rtl/>
        </w:rPr>
      </w:pPr>
    </w:p>
    <w:p w:rsidR="00C52409" w:rsidRDefault="00C52409" w:rsidP="00CC29D6">
      <w:pPr>
        <w:pStyle w:val="P00"/>
        <w:spacing w:before="72"/>
        <w:ind w:left="0" w:right="1134"/>
        <w:jc w:val="center"/>
        <w:rPr>
          <w:rFonts w:cs="David"/>
          <w:color w:val="0000FF"/>
          <w:szCs w:val="24"/>
          <w:u w:val="single"/>
          <w:rtl/>
        </w:rPr>
      </w:pPr>
    </w:p>
    <w:p w:rsidR="00C52409" w:rsidRDefault="00C52409" w:rsidP="00C52409">
      <w:pPr>
        <w:pStyle w:val="P00"/>
        <w:spacing w:before="72"/>
        <w:ind w:left="0" w:right="1134"/>
        <w:jc w:val="center"/>
        <w:rPr>
          <w:rFonts w:cs="David"/>
          <w:color w:val="0000FF"/>
          <w:szCs w:val="24"/>
          <w:u w:val="single"/>
          <w:rtl/>
        </w:rPr>
      </w:pPr>
      <w:hyperlink r:id="rId14" w:history="1">
        <w:r>
          <w:rPr>
            <w:rStyle w:val="Hyperlink"/>
            <w:rFonts w:cs="David"/>
            <w:noProof w:val="0"/>
            <w:sz w:val="22"/>
            <w:szCs w:val="24"/>
            <w:rtl/>
          </w:rPr>
          <w:t>הודעה למנויים על עריכה ושינויים במסמכי פסיקה, חקיקה ועוד באתר נבו - הקש כאן</w:t>
        </w:r>
      </w:hyperlink>
    </w:p>
    <w:p w:rsidR="0052439B" w:rsidRPr="00C52409" w:rsidRDefault="0052439B" w:rsidP="00C52409">
      <w:pPr>
        <w:pStyle w:val="P00"/>
        <w:spacing w:before="72"/>
        <w:ind w:left="0" w:right="1134"/>
        <w:jc w:val="center"/>
        <w:rPr>
          <w:rFonts w:cs="David"/>
          <w:color w:val="0000FF"/>
          <w:szCs w:val="24"/>
          <w:u w:val="single"/>
          <w:rtl/>
        </w:rPr>
      </w:pPr>
    </w:p>
    <w:sectPr w:rsidR="0052439B" w:rsidRPr="00C52409">
      <w:headerReference w:type="even" r:id="rId15"/>
      <w:headerReference w:type="default" r:id="rId16"/>
      <w:footerReference w:type="even" r:id="rId17"/>
      <w:footerReference w:type="default" r:id="rId18"/>
      <w:type w:val="continuous"/>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D45DB" w:rsidRDefault="003D45DB" w:rsidP="001153D7">
      <w:pPr>
        <w:pStyle w:val="P00"/>
      </w:pPr>
      <w:r>
        <w:separator/>
      </w:r>
    </w:p>
  </w:endnote>
  <w:endnote w:type="continuationSeparator" w:id="0">
    <w:p w:rsidR="003D45DB" w:rsidRDefault="003D45DB" w:rsidP="001153D7">
      <w:pPr>
        <w:pStyle w:val="P0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B0E24" w:rsidRDefault="001B0E24">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rsidR="001B0E24" w:rsidRDefault="001B0E24">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1B0E24" w:rsidRDefault="001B0E24">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Y:\Temp\Misrad-2003\00000000\2009----------------\10-Oct\2009-10-07\law\07\tav\500_213.doc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B0E24" w:rsidRDefault="001B0E24">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C52409">
      <w:rPr>
        <w:rFonts w:hAnsi="FrankRuehl"/>
        <w:noProof/>
        <w:sz w:val="24"/>
        <w:szCs w:val="24"/>
        <w:rtl/>
      </w:rPr>
      <w:t>5</w:t>
    </w:r>
    <w:r>
      <w:rPr>
        <w:rFonts w:hAnsi="FrankRuehl"/>
        <w:sz w:val="24"/>
        <w:szCs w:val="24"/>
        <w:rtl/>
      </w:rPr>
      <w:fldChar w:fldCharType="end"/>
    </w:r>
  </w:p>
  <w:p w:rsidR="001B0E24" w:rsidRDefault="001B0E24">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1B0E24" w:rsidRDefault="001B0E24">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Y:\Temp\Misrad-2003\00000000\2009----------------\10-Oct\2009-10-07\law\07\tav\500_213.doc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D45DB" w:rsidRDefault="003D45DB">
      <w:pPr>
        <w:spacing w:before="60" w:line="240" w:lineRule="auto"/>
        <w:ind w:right="1134"/>
      </w:pPr>
      <w:r>
        <w:separator/>
      </w:r>
    </w:p>
  </w:footnote>
  <w:footnote w:type="continuationSeparator" w:id="0">
    <w:p w:rsidR="003D45DB" w:rsidRDefault="003D45DB">
      <w:r>
        <w:separator/>
      </w:r>
    </w:p>
  </w:footnote>
  <w:footnote w:id="1">
    <w:p w:rsidR="00DC51EF" w:rsidRDefault="001B0E24" w:rsidP="00DC51E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Pr>
        <w:t>*</w:t>
      </w:r>
      <w:r>
        <w:rPr>
          <w:rFonts w:hint="cs"/>
          <w:sz w:val="20"/>
          <w:rtl/>
        </w:rPr>
        <w:t xml:space="preserve"> פורסמו </w:t>
      </w:r>
      <w:hyperlink r:id="rId1" w:history="1">
        <w:r w:rsidRPr="00DC51EF">
          <w:rPr>
            <w:rStyle w:val="Hyperlink"/>
            <w:rFonts w:hint="cs"/>
            <w:sz w:val="20"/>
            <w:rtl/>
          </w:rPr>
          <w:t>ק"ת תשע"ח מס' 7905</w:t>
        </w:r>
      </w:hyperlink>
      <w:r>
        <w:rPr>
          <w:rFonts w:hint="cs"/>
          <w:sz w:val="20"/>
          <w:rtl/>
        </w:rPr>
        <w:t xml:space="preserve"> מיום 26.12.2017 עמ' 423.</w:t>
      </w:r>
    </w:p>
    <w:p w:rsidR="00D60CC4" w:rsidRDefault="000B2C41" w:rsidP="00D60CC4">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rFonts w:hint="cs"/>
          <w:sz w:val="20"/>
          <w:rtl/>
        </w:rPr>
        <w:t xml:space="preserve">תוקנו </w:t>
      </w:r>
      <w:hyperlink r:id="rId2" w:history="1">
        <w:r w:rsidRPr="00D60CC4">
          <w:rPr>
            <w:rStyle w:val="Hyperlink"/>
            <w:rFonts w:hint="cs"/>
            <w:sz w:val="20"/>
            <w:rtl/>
          </w:rPr>
          <w:t>ק"ת תשע"ח מס' 8016</w:t>
        </w:r>
      </w:hyperlink>
      <w:r>
        <w:rPr>
          <w:rFonts w:hint="cs"/>
          <w:sz w:val="20"/>
          <w:rtl/>
        </w:rPr>
        <w:t xml:space="preserve"> מיום 10.6.2018 עמ' 2148 </w:t>
      </w:r>
      <w:r>
        <w:rPr>
          <w:sz w:val="20"/>
          <w:rtl/>
        </w:rPr>
        <w:t>–</w:t>
      </w:r>
      <w:r>
        <w:rPr>
          <w:rFonts w:hint="cs"/>
          <w:sz w:val="20"/>
          <w:rtl/>
        </w:rPr>
        <w:t xml:space="preserve"> כללים תשע"ח-2018.</w:t>
      </w:r>
    </w:p>
    <w:p w:rsidR="009D1EB4" w:rsidRDefault="009D1EB4" w:rsidP="009D1EB4">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 w:history="1">
        <w:r w:rsidR="00C332C7" w:rsidRPr="009D1EB4">
          <w:rPr>
            <w:rStyle w:val="Hyperlink"/>
            <w:rFonts w:hint="cs"/>
            <w:sz w:val="20"/>
            <w:rtl/>
          </w:rPr>
          <w:t>ק"ת תשפ"א מס' 9315</w:t>
        </w:r>
      </w:hyperlink>
      <w:r w:rsidR="00C332C7">
        <w:rPr>
          <w:rFonts w:hint="cs"/>
          <w:sz w:val="20"/>
          <w:rtl/>
        </w:rPr>
        <w:t xml:space="preserve"> מיום 12.4.2021 עמ' 2924 </w:t>
      </w:r>
      <w:r w:rsidR="00C332C7">
        <w:rPr>
          <w:sz w:val="20"/>
          <w:rtl/>
        </w:rPr>
        <w:t>–</w:t>
      </w:r>
      <w:r w:rsidR="00C332C7">
        <w:rPr>
          <w:rFonts w:hint="cs"/>
          <w:sz w:val="20"/>
          <w:rtl/>
        </w:rPr>
        <w:t xml:space="preserve"> כללים תשפ"א-2021.</w:t>
      </w:r>
    </w:p>
  </w:footnote>
  <w:footnote w:id="2">
    <w:p w:rsidR="001B0E24" w:rsidRDefault="001B0E24" w:rsidP="00F97D23">
      <w:pPr>
        <w:pStyle w:val="a5"/>
        <w:spacing w:before="72" w:line="240" w:lineRule="auto"/>
        <w:ind w:right="1134"/>
        <w:rPr>
          <w:rFonts w:hint="cs"/>
          <w:rtl/>
        </w:rPr>
      </w:pPr>
      <w:r>
        <w:rPr>
          <w:rStyle w:val="a6"/>
        </w:rPr>
        <w:footnoteRef/>
      </w:r>
      <w:r w:rsidRPr="00F97D23">
        <w:rPr>
          <w:rFonts w:ascii="FrankRuehl" w:hAnsi="FrankRuehl" w:cs="FrankRuehl"/>
          <w:sz w:val="22"/>
          <w:szCs w:val="22"/>
          <w:rtl/>
        </w:rPr>
        <w:t xml:space="preserve"> המספור השגוי במקור.</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B0E24" w:rsidRDefault="001B0E24">
    <w:pPr>
      <w:pStyle w:val="a3"/>
      <w:spacing w:line="220" w:lineRule="exact"/>
      <w:ind w:left="0" w:right="1134"/>
      <w:jc w:val="center"/>
      <w:rPr>
        <w:rFonts w:hAnsi="FrankRuehl"/>
        <w:color w:val="000000"/>
        <w:sz w:val="28"/>
        <w:szCs w:val="28"/>
        <w:rtl/>
      </w:rPr>
    </w:pPr>
    <w:r>
      <w:rPr>
        <w:rFonts w:hAnsi="FrankRuehl"/>
        <w:color w:val="000000"/>
        <w:sz w:val="28"/>
        <w:szCs w:val="28"/>
        <w:rtl/>
      </w:rPr>
      <w:t>תקנות התקשורת (בזק ושידורים) (תשלומים בעד שירותי בזק המפורטים בתוספת לחוק), תשס"ב- 2002</w:t>
    </w:r>
  </w:p>
  <w:p w:rsidR="001B0E24" w:rsidRDefault="001B0E24">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1B0E24" w:rsidRDefault="001B0E24">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B0E24" w:rsidRDefault="001B0E24" w:rsidP="000F190C">
    <w:pPr>
      <w:pStyle w:val="a3"/>
      <w:spacing w:line="220" w:lineRule="exact"/>
      <w:ind w:left="0" w:right="1134"/>
      <w:jc w:val="center"/>
      <w:rPr>
        <w:rFonts w:hAnsi="FrankRuehl" w:hint="cs"/>
        <w:color w:val="000000"/>
        <w:sz w:val="28"/>
        <w:szCs w:val="28"/>
        <w:rtl/>
      </w:rPr>
    </w:pPr>
    <w:r>
      <w:rPr>
        <w:rFonts w:hAnsi="FrankRuehl" w:hint="cs"/>
        <w:color w:val="000000"/>
        <w:sz w:val="28"/>
        <w:szCs w:val="28"/>
        <w:rtl/>
      </w:rPr>
      <w:t>כללי נתוני אשראי (הוראות שונות), תשע"ח-2017</w:t>
    </w:r>
  </w:p>
  <w:p w:rsidR="001B0E24" w:rsidRDefault="001B0E24">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1B0E24" w:rsidRDefault="001B0E24">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E0BEF"/>
    <w:rsid w:val="00005B60"/>
    <w:rsid w:val="00017420"/>
    <w:rsid w:val="00043F34"/>
    <w:rsid w:val="00054113"/>
    <w:rsid w:val="000602F5"/>
    <w:rsid w:val="00062ECF"/>
    <w:rsid w:val="00070495"/>
    <w:rsid w:val="00075D40"/>
    <w:rsid w:val="00082583"/>
    <w:rsid w:val="000A65F9"/>
    <w:rsid w:val="000B25EF"/>
    <w:rsid w:val="000B2C41"/>
    <w:rsid w:val="000B73AF"/>
    <w:rsid w:val="000C1517"/>
    <w:rsid w:val="000C3D03"/>
    <w:rsid w:val="000C5361"/>
    <w:rsid w:val="000F190C"/>
    <w:rsid w:val="001153D7"/>
    <w:rsid w:val="00115AE5"/>
    <w:rsid w:val="0016119E"/>
    <w:rsid w:val="0016580D"/>
    <w:rsid w:val="00173AE5"/>
    <w:rsid w:val="00175E39"/>
    <w:rsid w:val="00176B28"/>
    <w:rsid w:val="001A7BC2"/>
    <w:rsid w:val="001B0E24"/>
    <w:rsid w:val="001B55B9"/>
    <w:rsid w:val="001C03D5"/>
    <w:rsid w:val="001C17AC"/>
    <w:rsid w:val="001D533D"/>
    <w:rsid w:val="001D5BF2"/>
    <w:rsid w:val="001E46A2"/>
    <w:rsid w:val="001F475F"/>
    <w:rsid w:val="0024041E"/>
    <w:rsid w:val="00245C6D"/>
    <w:rsid w:val="002505CB"/>
    <w:rsid w:val="00254DA4"/>
    <w:rsid w:val="00273ECE"/>
    <w:rsid w:val="00276269"/>
    <w:rsid w:val="0028405A"/>
    <w:rsid w:val="00294215"/>
    <w:rsid w:val="002B34C2"/>
    <w:rsid w:val="002B5F26"/>
    <w:rsid w:val="002B600C"/>
    <w:rsid w:val="002C7604"/>
    <w:rsid w:val="002D19C3"/>
    <w:rsid w:val="002D24EE"/>
    <w:rsid w:val="002D5811"/>
    <w:rsid w:val="002E22C6"/>
    <w:rsid w:val="00305A98"/>
    <w:rsid w:val="00314DBF"/>
    <w:rsid w:val="0031637D"/>
    <w:rsid w:val="00317E3D"/>
    <w:rsid w:val="00320967"/>
    <w:rsid w:val="00322940"/>
    <w:rsid w:val="00327CF2"/>
    <w:rsid w:val="00342A8B"/>
    <w:rsid w:val="0034536F"/>
    <w:rsid w:val="00376F5F"/>
    <w:rsid w:val="00386EF5"/>
    <w:rsid w:val="00390FA3"/>
    <w:rsid w:val="003A1639"/>
    <w:rsid w:val="003A263B"/>
    <w:rsid w:val="003A6770"/>
    <w:rsid w:val="003B268A"/>
    <w:rsid w:val="003B3D12"/>
    <w:rsid w:val="003B4D28"/>
    <w:rsid w:val="003D3F38"/>
    <w:rsid w:val="003D45DB"/>
    <w:rsid w:val="003E0C4E"/>
    <w:rsid w:val="003E1655"/>
    <w:rsid w:val="003E44E7"/>
    <w:rsid w:val="003F2647"/>
    <w:rsid w:val="003F3BEC"/>
    <w:rsid w:val="00403BCC"/>
    <w:rsid w:val="00404E60"/>
    <w:rsid w:val="0041521C"/>
    <w:rsid w:val="00415410"/>
    <w:rsid w:val="00426A03"/>
    <w:rsid w:val="0043188D"/>
    <w:rsid w:val="004335E4"/>
    <w:rsid w:val="0043593F"/>
    <w:rsid w:val="00440062"/>
    <w:rsid w:val="0044144F"/>
    <w:rsid w:val="00462720"/>
    <w:rsid w:val="00463775"/>
    <w:rsid w:val="00477532"/>
    <w:rsid w:val="00482B63"/>
    <w:rsid w:val="0048430F"/>
    <w:rsid w:val="004C2593"/>
    <w:rsid w:val="004D03C7"/>
    <w:rsid w:val="004D3349"/>
    <w:rsid w:val="004E4A2D"/>
    <w:rsid w:val="004F3CDA"/>
    <w:rsid w:val="00506E16"/>
    <w:rsid w:val="00513477"/>
    <w:rsid w:val="00521E97"/>
    <w:rsid w:val="0052439B"/>
    <w:rsid w:val="005377C3"/>
    <w:rsid w:val="00550A93"/>
    <w:rsid w:val="00555B11"/>
    <w:rsid w:val="00556D05"/>
    <w:rsid w:val="0056541E"/>
    <w:rsid w:val="00587ECE"/>
    <w:rsid w:val="00597B0F"/>
    <w:rsid w:val="005A2585"/>
    <w:rsid w:val="005A4FC2"/>
    <w:rsid w:val="005B2FE7"/>
    <w:rsid w:val="005D5C80"/>
    <w:rsid w:val="005D75B5"/>
    <w:rsid w:val="005E1D49"/>
    <w:rsid w:val="005F092E"/>
    <w:rsid w:val="005F65FC"/>
    <w:rsid w:val="00601434"/>
    <w:rsid w:val="006025F5"/>
    <w:rsid w:val="00605048"/>
    <w:rsid w:val="0061133A"/>
    <w:rsid w:val="0062178A"/>
    <w:rsid w:val="00621CA5"/>
    <w:rsid w:val="006264E2"/>
    <w:rsid w:val="00627848"/>
    <w:rsid w:val="00663AB9"/>
    <w:rsid w:val="006745E3"/>
    <w:rsid w:val="00675888"/>
    <w:rsid w:val="0067667C"/>
    <w:rsid w:val="006816D8"/>
    <w:rsid w:val="006A15C8"/>
    <w:rsid w:val="006C023A"/>
    <w:rsid w:val="006C34DE"/>
    <w:rsid w:val="006C52FF"/>
    <w:rsid w:val="006D2E19"/>
    <w:rsid w:val="006D42E4"/>
    <w:rsid w:val="006E0BEF"/>
    <w:rsid w:val="006E69DE"/>
    <w:rsid w:val="00705F48"/>
    <w:rsid w:val="00713DC7"/>
    <w:rsid w:val="00727C05"/>
    <w:rsid w:val="007479C4"/>
    <w:rsid w:val="00751918"/>
    <w:rsid w:val="00752FE9"/>
    <w:rsid w:val="007617A0"/>
    <w:rsid w:val="007675AC"/>
    <w:rsid w:val="00782A44"/>
    <w:rsid w:val="00783DE0"/>
    <w:rsid w:val="0078635E"/>
    <w:rsid w:val="00786771"/>
    <w:rsid w:val="00796D72"/>
    <w:rsid w:val="007A3D8C"/>
    <w:rsid w:val="007B0D4E"/>
    <w:rsid w:val="007D0808"/>
    <w:rsid w:val="007E0946"/>
    <w:rsid w:val="007E3EF8"/>
    <w:rsid w:val="00800047"/>
    <w:rsid w:val="0080640E"/>
    <w:rsid w:val="008138CD"/>
    <w:rsid w:val="00871F02"/>
    <w:rsid w:val="0088463A"/>
    <w:rsid w:val="008A4983"/>
    <w:rsid w:val="008A65B4"/>
    <w:rsid w:val="008B1FCD"/>
    <w:rsid w:val="008E7F61"/>
    <w:rsid w:val="008F1E41"/>
    <w:rsid w:val="00921E5A"/>
    <w:rsid w:val="0093393E"/>
    <w:rsid w:val="00943BF1"/>
    <w:rsid w:val="0098048A"/>
    <w:rsid w:val="00980513"/>
    <w:rsid w:val="009816EA"/>
    <w:rsid w:val="00992CEB"/>
    <w:rsid w:val="009A4D64"/>
    <w:rsid w:val="009D1EB4"/>
    <w:rsid w:val="009D55FB"/>
    <w:rsid w:val="009E1ED1"/>
    <w:rsid w:val="009F18D3"/>
    <w:rsid w:val="00A07F73"/>
    <w:rsid w:val="00A105A6"/>
    <w:rsid w:val="00A14553"/>
    <w:rsid w:val="00A2279B"/>
    <w:rsid w:val="00A3360D"/>
    <w:rsid w:val="00A35851"/>
    <w:rsid w:val="00A53FFA"/>
    <w:rsid w:val="00A5567F"/>
    <w:rsid w:val="00A97203"/>
    <w:rsid w:val="00AC3520"/>
    <w:rsid w:val="00AF6BF6"/>
    <w:rsid w:val="00B01622"/>
    <w:rsid w:val="00B0746C"/>
    <w:rsid w:val="00B23890"/>
    <w:rsid w:val="00B33E9D"/>
    <w:rsid w:val="00B36F4C"/>
    <w:rsid w:val="00B54F14"/>
    <w:rsid w:val="00B6777C"/>
    <w:rsid w:val="00B67CED"/>
    <w:rsid w:val="00B7125D"/>
    <w:rsid w:val="00B75003"/>
    <w:rsid w:val="00B823AB"/>
    <w:rsid w:val="00B8420E"/>
    <w:rsid w:val="00B9089A"/>
    <w:rsid w:val="00B92B57"/>
    <w:rsid w:val="00B93D82"/>
    <w:rsid w:val="00BA3CCE"/>
    <w:rsid w:val="00BC191A"/>
    <w:rsid w:val="00BE05D5"/>
    <w:rsid w:val="00BF6605"/>
    <w:rsid w:val="00C02B83"/>
    <w:rsid w:val="00C26EEC"/>
    <w:rsid w:val="00C332C7"/>
    <w:rsid w:val="00C370E0"/>
    <w:rsid w:val="00C45BF5"/>
    <w:rsid w:val="00C45C3F"/>
    <w:rsid w:val="00C52409"/>
    <w:rsid w:val="00C5736C"/>
    <w:rsid w:val="00C62561"/>
    <w:rsid w:val="00C6357C"/>
    <w:rsid w:val="00C92E0E"/>
    <w:rsid w:val="00C95911"/>
    <w:rsid w:val="00CA1404"/>
    <w:rsid w:val="00CA5755"/>
    <w:rsid w:val="00CB6E53"/>
    <w:rsid w:val="00CB790E"/>
    <w:rsid w:val="00CC29D6"/>
    <w:rsid w:val="00CC6E75"/>
    <w:rsid w:val="00CE7469"/>
    <w:rsid w:val="00CF527A"/>
    <w:rsid w:val="00D11EA5"/>
    <w:rsid w:val="00D21A7E"/>
    <w:rsid w:val="00D60CC4"/>
    <w:rsid w:val="00D62F4C"/>
    <w:rsid w:val="00D75396"/>
    <w:rsid w:val="00D81E1D"/>
    <w:rsid w:val="00D96125"/>
    <w:rsid w:val="00DC51EF"/>
    <w:rsid w:val="00DD002E"/>
    <w:rsid w:val="00DD307B"/>
    <w:rsid w:val="00DD4234"/>
    <w:rsid w:val="00DE4C2A"/>
    <w:rsid w:val="00DE55D2"/>
    <w:rsid w:val="00E02274"/>
    <w:rsid w:val="00E2041E"/>
    <w:rsid w:val="00E22C9F"/>
    <w:rsid w:val="00E33582"/>
    <w:rsid w:val="00E44EC4"/>
    <w:rsid w:val="00E45AC2"/>
    <w:rsid w:val="00E65DD1"/>
    <w:rsid w:val="00E7102F"/>
    <w:rsid w:val="00ED158A"/>
    <w:rsid w:val="00ED29FC"/>
    <w:rsid w:val="00ED6CFE"/>
    <w:rsid w:val="00EF4509"/>
    <w:rsid w:val="00F035EA"/>
    <w:rsid w:val="00F05B6A"/>
    <w:rsid w:val="00F065DE"/>
    <w:rsid w:val="00F20D9B"/>
    <w:rsid w:val="00F21308"/>
    <w:rsid w:val="00F23033"/>
    <w:rsid w:val="00F2433C"/>
    <w:rsid w:val="00F35D6F"/>
    <w:rsid w:val="00F45FE4"/>
    <w:rsid w:val="00F50AE3"/>
    <w:rsid w:val="00F531DD"/>
    <w:rsid w:val="00F53E9D"/>
    <w:rsid w:val="00F64F30"/>
    <w:rsid w:val="00F67FAB"/>
    <w:rsid w:val="00F75BA1"/>
    <w:rsid w:val="00F75FD2"/>
    <w:rsid w:val="00F97D23"/>
    <w:rsid w:val="00FA05BC"/>
    <w:rsid w:val="00FC128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F27C8F2D-9766-4F91-B474-F666D4846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rPr>
      <w:rFonts w:cs="Miriam"/>
      <w:sz w:val="18"/>
      <w:szCs w:val="18"/>
    </w:rPr>
  </w:style>
  <w:style w:type="character" w:styleId="FollowedHyperlink">
    <w:name w:val="FollowedHyperlink"/>
    <w:rPr>
      <w:color w:val="800080"/>
      <w:u w:val="single"/>
    </w:rPr>
  </w:style>
  <w:style w:type="paragraph" w:styleId="2">
    <w:name w:val="Body Text 2"/>
    <w:basedOn w:val="a"/>
  </w:style>
  <w:style w:type="paragraph" w:styleId="3">
    <w:name w:val="Body Text 3"/>
    <w:basedOn w:val="a"/>
  </w:style>
  <w:style w:type="table" w:styleId="a8">
    <w:name w:val="Table Grid"/>
    <w:basedOn w:val="a1"/>
    <w:rsid w:val="00F531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uiPriority w:val="99"/>
    <w:semiHidden/>
    <w:unhideWhenUsed/>
    <w:rsid w:val="000B2C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600459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8016.pdf" TargetMode="External"/><Relationship Id="rId13" Type="http://schemas.openxmlformats.org/officeDocument/2006/relationships/hyperlink" Target="http://www.nevo.co.il/advertisements/nevo-100.doc" TargetMode="External"/><Relationship Id="rId1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s://www.nevo.co.il/law_word/law06/tak-9315.pdf" TargetMode="External"/><Relationship Id="rId12" Type="http://schemas.openxmlformats.org/officeDocument/2006/relationships/hyperlink" Target="https://www.nevo.co.il/law_word/law06/tak-9315.pdf" TargetMode="External"/><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_word/law06/tak-8016.pdf" TargetMode="External"/><Relationship Id="rId11" Type="http://schemas.openxmlformats.org/officeDocument/2006/relationships/hyperlink" Target="https://www.nevo.co.il/law_word/law06/tak-9315.pdf" TargetMode="External"/><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hyperlink" Target="http://www.nevo.co.il/Law_word/law06/tak-8016.pdf"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nevo.co.il/Law_word/law06/tak-8016.pdf" TargetMode="External"/><Relationship Id="rId14" Type="http://schemas.openxmlformats.org/officeDocument/2006/relationships/hyperlink" Target="http://www.nevo.co.il/advertisements/nevo-100.doc"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nevo.co.il/law_word/law06/tak-9315.pdf" TargetMode="External"/><Relationship Id="rId2" Type="http://schemas.openxmlformats.org/officeDocument/2006/relationships/hyperlink" Target="http://www.nevo.co.il/Law_word/law06/TAK-8016.pdf" TargetMode="External"/><Relationship Id="rId1" Type="http://schemas.openxmlformats.org/officeDocument/2006/relationships/hyperlink" Target="http://www.nevo.co.il/Law_word/law06/tak-790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2014</Words>
  <Characters>11486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13474</CharactersWithSpaces>
  <SharedDoc>false</SharedDoc>
  <HLinks>
    <vt:vector size="222" baseType="variant">
      <vt:variant>
        <vt:i4>393283</vt:i4>
      </vt:variant>
      <vt:variant>
        <vt:i4>174</vt:i4>
      </vt:variant>
      <vt:variant>
        <vt:i4>0</vt:i4>
      </vt:variant>
      <vt:variant>
        <vt:i4>5</vt:i4>
      </vt:variant>
      <vt:variant>
        <vt:lpwstr>http://www.nevo.co.il/advertisements/nevo-100.doc</vt:lpwstr>
      </vt:variant>
      <vt:variant>
        <vt:lpwstr/>
      </vt:variant>
      <vt:variant>
        <vt:i4>393283</vt:i4>
      </vt:variant>
      <vt:variant>
        <vt:i4>171</vt:i4>
      </vt:variant>
      <vt:variant>
        <vt:i4>0</vt:i4>
      </vt:variant>
      <vt:variant>
        <vt:i4>5</vt:i4>
      </vt:variant>
      <vt:variant>
        <vt:lpwstr>http://www.nevo.co.il/advertisements/nevo-100.doc</vt:lpwstr>
      </vt:variant>
      <vt:variant>
        <vt:lpwstr/>
      </vt:variant>
      <vt:variant>
        <vt:i4>7340058</vt:i4>
      </vt:variant>
      <vt:variant>
        <vt:i4>168</vt:i4>
      </vt:variant>
      <vt:variant>
        <vt:i4>0</vt:i4>
      </vt:variant>
      <vt:variant>
        <vt:i4>5</vt:i4>
      </vt:variant>
      <vt:variant>
        <vt:lpwstr>https://www.nevo.co.il/law_word/law06/tak-9315.pdf</vt:lpwstr>
      </vt:variant>
      <vt:variant>
        <vt:lpwstr/>
      </vt:variant>
      <vt:variant>
        <vt:i4>7340058</vt:i4>
      </vt:variant>
      <vt:variant>
        <vt:i4>165</vt:i4>
      </vt:variant>
      <vt:variant>
        <vt:i4>0</vt:i4>
      </vt:variant>
      <vt:variant>
        <vt:i4>5</vt:i4>
      </vt:variant>
      <vt:variant>
        <vt:lpwstr>https://www.nevo.co.il/law_word/law06/tak-9315.pdf</vt:lpwstr>
      </vt:variant>
      <vt:variant>
        <vt:lpwstr/>
      </vt:variant>
      <vt:variant>
        <vt:i4>7340046</vt:i4>
      </vt:variant>
      <vt:variant>
        <vt:i4>162</vt:i4>
      </vt:variant>
      <vt:variant>
        <vt:i4>0</vt:i4>
      </vt:variant>
      <vt:variant>
        <vt:i4>5</vt:i4>
      </vt:variant>
      <vt:variant>
        <vt:lpwstr>http://www.nevo.co.il/Law_word/law06/tak-8016.pdf</vt:lpwstr>
      </vt:variant>
      <vt:variant>
        <vt:lpwstr/>
      </vt:variant>
      <vt:variant>
        <vt:i4>7340046</vt:i4>
      </vt:variant>
      <vt:variant>
        <vt:i4>159</vt:i4>
      </vt:variant>
      <vt:variant>
        <vt:i4>0</vt:i4>
      </vt:variant>
      <vt:variant>
        <vt:i4>5</vt:i4>
      </vt:variant>
      <vt:variant>
        <vt:lpwstr>http://www.nevo.co.il/Law_word/law06/tak-8016.pdf</vt:lpwstr>
      </vt:variant>
      <vt:variant>
        <vt:lpwstr/>
      </vt:variant>
      <vt:variant>
        <vt:i4>7340046</vt:i4>
      </vt:variant>
      <vt:variant>
        <vt:i4>156</vt:i4>
      </vt:variant>
      <vt:variant>
        <vt:i4>0</vt:i4>
      </vt:variant>
      <vt:variant>
        <vt:i4>5</vt:i4>
      </vt:variant>
      <vt:variant>
        <vt:lpwstr>http://www.nevo.co.il/Law_word/law06/tak-8016.pdf</vt:lpwstr>
      </vt:variant>
      <vt:variant>
        <vt:lpwstr/>
      </vt:variant>
      <vt:variant>
        <vt:i4>7340058</vt:i4>
      </vt:variant>
      <vt:variant>
        <vt:i4>153</vt:i4>
      </vt:variant>
      <vt:variant>
        <vt:i4>0</vt:i4>
      </vt:variant>
      <vt:variant>
        <vt:i4>5</vt:i4>
      </vt:variant>
      <vt:variant>
        <vt:lpwstr>https://www.nevo.co.il/law_word/law06/tak-9315.pdf</vt:lpwstr>
      </vt:variant>
      <vt:variant>
        <vt:lpwstr/>
      </vt:variant>
      <vt:variant>
        <vt:i4>7340046</vt:i4>
      </vt:variant>
      <vt:variant>
        <vt:i4>150</vt:i4>
      </vt:variant>
      <vt:variant>
        <vt:i4>0</vt:i4>
      </vt:variant>
      <vt:variant>
        <vt:i4>5</vt:i4>
      </vt:variant>
      <vt:variant>
        <vt:lpwstr>http://www.nevo.co.il/Law_word/law06/tak-8016.pdf</vt:lpwstr>
      </vt:variant>
      <vt:variant>
        <vt:lpwstr/>
      </vt:variant>
      <vt:variant>
        <vt:i4>3473451</vt:i4>
      </vt:variant>
      <vt:variant>
        <vt:i4>144</vt:i4>
      </vt:variant>
      <vt:variant>
        <vt:i4>0</vt:i4>
      </vt:variant>
      <vt:variant>
        <vt:i4>5</vt:i4>
      </vt:variant>
      <vt:variant>
        <vt:lpwstr/>
      </vt:variant>
      <vt:variant>
        <vt:lpwstr>Seif16</vt:lpwstr>
      </vt:variant>
      <vt:variant>
        <vt:i4>6094857</vt:i4>
      </vt:variant>
      <vt:variant>
        <vt:i4>138</vt:i4>
      </vt:variant>
      <vt:variant>
        <vt:i4>0</vt:i4>
      </vt:variant>
      <vt:variant>
        <vt:i4>5</vt:i4>
      </vt:variant>
      <vt:variant>
        <vt:lpwstr/>
      </vt:variant>
      <vt:variant>
        <vt:lpwstr>med8</vt:lpwstr>
      </vt:variant>
      <vt:variant>
        <vt:i4>3538987</vt:i4>
      </vt:variant>
      <vt:variant>
        <vt:i4>132</vt:i4>
      </vt:variant>
      <vt:variant>
        <vt:i4>0</vt:i4>
      </vt:variant>
      <vt:variant>
        <vt:i4>5</vt:i4>
      </vt:variant>
      <vt:variant>
        <vt:lpwstr/>
      </vt:variant>
      <vt:variant>
        <vt:lpwstr>Seif15</vt:lpwstr>
      </vt:variant>
      <vt:variant>
        <vt:i4>3604523</vt:i4>
      </vt:variant>
      <vt:variant>
        <vt:i4>126</vt:i4>
      </vt:variant>
      <vt:variant>
        <vt:i4>0</vt:i4>
      </vt:variant>
      <vt:variant>
        <vt:i4>5</vt:i4>
      </vt:variant>
      <vt:variant>
        <vt:lpwstr/>
      </vt:variant>
      <vt:variant>
        <vt:lpwstr>Seif14</vt:lpwstr>
      </vt:variant>
      <vt:variant>
        <vt:i4>5373961</vt:i4>
      </vt:variant>
      <vt:variant>
        <vt:i4>120</vt:i4>
      </vt:variant>
      <vt:variant>
        <vt:i4>0</vt:i4>
      </vt:variant>
      <vt:variant>
        <vt:i4>5</vt:i4>
      </vt:variant>
      <vt:variant>
        <vt:lpwstr/>
      </vt:variant>
      <vt:variant>
        <vt:lpwstr>med7</vt:lpwstr>
      </vt:variant>
      <vt:variant>
        <vt:i4>3145771</vt:i4>
      </vt:variant>
      <vt:variant>
        <vt:i4>114</vt:i4>
      </vt:variant>
      <vt:variant>
        <vt:i4>0</vt:i4>
      </vt:variant>
      <vt:variant>
        <vt:i4>5</vt:i4>
      </vt:variant>
      <vt:variant>
        <vt:lpwstr/>
      </vt:variant>
      <vt:variant>
        <vt:lpwstr>Seif13</vt:lpwstr>
      </vt:variant>
      <vt:variant>
        <vt:i4>3211307</vt:i4>
      </vt:variant>
      <vt:variant>
        <vt:i4>108</vt:i4>
      </vt:variant>
      <vt:variant>
        <vt:i4>0</vt:i4>
      </vt:variant>
      <vt:variant>
        <vt:i4>5</vt:i4>
      </vt:variant>
      <vt:variant>
        <vt:lpwstr/>
      </vt:variant>
      <vt:variant>
        <vt:lpwstr>Seif12</vt:lpwstr>
      </vt:variant>
      <vt:variant>
        <vt:i4>3276843</vt:i4>
      </vt:variant>
      <vt:variant>
        <vt:i4>102</vt:i4>
      </vt:variant>
      <vt:variant>
        <vt:i4>0</vt:i4>
      </vt:variant>
      <vt:variant>
        <vt:i4>5</vt:i4>
      </vt:variant>
      <vt:variant>
        <vt:lpwstr/>
      </vt:variant>
      <vt:variant>
        <vt:lpwstr>Seif11</vt:lpwstr>
      </vt:variant>
      <vt:variant>
        <vt:i4>5439497</vt:i4>
      </vt:variant>
      <vt:variant>
        <vt:i4>96</vt:i4>
      </vt:variant>
      <vt:variant>
        <vt:i4>0</vt:i4>
      </vt:variant>
      <vt:variant>
        <vt:i4>5</vt:i4>
      </vt:variant>
      <vt:variant>
        <vt:lpwstr/>
      </vt:variant>
      <vt:variant>
        <vt:lpwstr>med6</vt:lpwstr>
      </vt:variant>
      <vt:variant>
        <vt:i4>3342379</vt:i4>
      </vt:variant>
      <vt:variant>
        <vt:i4>90</vt:i4>
      </vt:variant>
      <vt:variant>
        <vt:i4>0</vt:i4>
      </vt:variant>
      <vt:variant>
        <vt:i4>5</vt:i4>
      </vt:variant>
      <vt:variant>
        <vt:lpwstr/>
      </vt:variant>
      <vt:variant>
        <vt:lpwstr>Seif10</vt:lpwstr>
      </vt:variant>
      <vt:variant>
        <vt:i4>5242889</vt:i4>
      </vt:variant>
      <vt:variant>
        <vt:i4>84</vt:i4>
      </vt:variant>
      <vt:variant>
        <vt:i4>0</vt:i4>
      </vt:variant>
      <vt:variant>
        <vt:i4>5</vt:i4>
      </vt:variant>
      <vt:variant>
        <vt:lpwstr/>
      </vt:variant>
      <vt:variant>
        <vt:lpwstr>med5</vt:lpwstr>
      </vt:variant>
      <vt:variant>
        <vt:i4>196634</vt:i4>
      </vt:variant>
      <vt:variant>
        <vt:i4>78</vt:i4>
      </vt:variant>
      <vt:variant>
        <vt:i4>0</vt:i4>
      </vt:variant>
      <vt:variant>
        <vt:i4>5</vt:i4>
      </vt:variant>
      <vt:variant>
        <vt:lpwstr/>
      </vt:variant>
      <vt:variant>
        <vt:lpwstr>Seif9</vt:lpwstr>
      </vt:variant>
      <vt:variant>
        <vt:i4>196634</vt:i4>
      </vt:variant>
      <vt:variant>
        <vt:i4>72</vt:i4>
      </vt:variant>
      <vt:variant>
        <vt:i4>0</vt:i4>
      </vt:variant>
      <vt:variant>
        <vt:i4>5</vt:i4>
      </vt:variant>
      <vt:variant>
        <vt:lpwstr/>
      </vt:variant>
      <vt:variant>
        <vt:lpwstr>Seif8</vt:lpwstr>
      </vt:variant>
      <vt:variant>
        <vt:i4>196634</vt:i4>
      </vt:variant>
      <vt:variant>
        <vt:i4>66</vt:i4>
      </vt:variant>
      <vt:variant>
        <vt:i4>0</vt:i4>
      </vt:variant>
      <vt:variant>
        <vt:i4>5</vt:i4>
      </vt:variant>
      <vt:variant>
        <vt:lpwstr/>
      </vt:variant>
      <vt:variant>
        <vt:lpwstr>Seif7</vt:lpwstr>
      </vt:variant>
      <vt:variant>
        <vt:i4>5308425</vt:i4>
      </vt:variant>
      <vt:variant>
        <vt:i4>60</vt:i4>
      </vt:variant>
      <vt:variant>
        <vt:i4>0</vt:i4>
      </vt:variant>
      <vt:variant>
        <vt:i4>5</vt:i4>
      </vt:variant>
      <vt:variant>
        <vt:lpwstr/>
      </vt:variant>
      <vt:variant>
        <vt:lpwstr>med4</vt:lpwstr>
      </vt:variant>
      <vt:variant>
        <vt:i4>196634</vt:i4>
      </vt:variant>
      <vt:variant>
        <vt:i4>54</vt:i4>
      </vt:variant>
      <vt:variant>
        <vt:i4>0</vt:i4>
      </vt:variant>
      <vt:variant>
        <vt:i4>5</vt:i4>
      </vt:variant>
      <vt:variant>
        <vt:lpwstr/>
      </vt:variant>
      <vt:variant>
        <vt:lpwstr>Seif6</vt:lpwstr>
      </vt:variant>
      <vt:variant>
        <vt:i4>196634</vt:i4>
      </vt:variant>
      <vt:variant>
        <vt:i4>48</vt:i4>
      </vt:variant>
      <vt:variant>
        <vt:i4>0</vt:i4>
      </vt:variant>
      <vt:variant>
        <vt:i4>5</vt:i4>
      </vt:variant>
      <vt:variant>
        <vt:lpwstr/>
      </vt:variant>
      <vt:variant>
        <vt:lpwstr>Seif5</vt:lpwstr>
      </vt:variant>
      <vt:variant>
        <vt:i4>196634</vt:i4>
      </vt:variant>
      <vt:variant>
        <vt:i4>42</vt:i4>
      </vt:variant>
      <vt:variant>
        <vt:i4>0</vt:i4>
      </vt:variant>
      <vt:variant>
        <vt:i4>5</vt:i4>
      </vt:variant>
      <vt:variant>
        <vt:lpwstr/>
      </vt:variant>
      <vt:variant>
        <vt:lpwstr>Seif4</vt:lpwstr>
      </vt:variant>
      <vt:variant>
        <vt:i4>5636105</vt:i4>
      </vt:variant>
      <vt:variant>
        <vt:i4>36</vt:i4>
      </vt:variant>
      <vt:variant>
        <vt:i4>0</vt:i4>
      </vt:variant>
      <vt:variant>
        <vt:i4>5</vt:i4>
      </vt:variant>
      <vt:variant>
        <vt:lpwstr/>
      </vt:variant>
      <vt:variant>
        <vt:lpwstr>med3</vt:lpwstr>
      </vt:variant>
      <vt:variant>
        <vt:i4>196634</vt:i4>
      </vt:variant>
      <vt:variant>
        <vt:i4>30</vt:i4>
      </vt:variant>
      <vt:variant>
        <vt:i4>0</vt:i4>
      </vt:variant>
      <vt:variant>
        <vt:i4>5</vt:i4>
      </vt:variant>
      <vt:variant>
        <vt:lpwstr/>
      </vt:variant>
      <vt:variant>
        <vt:lpwstr>Seif3</vt:lpwstr>
      </vt:variant>
      <vt:variant>
        <vt:i4>5701641</vt:i4>
      </vt:variant>
      <vt:variant>
        <vt:i4>24</vt:i4>
      </vt:variant>
      <vt:variant>
        <vt:i4>0</vt:i4>
      </vt:variant>
      <vt:variant>
        <vt:i4>5</vt:i4>
      </vt:variant>
      <vt:variant>
        <vt:lpwstr/>
      </vt:variant>
      <vt:variant>
        <vt:lpwstr>med2</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7340058</vt:i4>
      </vt:variant>
      <vt:variant>
        <vt:i4>6</vt:i4>
      </vt:variant>
      <vt:variant>
        <vt:i4>0</vt:i4>
      </vt:variant>
      <vt:variant>
        <vt:i4>5</vt:i4>
      </vt:variant>
      <vt:variant>
        <vt:lpwstr>https://www.nevo.co.il/law_word/law06/tak-9315.pdf</vt:lpwstr>
      </vt:variant>
      <vt:variant>
        <vt:lpwstr/>
      </vt:variant>
      <vt:variant>
        <vt:i4>7340046</vt:i4>
      </vt:variant>
      <vt:variant>
        <vt:i4>3</vt:i4>
      </vt:variant>
      <vt:variant>
        <vt:i4>0</vt:i4>
      </vt:variant>
      <vt:variant>
        <vt:i4>5</vt:i4>
      </vt:variant>
      <vt:variant>
        <vt:lpwstr>http://www.nevo.co.il/Law_word/law06/TAK-8016.pdf</vt:lpwstr>
      </vt:variant>
      <vt:variant>
        <vt:lpwstr/>
      </vt:variant>
      <vt:variant>
        <vt:i4>8257540</vt:i4>
      </vt:variant>
      <vt:variant>
        <vt:i4>0</vt:i4>
      </vt:variant>
      <vt:variant>
        <vt:i4>0</vt:i4>
      </vt:variant>
      <vt:variant>
        <vt:i4>5</vt:i4>
      </vt:variant>
      <vt:variant>
        <vt:lpwstr>http://www.nevo.co.il/Law_word/law06/tak-7905.pdf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2023-06-05T19:12:00Z</dcterms:created>
  <dcterms:modified xsi:type="dcterms:W3CDTF">2023-06-05T19:12:00Z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CHNAME">
    <vt:lpwstr>נתוני אשראי</vt:lpwstr>
  </property>
  <property fmtid="{D5CDD505-2E9C-101B-9397-08002B2CF9AE}" pid="4" name="LAWNAME">
    <vt:lpwstr>כללי נתוני אשראי (הוראות שונות), תשע"ח-2017</vt:lpwstr>
  </property>
  <property fmtid="{D5CDD505-2E9C-101B-9397-08002B2CF9AE}" pid="5" name="LAWNUMBER">
    <vt:lpwstr>0736</vt:lpwstr>
  </property>
  <property fmtid="{D5CDD505-2E9C-101B-9397-08002B2CF9AE}" pid="6" name="TYPE">
    <vt:lpwstr>01</vt:lpwstr>
  </property>
  <property fmtid="{D5CDD505-2E9C-101B-9397-08002B2CF9AE}" pid="7" name="LINKK4">
    <vt:lpwstr/>
  </property>
  <property fmtid="{D5CDD505-2E9C-101B-9397-08002B2CF9AE}" pid="8" name="LINKK5">
    <vt:lpwstr/>
  </property>
  <property fmtid="{D5CDD505-2E9C-101B-9397-08002B2CF9AE}" pid="9" name="LINKK6">
    <vt:lpwstr/>
  </property>
  <property fmtid="{D5CDD505-2E9C-101B-9397-08002B2CF9AE}" pid="10" name="LINKK7">
    <vt:lpwstr/>
  </property>
  <property fmtid="{D5CDD505-2E9C-101B-9397-08002B2CF9AE}" pid="11" name="LINKK8">
    <vt:lpwstr/>
  </property>
  <property fmtid="{D5CDD505-2E9C-101B-9397-08002B2CF9AE}" pid="12" name="LINKK9">
    <vt:lpwstr/>
  </property>
  <property fmtid="{D5CDD505-2E9C-101B-9397-08002B2CF9AE}" pid="13" name="LINKK10">
    <vt:lpwstr/>
  </property>
  <property fmtid="{D5CDD505-2E9C-101B-9397-08002B2CF9AE}" pid="14" name="LINKI1">
    <vt:lpwstr/>
  </property>
  <property fmtid="{D5CDD505-2E9C-101B-9397-08002B2CF9AE}" pid="15" name="LINKI2">
    <vt:lpwstr/>
  </property>
  <property fmtid="{D5CDD505-2E9C-101B-9397-08002B2CF9AE}" pid="16" name="LINKI3">
    <vt:lpwstr/>
  </property>
  <property fmtid="{D5CDD505-2E9C-101B-9397-08002B2CF9AE}" pid="17" name="LINKI4">
    <vt:lpwstr/>
  </property>
  <property fmtid="{D5CDD505-2E9C-101B-9397-08002B2CF9AE}" pid="18" name="LINKI5">
    <vt:lpwstr/>
  </property>
  <property fmtid="{D5CDD505-2E9C-101B-9397-08002B2CF9AE}" pid="19" name="LINKK3">
    <vt:lpwstr>https://www.nevo.co.il/law_word/law06/tak-9315.pdf;‎רשומות - תקנות כלליות#ק"ת תשפ"א מס' 9315 ‏‏#מיום 12.4.2021 עמ' 2924 – כללים תשפ"א-2021‏</vt:lpwstr>
  </property>
  <property fmtid="{D5CDD505-2E9C-101B-9397-08002B2CF9AE}" pid="20" name="MEKORSAMCHUT">
    <vt:lpwstr/>
  </property>
  <property fmtid="{D5CDD505-2E9C-101B-9397-08002B2CF9AE}" pid="21" name="NOSE11">
    <vt:lpwstr>משפט פרטי וכלכלה</vt:lpwstr>
  </property>
  <property fmtid="{D5CDD505-2E9C-101B-9397-08002B2CF9AE}" pid="22" name="NOSE21">
    <vt:lpwstr>כספים</vt:lpwstr>
  </property>
  <property fmtid="{D5CDD505-2E9C-101B-9397-08002B2CF9AE}" pid="23" name="NOSE31">
    <vt:lpwstr>בנקאות</vt:lpwstr>
  </property>
  <property fmtid="{D5CDD505-2E9C-101B-9397-08002B2CF9AE}" pid="24" name="NOSE41">
    <vt:lpwstr>שירות ללקוח</vt:lpwstr>
  </property>
  <property fmtid="{D5CDD505-2E9C-101B-9397-08002B2CF9AE}" pid="25" name="NOSE12">
    <vt:lpwstr>משפט פרטי וכלכלה</vt:lpwstr>
  </property>
  <property fmtid="{D5CDD505-2E9C-101B-9397-08002B2CF9AE}" pid="26" name="NOSE22">
    <vt:lpwstr>כספים</vt:lpwstr>
  </property>
  <property fmtid="{D5CDD505-2E9C-101B-9397-08002B2CF9AE}" pid="27" name="NOSE32">
    <vt:lpwstr>שירות נתוני אשראי</vt:lpwstr>
  </property>
  <property fmtid="{D5CDD505-2E9C-101B-9397-08002B2CF9AE}" pid="28" name="NOSE13">
    <vt:lpwstr/>
  </property>
  <property fmtid="{D5CDD505-2E9C-101B-9397-08002B2CF9AE}" pid="29" name="NOSE23">
    <vt:lpwstr/>
  </property>
  <property fmtid="{D5CDD505-2E9C-101B-9397-08002B2CF9AE}" pid="30" name="NOSE33">
    <vt:lpwstr/>
  </property>
  <property fmtid="{D5CDD505-2E9C-101B-9397-08002B2CF9AE}" pid="31" name="NOSE43">
    <vt:lpwstr/>
  </property>
  <property fmtid="{D5CDD505-2E9C-101B-9397-08002B2CF9AE}" pid="32" name="NOSE14">
    <vt:lpwstr/>
  </property>
  <property fmtid="{D5CDD505-2E9C-101B-9397-08002B2CF9AE}" pid="33" name="NOSE24">
    <vt:lpwstr/>
  </property>
  <property fmtid="{D5CDD505-2E9C-101B-9397-08002B2CF9AE}" pid="34" name="NOSE34">
    <vt:lpwstr/>
  </property>
  <property fmtid="{D5CDD505-2E9C-101B-9397-08002B2CF9AE}" pid="35" name="NOSE44">
    <vt:lpwstr/>
  </property>
  <property fmtid="{D5CDD505-2E9C-101B-9397-08002B2CF9AE}" pid="36" name="NOSE15">
    <vt:lpwstr/>
  </property>
  <property fmtid="{D5CDD505-2E9C-101B-9397-08002B2CF9AE}" pid="37" name="NOSE25">
    <vt:lpwstr/>
  </property>
  <property fmtid="{D5CDD505-2E9C-101B-9397-08002B2CF9AE}" pid="38" name="NOSE35">
    <vt:lpwstr/>
  </property>
  <property fmtid="{D5CDD505-2E9C-101B-9397-08002B2CF9AE}" pid="39" name="NOSE45">
    <vt:lpwstr/>
  </property>
  <property fmtid="{D5CDD505-2E9C-101B-9397-08002B2CF9AE}" pid="40" name="NOSE16">
    <vt:lpwstr/>
  </property>
  <property fmtid="{D5CDD505-2E9C-101B-9397-08002B2CF9AE}" pid="41" name="NOSE26">
    <vt:lpwstr/>
  </property>
  <property fmtid="{D5CDD505-2E9C-101B-9397-08002B2CF9AE}" pid="42" name="NOSE36">
    <vt:lpwstr/>
  </property>
  <property fmtid="{D5CDD505-2E9C-101B-9397-08002B2CF9AE}" pid="43" name="NOSE46">
    <vt:lpwstr/>
  </property>
  <property fmtid="{D5CDD505-2E9C-101B-9397-08002B2CF9AE}" pid="44" name="NOSE17">
    <vt:lpwstr/>
  </property>
  <property fmtid="{D5CDD505-2E9C-101B-9397-08002B2CF9AE}" pid="45" name="NOSE27">
    <vt:lpwstr/>
  </property>
  <property fmtid="{D5CDD505-2E9C-101B-9397-08002B2CF9AE}" pid="46" name="NOSE37">
    <vt:lpwstr/>
  </property>
  <property fmtid="{D5CDD505-2E9C-101B-9397-08002B2CF9AE}" pid="47" name="NOSE47">
    <vt:lpwstr/>
  </property>
  <property fmtid="{D5CDD505-2E9C-101B-9397-08002B2CF9AE}" pid="48" name="NOSE18">
    <vt:lpwstr/>
  </property>
  <property fmtid="{D5CDD505-2E9C-101B-9397-08002B2CF9AE}" pid="49" name="NOSE28">
    <vt:lpwstr/>
  </property>
  <property fmtid="{D5CDD505-2E9C-101B-9397-08002B2CF9AE}" pid="50" name="NOSE38">
    <vt:lpwstr/>
  </property>
  <property fmtid="{D5CDD505-2E9C-101B-9397-08002B2CF9AE}" pid="51" name="NOSE48">
    <vt:lpwstr/>
  </property>
  <property fmtid="{D5CDD505-2E9C-101B-9397-08002B2CF9AE}" pid="52" name="NOSE19">
    <vt:lpwstr/>
  </property>
  <property fmtid="{D5CDD505-2E9C-101B-9397-08002B2CF9AE}" pid="53" name="NOSE29">
    <vt:lpwstr/>
  </property>
  <property fmtid="{D5CDD505-2E9C-101B-9397-08002B2CF9AE}" pid="54" name="NOSE39">
    <vt:lpwstr/>
  </property>
  <property fmtid="{D5CDD505-2E9C-101B-9397-08002B2CF9AE}" pid="55" name="NOSE49">
    <vt:lpwstr/>
  </property>
  <property fmtid="{D5CDD505-2E9C-101B-9397-08002B2CF9AE}" pid="56" name="NOSE110">
    <vt:lpwstr/>
  </property>
  <property fmtid="{D5CDD505-2E9C-101B-9397-08002B2CF9AE}" pid="57" name="NOSE210">
    <vt:lpwstr/>
  </property>
  <property fmtid="{D5CDD505-2E9C-101B-9397-08002B2CF9AE}" pid="58" name="NOSE310">
    <vt:lpwstr/>
  </property>
  <property fmtid="{D5CDD505-2E9C-101B-9397-08002B2CF9AE}" pid="59" name="NOSE410">
    <vt:lpwstr/>
  </property>
  <property fmtid="{D5CDD505-2E9C-101B-9397-08002B2CF9AE}" pid="60" name="LINKK2">
    <vt:lpwstr>http://www.nevo.co.il/Law_word/law06/TAK-8016.pdf;רשומות - תקנות כלליות#תוקנו ק"ת תשע"ח מס' 8016 #מיום 10.6.2018 עמ' 2148 – כללים תשע"ח-2018</vt:lpwstr>
  </property>
  <property fmtid="{D5CDD505-2E9C-101B-9397-08002B2CF9AE}" pid="61" name="MEKOR_NAME1">
    <vt:lpwstr>חוק נתוני אשראי</vt:lpwstr>
  </property>
  <property fmtid="{D5CDD505-2E9C-101B-9397-08002B2CF9AE}" pid="62" name="MEKOR_SAIF1">
    <vt:lpwstr>12XבX;19XאX9X;22XזX;30XדX</vt:lpwstr>
  </property>
  <property fmtid="{D5CDD505-2E9C-101B-9397-08002B2CF9AE}" pid="63" name="MEKOR_NAME2">
    <vt:lpwstr>חוק נתוני אשראי</vt:lpwstr>
  </property>
  <property fmtid="{D5CDD505-2E9C-101B-9397-08002B2CF9AE}" pid="64" name="MEKOR_SAIF2">
    <vt:lpwstr>33X;38XדX;43X;67XאX4X</vt:lpwstr>
  </property>
  <property fmtid="{D5CDD505-2E9C-101B-9397-08002B2CF9AE}" pid="65" name="LINKK1">
    <vt:lpwstr>http://www.nevo.co.il/Law_word/law06/tak-7905.pdf;‎רשומות - תקנות כלליות#פורסמו ק"ת תשע"ח ‏מס' 7905 #מיום 26.12.2017 עמ' 423‏</vt:lpwstr>
  </property>
  <property fmtid="{D5CDD505-2E9C-101B-9397-08002B2CF9AE}" pid="66" name="MEKOR_NAME3">
    <vt:lpwstr>חוק נתוני אשראי</vt:lpwstr>
  </property>
  <property fmtid="{D5CDD505-2E9C-101B-9397-08002B2CF9AE}" pid="67" name="MEKOR_SAIF3">
    <vt:lpwstr>109X</vt:lpwstr>
  </property>
</Properties>
</file>