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70A15" w14:textId="77777777" w:rsidR="001153D7" w:rsidRDefault="00403BCC" w:rsidP="00320967">
      <w:pPr>
        <w:pStyle w:val="big-header"/>
        <w:ind w:left="0" w:right="1134"/>
      </w:pPr>
      <w:r>
        <w:rPr>
          <w:rFonts w:hint="cs"/>
          <w:rtl/>
        </w:rPr>
        <w:t>כללי</w:t>
      </w:r>
      <w:r w:rsidR="00E22C9F">
        <w:rPr>
          <w:rFonts w:hint="cs"/>
          <w:rtl/>
        </w:rPr>
        <w:t xml:space="preserve"> נתוני אשראי</w:t>
      </w:r>
      <w:r>
        <w:rPr>
          <w:rFonts w:hint="cs"/>
          <w:rtl/>
        </w:rPr>
        <w:t xml:space="preserve"> (</w:t>
      </w:r>
      <w:r w:rsidR="00AB662A">
        <w:rPr>
          <w:rFonts w:hint="cs"/>
          <w:rtl/>
        </w:rPr>
        <w:t>שיעורי הפחתה מרביים של סכומי העיצום הכספי</w:t>
      </w:r>
      <w:r>
        <w:rPr>
          <w:rFonts w:hint="cs"/>
          <w:rtl/>
        </w:rPr>
        <w:t>)</w:t>
      </w:r>
      <w:r w:rsidR="009816EA">
        <w:rPr>
          <w:rFonts w:hint="cs"/>
          <w:rtl/>
        </w:rPr>
        <w:t xml:space="preserve">, </w:t>
      </w:r>
      <w:r w:rsidR="00320967">
        <w:rPr>
          <w:rFonts w:hint="cs"/>
          <w:rtl/>
        </w:rPr>
        <w:t>תשע"</w:t>
      </w:r>
      <w:r w:rsidR="00E7102F">
        <w:rPr>
          <w:rFonts w:hint="cs"/>
          <w:rtl/>
        </w:rPr>
        <w:t>ח</w:t>
      </w:r>
      <w:r w:rsidR="00320967">
        <w:rPr>
          <w:rFonts w:hint="cs"/>
          <w:rtl/>
        </w:rPr>
        <w:t>-201</w:t>
      </w:r>
      <w:r w:rsidR="00AB662A">
        <w:rPr>
          <w:rFonts w:hint="cs"/>
          <w:rtl/>
        </w:rPr>
        <w:t>8</w:t>
      </w:r>
    </w:p>
    <w:p w14:paraId="3B9A9B66" w14:textId="77777777" w:rsidR="006D2E19" w:rsidRDefault="006D2E19" w:rsidP="006D2E19">
      <w:pPr>
        <w:spacing w:line="320" w:lineRule="auto"/>
        <w:jc w:val="left"/>
        <w:rPr>
          <w:rFonts w:cs="FrankRuehl"/>
          <w:szCs w:val="26"/>
        </w:rPr>
      </w:pPr>
    </w:p>
    <w:p w14:paraId="354874BE" w14:textId="77777777" w:rsidR="006D2E19" w:rsidRDefault="006D2E19" w:rsidP="006D2E19">
      <w:pPr>
        <w:spacing w:line="320" w:lineRule="auto"/>
        <w:jc w:val="left"/>
        <w:rPr>
          <w:rtl/>
        </w:rPr>
      </w:pPr>
    </w:p>
    <w:p w14:paraId="37B36AF3" w14:textId="77777777" w:rsidR="00E7102F" w:rsidRPr="00E7102F" w:rsidRDefault="00E7102F" w:rsidP="00E7102F">
      <w:pPr>
        <w:spacing w:line="320" w:lineRule="auto"/>
        <w:jc w:val="left"/>
        <w:rPr>
          <w:rFonts w:cs="Times New Roman"/>
          <w:color w:val="000000"/>
          <w:szCs w:val="22"/>
          <w:lang w:eastAsia="en-US"/>
        </w:rPr>
      </w:pPr>
      <w:r w:rsidRPr="00E7102F">
        <w:rPr>
          <w:rFonts w:ascii="Miriam" w:hAnsi="Miriam" w:cs="Miriam"/>
          <w:color w:val="000000"/>
          <w:szCs w:val="22"/>
          <w:rtl/>
          <w:lang w:eastAsia="en-US"/>
        </w:rPr>
        <w:t>משפט פרטי וכלכלה</w:t>
      </w:r>
      <w:r w:rsidRPr="00E7102F">
        <w:rPr>
          <w:rFonts w:ascii="FrankRuehl" w:hAnsi="FrankRuehl" w:cs="FrankRuehl"/>
          <w:color w:val="000000"/>
          <w:sz w:val="26"/>
          <w:szCs w:val="26"/>
          <w:rtl/>
          <w:lang w:eastAsia="en-US"/>
        </w:rPr>
        <w:t xml:space="preserve"> – כספים – בנקאות – </w:t>
      </w:r>
      <w:r w:rsidRPr="00E7102F">
        <w:rPr>
          <w:rFonts w:cs="FrankRuehl"/>
          <w:szCs w:val="26"/>
          <w:rtl/>
        </w:rPr>
        <w:t>שירות</w:t>
      </w:r>
      <w:r w:rsidRPr="00E7102F">
        <w:rPr>
          <w:rFonts w:ascii="FrankRuehl" w:hAnsi="FrankRuehl" w:cs="FrankRuehl"/>
          <w:color w:val="000000"/>
          <w:sz w:val="26"/>
          <w:szCs w:val="26"/>
          <w:rtl/>
          <w:lang w:eastAsia="en-US"/>
        </w:rPr>
        <w:t xml:space="preserve"> ללקוח</w:t>
      </w:r>
    </w:p>
    <w:p w14:paraId="791AC284" w14:textId="77777777" w:rsidR="00E7102F" w:rsidRPr="00E7102F" w:rsidRDefault="00E7102F" w:rsidP="00E7102F">
      <w:pPr>
        <w:spacing w:line="320" w:lineRule="auto"/>
        <w:jc w:val="left"/>
        <w:rPr>
          <w:rFonts w:cs="Times New Roman"/>
          <w:color w:val="000000"/>
          <w:szCs w:val="22"/>
          <w:rtl/>
          <w:lang w:eastAsia="en-US"/>
        </w:rPr>
      </w:pPr>
      <w:r w:rsidRPr="00E7102F">
        <w:rPr>
          <w:rFonts w:ascii="Miriam" w:hAnsi="Miriam" w:cs="Miriam"/>
          <w:color w:val="000000"/>
          <w:szCs w:val="22"/>
          <w:rtl/>
          <w:lang w:eastAsia="en-US"/>
        </w:rPr>
        <w:t>משפט פרטי וכלכלה</w:t>
      </w:r>
      <w:r w:rsidRPr="00E7102F">
        <w:rPr>
          <w:rFonts w:ascii="FrankRuehl" w:hAnsi="FrankRuehl" w:cs="FrankRuehl"/>
          <w:color w:val="000000"/>
          <w:sz w:val="26"/>
          <w:szCs w:val="26"/>
          <w:rtl/>
          <w:lang w:eastAsia="en-US"/>
        </w:rPr>
        <w:t> – כספים – שירות נתוני אשראי</w:t>
      </w:r>
    </w:p>
    <w:p w14:paraId="12A544C8" w14:textId="77777777" w:rsidR="00B8420E" w:rsidRPr="00E7102F" w:rsidRDefault="00B8420E" w:rsidP="006D2E19">
      <w:pPr>
        <w:spacing w:line="320" w:lineRule="auto"/>
        <w:jc w:val="left"/>
        <w:rPr>
          <w:rFonts w:cs="FrankRuehl"/>
          <w:szCs w:val="26"/>
          <w:rtl/>
        </w:rPr>
      </w:pPr>
    </w:p>
    <w:p w14:paraId="694C65D3"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44157" w:rsidRPr="00344157" w14:paraId="6721C95E" w14:textId="77777777" w:rsidTr="00344157">
        <w:tblPrEx>
          <w:tblCellMar>
            <w:top w:w="0" w:type="dxa"/>
            <w:bottom w:w="0" w:type="dxa"/>
          </w:tblCellMar>
        </w:tblPrEx>
        <w:tc>
          <w:tcPr>
            <w:tcW w:w="1247" w:type="dxa"/>
          </w:tcPr>
          <w:p w14:paraId="32EB4032" w14:textId="77777777" w:rsidR="00344157" w:rsidRPr="00344157" w:rsidRDefault="00344157" w:rsidP="00344157">
            <w:pPr>
              <w:spacing w:line="240" w:lineRule="auto"/>
              <w:jc w:val="left"/>
              <w:rPr>
                <w:rFonts w:cs="Frankruhel" w:hint="cs"/>
                <w:sz w:val="24"/>
                <w:rtl/>
              </w:rPr>
            </w:pPr>
            <w:r>
              <w:rPr>
                <w:rFonts w:cs="Times New Roman"/>
                <w:sz w:val="24"/>
                <w:rtl/>
              </w:rPr>
              <w:t xml:space="preserve">סעיף 1 </w:t>
            </w:r>
          </w:p>
        </w:tc>
        <w:tc>
          <w:tcPr>
            <w:tcW w:w="5669" w:type="dxa"/>
          </w:tcPr>
          <w:p w14:paraId="060A9143" w14:textId="77777777" w:rsidR="00344157" w:rsidRPr="00344157" w:rsidRDefault="00344157" w:rsidP="00344157">
            <w:pPr>
              <w:spacing w:line="240" w:lineRule="auto"/>
              <w:jc w:val="left"/>
              <w:rPr>
                <w:rFonts w:cs="Frankruhel" w:hint="cs"/>
                <w:sz w:val="24"/>
                <w:rtl/>
              </w:rPr>
            </w:pPr>
            <w:r>
              <w:rPr>
                <w:rFonts w:cs="Times New Roman"/>
                <w:sz w:val="24"/>
                <w:rtl/>
              </w:rPr>
              <w:t>מקרים, נסיבות ושיקולים שבהם ניתן להטיל עיצום כספי בסכום הנמוך מהסכומים הקבועים</w:t>
            </w:r>
          </w:p>
        </w:tc>
        <w:tc>
          <w:tcPr>
            <w:tcW w:w="567" w:type="dxa"/>
          </w:tcPr>
          <w:p w14:paraId="5E737BAC" w14:textId="77777777" w:rsidR="00344157" w:rsidRPr="00344157" w:rsidRDefault="00344157" w:rsidP="00344157">
            <w:pPr>
              <w:spacing w:line="240" w:lineRule="auto"/>
              <w:jc w:val="left"/>
              <w:rPr>
                <w:rStyle w:val="Hyperlink"/>
                <w:rFonts w:hint="cs"/>
                <w:rtl/>
              </w:rPr>
            </w:pPr>
            <w:hyperlink w:anchor="Seif1" w:tooltip="מקרים, נסיבות ושיקולים שבהם ניתן להטיל עיצום כספי בסכום הנמוך מהסכומים הקבועים" w:history="1">
              <w:r w:rsidRPr="00344157">
                <w:rPr>
                  <w:rStyle w:val="Hyperlink"/>
                </w:rPr>
                <w:t>Go</w:t>
              </w:r>
            </w:hyperlink>
          </w:p>
        </w:tc>
        <w:tc>
          <w:tcPr>
            <w:tcW w:w="850" w:type="dxa"/>
          </w:tcPr>
          <w:p w14:paraId="0F5C6881" w14:textId="77777777" w:rsidR="00344157" w:rsidRPr="00344157" w:rsidRDefault="00344157" w:rsidP="003441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44157" w:rsidRPr="00344157" w14:paraId="11A56B40" w14:textId="77777777" w:rsidTr="00344157">
        <w:tblPrEx>
          <w:tblCellMar>
            <w:top w:w="0" w:type="dxa"/>
            <w:bottom w:w="0" w:type="dxa"/>
          </w:tblCellMar>
        </w:tblPrEx>
        <w:tc>
          <w:tcPr>
            <w:tcW w:w="1247" w:type="dxa"/>
          </w:tcPr>
          <w:p w14:paraId="1637174F" w14:textId="77777777" w:rsidR="00344157" w:rsidRPr="00344157" w:rsidRDefault="00344157" w:rsidP="00344157">
            <w:pPr>
              <w:spacing w:line="240" w:lineRule="auto"/>
              <w:jc w:val="left"/>
              <w:rPr>
                <w:rFonts w:cs="Frankruhel" w:hint="cs"/>
                <w:sz w:val="24"/>
                <w:rtl/>
              </w:rPr>
            </w:pPr>
            <w:r>
              <w:rPr>
                <w:rFonts w:cs="Times New Roman"/>
                <w:sz w:val="24"/>
                <w:rtl/>
              </w:rPr>
              <w:t xml:space="preserve">סעיף 2 </w:t>
            </w:r>
          </w:p>
        </w:tc>
        <w:tc>
          <w:tcPr>
            <w:tcW w:w="5669" w:type="dxa"/>
          </w:tcPr>
          <w:p w14:paraId="5A85E459" w14:textId="77777777" w:rsidR="00344157" w:rsidRPr="00344157" w:rsidRDefault="00344157" w:rsidP="00344157">
            <w:pPr>
              <w:spacing w:line="240" w:lineRule="auto"/>
              <w:jc w:val="left"/>
              <w:rPr>
                <w:rFonts w:cs="Frankruhel" w:hint="cs"/>
                <w:sz w:val="24"/>
                <w:rtl/>
              </w:rPr>
            </w:pPr>
            <w:r>
              <w:rPr>
                <w:rFonts w:cs="Times New Roman"/>
                <w:sz w:val="24"/>
                <w:rtl/>
              </w:rPr>
              <w:t>הפחתה בשל כמה נסיבות</w:t>
            </w:r>
          </w:p>
        </w:tc>
        <w:tc>
          <w:tcPr>
            <w:tcW w:w="567" w:type="dxa"/>
          </w:tcPr>
          <w:p w14:paraId="5D962271" w14:textId="77777777" w:rsidR="00344157" w:rsidRPr="00344157" w:rsidRDefault="00344157" w:rsidP="00344157">
            <w:pPr>
              <w:spacing w:line="240" w:lineRule="auto"/>
              <w:jc w:val="left"/>
              <w:rPr>
                <w:rStyle w:val="Hyperlink"/>
                <w:rFonts w:hint="cs"/>
                <w:rtl/>
              </w:rPr>
            </w:pPr>
            <w:hyperlink w:anchor="Seif2" w:tooltip="הפחתה בשל כמה נסיבות" w:history="1">
              <w:r w:rsidRPr="00344157">
                <w:rPr>
                  <w:rStyle w:val="Hyperlink"/>
                </w:rPr>
                <w:t>Go</w:t>
              </w:r>
            </w:hyperlink>
          </w:p>
        </w:tc>
        <w:tc>
          <w:tcPr>
            <w:tcW w:w="850" w:type="dxa"/>
          </w:tcPr>
          <w:p w14:paraId="63B42968" w14:textId="77777777" w:rsidR="00344157" w:rsidRPr="00344157" w:rsidRDefault="00344157" w:rsidP="003441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44157" w:rsidRPr="00344157" w14:paraId="6944FE06" w14:textId="77777777" w:rsidTr="00344157">
        <w:tblPrEx>
          <w:tblCellMar>
            <w:top w:w="0" w:type="dxa"/>
            <w:bottom w:w="0" w:type="dxa"/>
          </w:tblCellMar>
        </w:tblPrEx>
        <w:tc>
          <w:tcPr>
            <w:tcW w:w="1247" w:type="dxa"/>
          </w:tcPr>
          <w:p w14:paraId="12104261" w14:textId="77777777" w:rsidR="00344157" w:rsidRPr="00344157" w:rsidRDefault="00344157" w:rsidP="00344157">
            <w:pPr>
              <w:spacing w:line="240" w:lineRule="auto"/>
              <w:jc w:val="left"/>
              <w:rPr>
                <w:rFonts w:cs="Frankruhel" w:hint="cs"/>
                <w:sz w:val="24"/>
                <w:rtl/>
              </w:rPr>
            </w:pPr>
            <w:r>
              <w:rPr>
                <w:rFonts w:cs="Times New Roman"/>
                <w:sz w:val="24"/>
                <w:rtl/>
              </w:rPr>
              <w:t xml:space="preserve">סעיף 3 </w:t>
            </w:r>
          </w:p>
        </w:tc>
        <w:tc>
          <w:tcPr>
            <w:tcW w:w="5669" w:type="dxa"/>
          </w:tcPr>
          <w:p w14:paraId="14CF4BB2" w14:textId="77777777" w:rsidR="00344157" w:rsidRPr="00344157" w:rsidRDefault="00344157" w:rsidP="00344157">
            <w:pPr>
              <w:spacing w:line="240" w:lineRule="auto"/>
              <w:jc w:val="left"/>
              <w:rPr>
                <w:rFonts w:cs="Frankruhel" w:hint="cs"/>
                <w:sz w:val="24"/>
                <w:rtl/>
              </w:rPr>
            </w:pPr>
            <w:r>
              <w:rPr>
                <w:rFonts w:cs="Times New Roman"/>
                <w:sz w:val="24"/>
                <w:rtl/>
              </w:rPr>
              <w:t>הפחתת עיצומים בשנת פעילות הראשונה</w:t>
            </w:r>
          </w:p>
        </w:tc>
        <w:tc>
          <w:tcPr>
            <w:tcW w:w="567" w:type="dxa"/>
          </w:tcPr>
          <w:p w14:paraId="6F97B7F0" w14:textId="77777777" w:rsidR="00344157" w:rsidRPr="00344157" w:rsidRDefault="00344157" w:rsidP="00344157">
            <w:pPr>
              <w:spacing w:line="240" w:lineRule="auto"/>
              <w:jc w:val="left"/>
              <w:rPr>
                <w:rStyle w:val="Hyperlink"/>
                <w:rFonts w:hint="cs"/>
                <w:rtl/>
              </w:rPr>
            </w:pPr>
            <w:hyperlink w:anchor="Seif3" w:tooltip="הפחתת עיצומים בשנת פעילות הראשונה" w:history="1">
              <w:r w:rsidRPr="00344157">
                <w:rPr>
                  <w:rStyle w:val="Hyperlink"/>
                </w:rPr>
                <w:t>Go</w:t>
              </w:r>
            </w:hyperlink>
          </w:p>
        </w:tc>
        <w:tc>
          <w:tcPr>
            <w:tcW w:w="850" w:type="dxa"/>
          </w:tcPr>
          <w:p w14:paraId="2A786EF2" w14:textId="77777777" w:rsidR="00344157" w:rsidRPr="00344157" w:rsidRDefault="00344157" w:rsidP="003441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44157" w:rsidRPr="00344157" w14:paraId="77272FE2" w14:textId="77777777" w:rsidTr="00344157">
        <w:tblPrEx>
          <w:tblCellMar>
            <w:top w:w="0" w:type="dxa"/>
            <w:bottom w:w="0" w:type="dxa"/>
          </w:tblCellMar>
        </w:tblPrEx>
        <w:tc>
          <w:tcPr>
            <w:tcW w:w="1247" w:type="dxa"/>
          </w:tcPr>
          <w:p w14:paraId="16D20A4B" w14:textId="77777777" w:rsidR="00344157" w:rsidRPr="00344157" w:rsidRDefault="00344157" w:rsidP="00344157">
            <w:pPr>
              <w:spacing w:line="240" w:lineRule="auto"/>
              <w:jc w:val="left"/>
              <w:rPr>
                <w:rFonts w:cs="Frankruhel" w:hint="cs"/>
                <w:sz w:val="24"/>
                <w:rtl/>
              </w:rPr>
            </w:pPr>
            <w:r>
              <w:rPr>
                <w:rFonts w:cs="Times New Roman"/>
                <w:sz w:val="24"/>
                <w:rtl/>
              </w:rPr>
              <w:t xml:space="preserve">סעיף 4 </w:t>
            </w:r>
          </w:p>
        </w:tc>
        <w:tc>
          <w:tcPr>
            <w:tcW w:w="5669" w:type="dxa"/>
          </w:tcPr>
          <w:p w14:paraId="12E1981F" w14:textId="77777777" w:rsidR="00344157" w:rsidRPr="00344157" w:rsidRDefault="00344157" w:rsidP="00344157">
            <w:pPr>
              <w:spacing w:line="240" w:lineRule="auto"/>
              <w:jc w:val="left"/>
              <w:rPr>
                <w:rFonts w:cs="Frankruhel" w:hint="cs"/>
                <w:sz w:val="24"/>
                <w:rtl/>
              </w:rPr>
            </w:pPr>
            <w:r>
              <w:rPr>
                <w:rFonts w:cs="Times New Roman"/>
                <w:sz w:val="24"/>
                <w:rtl/>
              </w:rPr>
              <w:t>הפחתה בשל התחשבות במחזור עסקאות</w:t>
            </w:r>
          </w:p>
        </w:tc>
        <w:tc>
          <w:tcPr>
            <w:tcW w:w="567" w:type="dxa"/>
          </w:tcPr>
          <w:p w14:paraId="73958B91" w14:textId="77777777" w:rsidR="00344157" w:rsidRPr="00344157" w:rsidRDefault="00344157" w:rsidP="00344157">
            <w:pPr>
              <w:spacing w:line="240" w:lineRule="auto"/>
              <w:jc w:val="left"/>
              <w:rPr>
                <w:rStyle w:val="Hyperlink"/>
                <w:rFonts w:hint="cs"/>
                <w:rtl/>
              </w:rPr>
            </w:pPr>
            <w:hyperlink w:anchor="Seif4" w:tooltip="הפחתה בשל התחשבות במחזור עסקאות" w:history="1">
              <w:r w:rsidRPr="00344157">
                <w:rPr>
                  <w:rStyle w:val="Hyperlink"/>
                </w:rPr>
                <w:t>Go</w:t>
              </w:r>
            </w:hyperlink>
          </w:p>
        </w:tc>
        <w:tc>
          <w:tcPr>
            <w:tcW w:w="850" w:type="dxa"/>
          </w:tcPr>
          <w:p w14:paraId="4B181D41" w14:textId="77777777" w:rsidR="00344157" w:rsidRPr="00344157" w:rsidRDefault="00344157" w:rsidP="003441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44157" w:rsidRPr="00344157" w14:paraId="2D91C6DD" w14:textId="77777777" w:rsidTr="00344157">
        <w:tblPrEx>
          <w:tblCellMar>
            <w:top w:w="0" w:type="dxa"/>
            <w:bottom w:w="0" w:type="dxa"/>
          </w:tblCellMar>
        </w:tblPrEx>
        <w:tc>
          <w:tcPr>
            <w:tcW w:w="1247" w:type="dxa"/>
          </w:tcPr>
          <w:p w14:paraId="3564F92C" w14:textId="77777777" w:rsidR="00344157" w:rsidRPr="00344157" w:rsidRDefault="00344157" w:rsidP="00344157">
            <w:pPr>
              <w:spacing w:line="240" w:lineRule="auto"/>
              <w:jc w:val="left"/>
              <w:rPr>
                <w:rFonts w:cs="Frankruhel" w:hint="cs"/>
                <w:sz w:val="24"/>
                <w:rtl/>
              </w:rPr>
            </w:pPr>
            <w:r>
              <w:rPr>
                <w:rFonts w:cs="Times New Roman"/>
                <w:sz w:val="24"/>
                <w:rtl/>
              </w:rPr>
              <w:t xml:space="preserve">סעיף 5 </w:t>
            </w:r>
          </w:p>
        </w:tc>
        <w:tc>
          <w:tcPr>
            <w:tcW w:w="5669" w:type="dxa"/>
          </w:tcPr>
          <w:p w14:paraId="7DB7E16D" w14:textId="77777777" w:rsidR="00344157" w:rsidRPr="00344157" w:rsidRDefault="00344157" w:rsidP="00344157">
            <w:pPr>
              <w:spacing w:line="240" w:lineRule="auto"/>
              <w:jc w:val="left"/>
              <w:rPr>
                <w:rFonts w:cs="Frankruhel" w:hint="cs"/>
                <w:sz w:val="24"/>
                <w:rtl/>
              </w:rPr>
            </w:pPr>
            <w:r>
              <w:rPr>
                <w:rFonts w:cs="Times New Roman"/>
                <w:sz w:val="24"/>
                <w:rtl/>
              </w:rPr>
              <w:t>תחילה</w:t>
            </w:r>
          </w:p>
        </w:tc>
        <w:tc>
          <w:tcPr>
            <w:tcW w:w="567" w:type="dxa"/>
          </w:tcPr>
          <w:p w14:paraId="125007A4" w14:textId="77777777" w:rsidR="00344157" w:rsidRPr="00344157" w:rsidRDefault="00344157" w:rsidP="00344157">
            <w:pPr>
              <w:spacing w:line="240" w:lineRule="auto"/>
              <w:jc w:val="left"/>
              <w:rPr>
                <w:rStyle w:val="Hyperlink"/>
                <w:rFonts w:hint="cs"/>
                <w:rtl/>
              </w:rPr>
            </w:pPr>
            <w:hyperlink w:anchor="Seif5" w:tooltip="תחילה" w:history="1">
              <w:r w:rsidRPr="00344157">
                <w:rPr>
                  <w:rStyle w:val="Hyperlink"/>
                </w:rPr>
                <w:t>Go</w:t>
              </w:r>
            </w:hyperlink>
          </w:p>
        </w:tc>
        <w:tc>
          <w:tcPr>
            <w:tcW w:w="850" w:type="dxa"/>
          </w:tcPr>
          <w:p w14:paraId="2341C791" w14:textId="77777777" w:rsidR="00344157" w:rsidRPr="00344157" w:rsidRDefault="00344157" w:rsidP="0034415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4C86E72C" w14:textId="77777777" w:rsidR="001153D7" w:rsidRDefault="001153D7">
      <w:pPr>
        <w:pStyle w:val="P00"/>
        <w:spacing w:before="72"/>
        <w:ind w:left="0" w:right="1134"/>
        <w:rPr>
          <w:rFonts w:hint="cs"/>
          <w:rtl/>
        </w:rPr>
      </w:pPr>
    </w:p>
    <w:p w14:paraId="6E5F697C" w14:textId="77777777" w:rsidR="001153D7" w:rsidRDefault="001153D7" w:rsidP="00320967">
      <w:pPr>
        <w:pStyle w:val="big-header"/>
        <w:ind w:left="0" w:right="1134"/>
        <w:rPr>
          <w:rStyle w:val="default"/>
          <w:rFonts w:hint="cs"/>
          <w:sz w:val="22"/>
          <w:szCs w:val="22"/>
          <w:rtl/>
        </w:rPr>
      </w:pPr>
      <w:r>
        <w:rPr>
          <w:rtl/>
        </w:rPr>
        <w:br w:type="page"/>
      </w:r>
      <w:r w:rsidR="00AB662A">
        <w:rPr>
          <w:rFonts w:hint="cs"/>
          <w:rtl/>
        </w:rPr>
        <w:lastRenderedPageBreak/>
        <w:t>כללי נתוני אשראי (שיעורי הפחתה מרביים של סכומי העיצום הכספי), תשע"ח-2018</w:t>
      </w:r>
      <w:r>
        <w:rPr>
          <w:rStyle w:val="default"/>
          <w:sz w:val="22"/>
          <w:szCs w:val="22"/>
          <w:rtl/>
        </w:rPr>
        <w:footnoteReference w:customMarkFollows="1" w:id="1"/>
        <w:t>*</w:t>
      </w:r>
    </w:p>
    <w:p w14:paraId="5D5EA677" w14:textId="77777777" w:rsidR="001153D7" w:rsidRDefault="000B2C41" w:rsidP="000B2C41">
      <w:pPr>
        <w:pStyle w:val="P00"/>
        <w:spacing w:before="72"/>
        <w:ind w:left="0" w:right="1134"/>
        <w:rPr>
          <w:rStyle w:val="default"/>
          <w:rFonts w:cs="FrankRuehl"/>
          <w:rtl/>
        </w:rPr>
      </w:pPr>
      <w:r w:rsidRPr="000B2C41">
        <w:rPr>
          <w:rStyle w:val="default"/>
          <w:rFonts w:cs="FrankRuehl"/>
          <w:rtl/>
        </w:rPr>
        <w:tab/>
      </w:r>
      <w:r>
        <w:rPr>
          <w:rStyle w:val="default"/>
          <w:rFonts w:cs="FrankRuehl" w:hint="cs"/>
          <w:rtl/>
        </w:rPr>
        <w:t xml:space="preserve">בתוקף </w:t>
      </w:r>
      <w:r w:rsidR="00E22C9F">
        <w:rPr>
          <w:rStyle w:val="default"/>
          <w:rFonts w:cs="FrankRuehl" w:hint="cs"/>
          <w:rtl/>
        </w:rPr>
        <w:t xml:space="preserve">סמכותי לפי </w:t>
      </w:r>
      <w:r w:rsidR="00863D71">
        <w:rPr>
          <w:rStyle w:val="default"/>
          <w:rFonts w:cs="FrankRuehl" w:hint="cs"/>
          <w:rtl/>
        </w:rPr>
        <w:t>סעיף 97(ב)</w:t>
      </w:r>
      <w:r w:rsidR="00E22C9F">
        <w:rPr>
          <w:rStyle w:val="default"/>
          <w:rFonts w:cs="FrankRuehl" w:hint="cs"/>
          <w:rtl/>
        </w:rPr>
        <w:t xml:space="preserve"> לחוק נתוני אשראי, </w:t>
      </w:r>
      <w:r w:rsidR="00EF4509">
        <w:rPr>
          <w:rStyle w:val="default"/>
          <w:rFonts w:cs="FrankRuehl" w:hint="cs"/>
          <w:rtl/>
        </w:rPr>
        <w:t>התשע"ו-2016</w:t>
      </w:r>
      <w:r w:rsidR="00E22C9F">
        <w:rPr>
          <w:rStyle w:val="default"/>
          <w:rFonts w:cs="FrankRuehl" w:hint="cs"/>
          <w:rtl/>
        </w:rPr>
        <w:t xml:space="preserve"> (להלן </w:t>
      </w:r>
      <w:r w:rsidR="00E22C9F">
        <w:rPr>
          <w:rStyle w:val="default"/>
          <w:rFonts w:cs="FrankRuehl"/>
          <w:rtl/>
        </w:rPr>
        <w:t>–</w:t>
      </w:r>
      <w:r w:rsidR="00E22C9F">
        <w:rPr>
          <w:rStyle w:val="default"/>
          <w:rFonts w:cs="FrankRuehl" w:hint="cs"/>
          <w:rtl/>
        </w:rPr>
        <w:t xml:space="preserve"> החוק), </w:t>
      </w:r>
      <w:r w:rsidR="0088672B">
        <w:rPr>
          <w:rStyle w:val="default"/>
          <w:rFonts w:cs="FrankRuehl" w:hint="cs"/>
          <w:rtl/>
        </w:rPr>
        <w:t>בהתייעצות עם שרת המשפטים</w:t>
      </w:r>
      <w:r w:rsidR="00555B11">
        <w:rPr>
          <w:rStyle w:val="default"/>
          <w:rFonts w:cs="FrankRuehl" w:hint="cs"/>
          <w:rtl/>
        </w:rPr>
        <w:t xml:space="preserve"> ובאישור ועדת הכלכלה של הכנסת</w:t>
      </w:r>
      <w:r w:rsidR="0088672B">
        <w:rPr>
          <w:rStyle w:val="default"/>
          <w:rFonts w:cs="FrankRuehl" w:hint="cs"/>
          <w:rtl/>
        </w:rPr>
        <w:t>,</w:t>
      </w:r>
      <w:r w:rsidR="00555B11">
        <w:rPr>
          <w:rStyle w:val="default"/>
          <w:rFonts w:cs="FrankRuehl" w:hint="cs"/>
          <w:rtl/>
        </w:rPr>
        <w:t xml:space="preserve"> אני קובעת כללים</w:t>
      </w:r>
      <w:r w:rsidR="002B600C">
        <w:rPr>
          <w:rStyle w:val="default"/>
          <w:rFonts w:cs="FrankRuehl" w:hint="cs"/>
          <w:rtl/>
        </w:rPr>
        <w:t xml:space="preserve"> אלה</w:t>
      </w:r>
      <w:r w:rsidR="001153D7">
        <w:rPr>
          <w:rStyle w:val="default"/>
          <w:rFonts w:cs="FrankRuehl"/>
          <w:rtl/>
        </w:rPr>
        <w:t>:</w:t>
      </w:r>
    </w:p>
    <w:p w14:paraId="13251D24" w14:textId="77777777" w:rsidR="001153D7" w:rsidRDefault="001153D7" w:rsidP="00EF4509">
      <w:pPr>
        <w:pStyle w:val="P00"/>
        <w:spacing w:before="72"/>
        <w:ind w:left="0" w:right="1134"/>
        <w:rPr>
          <w:rStyle w:val="default"/>
          <w:rFonts w:cs="FrankRuehl"/>
          <w:rtl/>
        </w:rPr>
      </w:pPr>
      <w:bookmarkStart w:id="0" w:name="Seif1"/>
      <w:bookmarkEnd w:id="0"/>
      <w:r>
        <w:rPr>
          <w:lang w:val="he-IL"/>
        </w:rPr>
        <w:pict w14:anchorId="013F9CF3">
          <v:rect id="_x0000_s1026" style="position:absolute;left:0;text-align:left;margin-left:464.5pt;margin-top:8.05pt;width:75.05pt;height:46.05pt;z-index:251655680" o:allowincell="f" filled="f" stroked="f" strokecolor="lime" strokeweight=".25pt">
            <v:textbox style="mso-next-textbox:#_x0000_s1026" inset="0,0,0,0">
              <w:txbxContent>
                <w:p w14:paraId="315429C0" w14:textId="77777777" w:rsidR="001B0E24" w:rsidRDefault="0088672B">
                  <w:pPr>
                    <w:spacing w:line="160" w:lineRule="exact"/>
                    <w:jc w:val="left"/>
                    <w:rPr>
                      <w:rFonts w:cs="Miriam" w:hint="cs"/>
                      <w:szCs w:val="18"/>
                      <w:rtl/>
                    </w:rPr>
                  </w:pPr>
                  <w:r>
                    <w:rPr>
                      <w:rFonts w:cs="Miriam" w:hint="cs"/>
                      <w:szCs w:val="18"/>
                      <w:rtl/>
                    </w:rPr>
                    <w:t>מקרים, נסיבות ושיקולים שבהם ניתן להטיל עיצום כספי בסכום הנמוך מהסכומים הקבועים</w:t>
                  </w:r>
                </w:p>
              </w:txbxContent>
            </v:textbox>
            <w10:anchorlock/>
          </v:rect>
        </w:pict>
      </w:r>
      <w:r>
        <w:rPr>
          <w:rStyle w:val="big-number"/>
          <w:rtl/>
        </w:rPr>
        <w:t>1</w:t>
      </w:r>
      <w:r>
        <w:rPr>
          <w:rStyle w:val="default"/>
          <w:rFonts w:cs="FrankRuehl"/>
          <w:rtl/>
        </w:rPr>
        <w:t>.</w:t>
      </w:r>
      <w:r>
        <w:rPr>
          <w:rStyle w:val="default"/>
          <w:rFonts w:cs="FrankRuehl"/>
          <w:rtl/>
        </w:rPr>
        <w:tab/>
      </w:r>
      <w:r w:rsidR="00D551EC">
        <w:rPr>
          <w:rStyle w:val="default"/>
          <w:rFonts w:cs="FrankRuehl" w:hint="cs"/>
          <w:rtl/>
        </w:rPr>
        <w:t>הממונה רשאי להפחית למפר את סכום העיצום הכספי, בשיעורים שלהלן, אם התקיימה אחת או יותר מנסיבות אלה:</w:t>
      </w:r>
    </w:p>
    <w:p w14:paraId="11DBB5DD" w14:textId="77777777" w:rsidR="00D551EC" w:rsidRDefault="00D551EC" w:rsidP="00D551E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המפר לא הפר כל הוראה מהוראות החוק או לפיו בשלוש השנים שקדמו להפרה </w:t>
      </w:r>
      <w:r>
        <w:rPr>
          <w:rStyle w:val="default"/>
          <w:rFonts w:cs="FrankRuehl"/>
          <w:rtl/>
        </w:rPr>
        <w:t>–</w:t>
      </w:r>
      <w:r>
        <w:rPr>
          <w:rStyle w:val="default"/>
          <w:rFonts w:cs="FrankRuehl" w:hint="cs"/>
          <w:rtl/>
        </w:rPr>
        <w:t xml:space="preserve"> 35%; לא הפר אותה הוראה בשנה שקדמה להפרה </w:t>
      </w:r>
      <w:r>
        <w:rPr>
          <w:rStyle w:val="default"/>
          <w:rFonts w:cs="FrankRuehl"/>
          <w:rtl/>
        </w:rPr>
        <w:t>–</w:t>
      </w:r>
      <w:r>
        <w:rPr>
          <w:rStyle w:val="default"/>
          <w:rFonts w:cs="FrankRuehl" w:hint="cs"/>
          <w:rtl/>
        </w:rPr>
        <w:t xml:space="preserve"> 20%;</w:t>
      </w:r>
    </w:p>
    <w:p w14:paraId="34DC9336" w14:textId="77777777" w:rsidR="00D551EC" w:rsidRDefault="00D551EC" w:rsidP="00D551E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המפר הפסיק את ההפרה ביוזמתו ודיווח עליה לממונה </w:t>
      </w:r>
      <w:r>
        <w:rPr>
          <w:rStyle w:val="default"/>
          <w:rFonts w:cs="FrankRuehl"/>
          <w:rtl/>
        </w:rPr>
        <w:t>–</w:t>
      </w:r>
      <w:r>
        <w:rPr>
          <w:rStyle w:val="default"/>
          <w:rFonts w:cs="FrankRuehl" w:hint="cs"/>
          <w:rtl/>
        </w:rPr>
        <w:t xml:space="preserve"> 40%;</w:t>
      </w:r>
    </w:p>
    <w:p w14:paraId="0D0853BD" w14:textId="77777777" w:rsidR="00D551EC" w:rsidRDefault="00D551EC" w:rsidP="00D551E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המפר נקט פעולות לתיקון הליקויים, למניעת ההפרה ולהקטנת הנזק, להנחת דעתו של הממונה </w:t>
      </w:r>
      <w:r>
        <w:rPr>
          <w:rStyle w:val="default"/>
          <w:rFonts w:cs="FrankRuehl"/>
          <w:rtl/>
        </w:rPr>
        <w:t>–</w:t>
      </w:r>
      <w:r>
        <w:rPr>
          <w:rStyle w:val="default"/>
          <w:rFonts w:cs="FrankRuehl" w:hint="cs"/>
          <w:rtl/>
        </w:rPr>
        <w:t xml:space="preserve"> 30%;</w:t>
      </w:r>
    </w:p>
    <w:p w14:paraId="13813A54" w14:textId="77777777" w:rsidR="00D551EC" w:rsidRDefault="00D551EC" w:rsidP="00D551EC">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AA1EC1">
        <w:rPr>
          <w:rStyle w:val="default"/>
          <w:rFonts w:cs="FrankRuehl" w:hint="cs"/>
          <w:rtl/>
        </w:rPr>
        <w:t xml:space="preserve">למפר מערכת נהלים פנימית, שנועדה לאתר ולמנוע ביצוע של ההפרה, וההפרה מעידה על כשל נקודתי ולא על כשל מערכתי </w:t>
      </w:r>
      <w:r w:rsidR="00AA1EC1">
        <w:rPr>
          <w:rStyle w:val="default"/>
          <w:rFonts w:cs="FrankRuehl"/>
          <w:rtl/>
        </w:rPr>
        <w:t>–</w:t>
      </w:r>
      <w:r w:rsidR="00AA1EC1">
        <w:rPr>
          <w:rStyle w:val="default"/>
          <w:rFonts w:cs="FrankRuehl" w:hint="cs"/>
          <w:rtl/>
        </w:rPr>
        <w:t xml:space="preserve"> 10%;</w:t>
      </w:r>
    </w:p>
    <w:p w14:paraId="5FA752A0" w14:textId="77777777" w:rsidR="00AA1EC1" w:rsidRDefault="00AA1EC1" w:rsidP="00D551EC">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קולות העובדות המהוות את ההפרה ונסיבות עובדתיות אחרות ובכלל זה, תפקידו של המפר, היקף ההפרה, הרווח שהיה עשוי להיות מופק ממנה, ההפסד שהיה עשוי להימנע או הנזק שהיה עשוי להיגרם בעקבותיה </w:t>
      </w:r>
      <w:r>
        <w:rPr>
          <w:rStyle w:val="default"/>
          <w:rFonts w:cs="FrankRuehl"/>
          <w:rtl/>
        </w:rPr>
        <w:t>–</w:t>
      </w:r>
      <w:r>
        <w:rPr>
          <w:rStyle w:val="default"/>
          <w:rFonts w:cs="FrankRuehl" w:hint="cs"/>
          <w:rtl/>
        </w:rPr>
        <w:t xml:space="preserve"> עד 50%;</w:t>
      </w:r>
    </w:p>
    <w:p w14:paraId="3119A11D" w14:textId="77777777" w:rsidR="00AA1EC1" w:rsidRDefault="00AA1EC1" w:rsidP="00D551EC">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לעניין מיופה כוח בתמורה </w:t>
      </w:r>
      <w:r>
        <w:rPr>
          <w:rStyle w:val="default"/>
          <w:rFonts w:cs="FrankRuehl"/>
          <w:rtl/>
        </w:rPr>
        <w:t>–</w:t>
      </w:r>
      <w:r>
        <w:rPr>
          <w:rStyle w:val="default"/>
          <w:rFonts w:cs="FrankRuehl" w:hint="cs"/>
          <w:rtl/>
        </w:rPr>
        <w:t xml:space="preserve"> אם המפר יחיד </w:t>
      </w:r>
      <w:r>
        <w:rPr>
          <w:rStyle w:val="default"/>
          <w:rFonts w:cs="FrankRuehl"/>
          <w:rtl/>
        </w:rPr>
        <w:t>–</w:t>
      </w:r>
      <w:r>
        <w:rPr>
          <w:rStyle w:val="default"/>
          <w:rFonts w:cs="FrankRuehl" w:hint="cs"/>
          <w:rtl/>
        </w:rPr>
        <w:t xml:space="preserve"> ראה הממונה, שההפרה נגרמה בשל נסיבות אישיות המצדיקות הפחתה של העיצום הכספי או שהתקיימו נסיבות אישיות קשות המצדיקות שלא למצות את הדין עם המפר, רשאי הוא להפחית למפר את סכום העיצום הכספי בשיעור של 20%.</w:t>
      </w:r>
    </w:p>
    <w:p w14:paraId="3F4698F9" w14:textId="77777777" w:rsidR="006E0BEF" w:rsidRDefault="006E0BEF" w:rsidP="00EF4509">
      <w:pPr>
        <w:pStyle w:val="P00"/>
        <w:spacing w:before="72"/>
        <w:ind w:left="0" w:right="1134"/>
        <w:rPr>
          <w:rStyle w:val="default"/>
          <w:rFonts w:cs="FrankRuehl"/>
          <w:rtl/>
        </w:rPr>
      </w:pPr>
      <w:bookmarkStart w:id="1" w:name="Seif2"/>
      <w:bookmarkEnd w:id="1"/>
      <w:r>
        <w:rPr>
          <w:lang w:val="he-IL"/>
        </w:rPr>
        <w:pict w14:anchorId="0074B7DA">
          <v:rect id="_x0000_s1292" style="position:absolute;left:0;text-align:left;margin-left:464.5pt;margin-top:8.05pt;width:75.05pt;height:21.4pt;z-index:251656704" o:allowincell="f" filled="f" stroked="f" strokecolor="lime" strokeweight=".25pt">
            <v:textbox style="mso-next-textbox:#_x0000_s1292" inset="0,0,0,0">
              <w:txbxContent>
                <w:p w14:paraId="18330930" w14:textId="77777777" w:rsidR="001B0E24" w:rsidRDefault="00AA1EC1" w:rsidP="006E0BEF">
                  <w:pPr>
                    <w:spacing w:line="160" w:lineRule="exact"/>
                    <w:jc w:val="left"/>
                    <w:rPr>
                      <w:rFonts w:cs="Miriam" w:hint="cs"/>
                      <w:szCs w:val="18"/>
                      <w:rtl/>
                    </w:rPr>
                  </w:pPr>
                  <w:r>
                    <w:rPr>
                      <w:rFonts w:cs="Miriam" w:hint="cs"/>
                      <w:szCs w:val="18"/>
                      <w:rtl/>
                    </w:rPr>
                    <w:t>הפחתה בשל כמה נסיבות</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AA1EC1">
        <w:rPr>
          <w:rStyle w:val="default"/>
          <w:rFonts w:cs="FrankRuehl" w:hint="cs"/>
          <w:rtl/>
        </w:rPr>
        <w:t>התקיימו לגבי מפר כמה נסיבות כאמור בסעיף 1, רשאי הממונה להפחית למפר מסכום העיצום הכספי את השיעורים המנויים לצד אותן נסיבות במצטבר, ובלבד ששיעור ההפחתה לא יעלה על 90% מסכום העיצום הכספי הקבוע בשל אותה הפרה.</w:t>
      </w:r>
    </w:p>
    <w:p w14:paraId="12674E38" w14:textId="77777777" w:rsidR="009A4D64" w:rsidRDefault="0098048A" w:rsidP="00276269">
      <w:pPr>
        <w:pStyle w:val="P00"/>
        <w:spacing w:before="72"/>
        <w:ind w:left="0" w:right="1134"/>
        <w:rPr>
          <w:rStyle w:val="default"/>
          <w:rFonts w:cs="FrankRuehl"/>
          <w:rtl/>
        </w:rPr>
      </w:pPr>
      <w:bookmarkStart w:id="2" w:name="Seif3"/>
      <w:bookmarkEnd w:id="2"/>
      <w:r>
        <w:rPr>
          <w:lang w:val="he-IL"/>
        </w:rPr>
        <w:pict w14:anchorId="18BDCD32">
          <v:rect id="_x0000_s1293" style="position:absolute;left:0;text-align:left;margin-left:464.5pt;margin-top:8.05pt;width:75.05pt;height:29.65pt;z-index:251657728" o:allowincell="f" filled="f" stroked="f" strokecolor="lime" strokeweight=".25pt">
            <v:textbox style="mso-next-textbox:#_x0000_s1293" inset="0,0,0,0">
              <w:txbxContent>
                <w:p w14:paraId="4E70D435" w14:textId="77777777" w:rsidR="001B0E24" w:rsidRDefault="00AA1EC1" w:rsidP="0098048A">
                  <w:pPr>
                    <w:spacing w:line="160" w:lineRule="exact"/>
                    <w:jc w:val="left"/>
                    <w:rPr>
                      <w:rFonts w:cs="Miriam" w:hint="cs"/>
                      <w:szCs w:val="18"/>
                      <w:rtl/>
                    </w:rPr>
                  </w:pPr>
                  <w:r>
                    <w:rPr>
                      <w:rFonts w:cs="Miriam" w:hint="cs"/>
                      <w:szCs w:val="18"/>
                      <w:rtl/>
                    </w:rPr>
                    <w:t>הפחתת עיצומים בשנת פעילות הראשונה</w:t>
                  </w:r>
                </w:p>
              </w:txbxContent>
            </v:textbox>
            <w10:anchorlock/>
          </v:rect>
        </w:pict>
      </w:r>
      <w:r>
        <w:rPr>
          <w:rStyle w:val="big-number"/>
          <w:rFonts w:hint="cs"/>
          <w:rtl/>
        </w:rPr>
        <w:t>3</w:t>
      </w:r>
      <w:r>
        <w:rPr>
          <w:rStyle w:val="default"/>
          <w:rFonts w:cs="FrankRuehl"/>
          <w:rtl/>
        </w:rPr>
        <w:t>.</w:t>
      </w:r>
      <w:r>
        <w:rPr>
          <w:rStyle w:val="default"/>
          <w:rFonts w:cs="FrankRuehl"/>
          <w:rtl/>
        </w:rPr>
        <w:tab/>
      </w:r>
      <w:r w:rsidR="00AA1EC1">
        <w:rPr>
          <w:rStyle w:val="default"/>
          <w:rFonts w:cs="FrankRuehl" w:hint="cs"/>
          <w:rtl/>
        </w:rPr>
        <w:t>הממונה רשאי להפחית למפר את סכום העיצום הכספי בשל הפרה שבוצעה בשנה הראשונה לפעילותו מול המאגר עד שיעור של 85%, ובלבד שהמפר הפסיק את ההפרה ונקט פעולות לתיקון הליקויים ולמניעת הישנותם, להנחת דעתו של הממונה, בתוך פרק הזמן שעליו הורה הממונה; לא תיקן המפר את ההוראה בתוך פרק הזמן שהורה הממונה, תבוטל ההפחתה והמפר יהיה חייב בסכום העיצום הכספי כאילו לא ניתנה ההפחתה מלכתחילה.</w:t>
      </w:r>
    </w:p>
    <w:p w14:paraId="203071F1" w14:textId="77777777" w:rsidR="00386EF5" w:rsidRDefault="00386EF5" w:rsidP="00386EF5">
      <w:pPr>
        <w:pStyle w:val="P00"/>
        <w:spacing w:before="72"/>
        <w:ind w:left="0" w:right="1134"/>
        <w:rPr>
          <w:rStyle w:val="default"/>
          <w:rFonts w:cs="FrankRuehl"/>
          <w:rtl/>
        </w:rPr>
      </w:pPr>
      <w:bookmarkStart w:id="3" w:name="Seif4"/>
      <w:bookmarkEnd w:id="3"/>
      <w:r>
        <w:rPr>
          <w:lang w:val="he-IL"/>
        </w:rPr>
        <w:pict w14:anchorId="4475BBB2">
          <v:rect id="_x0000_s1294" style="position:absolute;left:0;text-align:left;margin-left:464.5pt;margin-top:8.05pt;width:75.05pt;height:29.15pt;z-index:251658752" o:allowincell="f" filled="f" stroked="f" strokecolor="lime" strokeweight=".25pt">
            <v:textbox style="mso-next-textbox:#_x0000_s1294" inset="0,0,0,0">
              <w:txbxContent>
                <w:p w14:paraId="18338DE0" w14:textId="77777777" w:rsidR="001B0E24" w:rsidRDefault="00AA1EC1" w:rsidP="00386EF5">
                  <w:pPr>
                    <w:spacing w:line="160" w:lineRule="exact"/>
                    <w:jc w:val="left"/>
                    <w:rPr>
                      <w:rFonts w:cs="Miriam" w:hint="cs"/>
                      <w:szCs w:val="18"/>
                      <w:rtl/>
                    </w:rPr>
                  </w:pPr>
                  <w:r>
                    <w:rPr>
                      <w:rFonts w:cs="Miriam" w:hint="cs"/>
                      <w:szCs w:val="18"/>
                      <w:rtl/>
                    </w:rPr>
                    <w:t>הפחתה בשל התחשבות במחזור עסקאות</w:t>
                  </w:r>
                </w:p>
              </w:txbxContent>
            </v:textbox>
            <w10:anchorlock/>
          </v:rect>
        </w:pict>
      </w:r>
      <w:r w:rsidR="00796D72">
        <w:rPr>
          <w:rStyle w:val="big-number"/>
          <w:rFonts w:hint="cs"/>
          <w:rtl/>
        </w:rPr>
        <w:t>4</w:t>
      </w:r>
      <w:r>
        <w:rPr>
          <w:rStyle w:val="default"/>
          <w:rFonts w:cs="FrankRuehl"/>
          <w:rtl/>
        </w:rPr>
        <w:t>.</w:t>
      </w:r>
      <w:r>
        <w:rPr>
          <w:rStyle w:val="default"/>
          <w:rFonts w:cs="FrankRuehl"/>
          <w:rtl/>
        </w:rPr>
        <w:tab/>
      </w:r>
      <w:r w:rsidR="00F2433C">
        <w:rPr>
          <w:rStyle w:val="default"/>
          <w:rFonts w:cs="FrankRuehl" w:hint="cs"/>
          <w:rtl/>
        </w:rPr>
        <w:t>(א)</w:t>
      </w:r>
      <w:r w:rsidR="00F2433C">
        <w:rPr>
          <w:rStyle w:val="default"/>
          <w:rFonts w:cs="FrankRuehl"/>
          <w:rtl/>
        </w:rPr>
        <w:tab/>
      </w:r>
      <w:r w:rsidR="00AA1EC1">
        <w:rPr>
          <w:rStyle w:val="default"/>
          <w:rFonts w:cs="FrankRuehl" w:hint="cs"/>
          <w:rtl/>
        </w:rPr>
        <w:t>מצא הממונה שסכום העיצום הכספי עולה על 5% ממחזור העסקאות של המפר, רשאי הוא להפחית את הסכום ל-5% ממחזור העסקאות שלו.</w:t>
      </w:r>
    </w:p>
    <w:p w14:paraId="7D8FFBD8" w14:textId="77777777" w:rsidR="00AA1EC1" w:rsidRDefault="00AA1EC1"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סעיף קטן (א) יחול בין אם הופחת סכום העיצום הכספי לפי סעיפים 1 או 3 ובין אם לאו.</w:t>
      </w:r>
    </w:p>
    <w:p w14:paraId="17BD90BF" w14:textId="77777777" w:rsidR="00AA1EC1" w:rsidRDefault="00AA1EC1"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מפר המבקש הפחתה של סכום העיצום הכספי לפי סעיף זה, יגיש לממונה אישור, לעניין גובה מחזור העסקאות שלו, בתוך 30 ימים ממועד מסירת ההודעה על הכוונה להטיל עליו עיצום כספי.</w:t>
      </w:r>
    </w:p>
    <w:p w14:paraId="5E66ABDA" w14:textId="77777777" w:rsidR="00AA1EC1" w:rsidRDefault="00AA1EC1"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בסעיף זה </w:t>
      </w:r>
      <w:r>
        <w:rPr>
          <w:rStyle w:val="default"/>
          <w:rFonts w:cs="FrankRuehl"/>
          <w:rtl/>
        </w:rPr>
        <w:t>–</w:t>
      </w:r>
    </w:p>
    <w:p w14:paraId="23DBBA71" w14:textId="77777777" w:rsidR="00AA1EC1" w:rsidRDefault="00AA1EC1" w:rsidP="00386EF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w:t>
      </w:r>
      <w:r>
        <w:rPr>
          <w:rStyle w:val="default"/>
          <w:rFonts w:cs="FrankRuehl"/>
          <w:rtl/>
        </w:rPr>
        <w:t>–</w:t>
      </w:r>
      <w:r>
        <w:rPr>
          <w:rStyle w:val="default"/>
          <w:rFonts w:cs="FrankRuehl" w:hint="cs"/>
          <w:rtl/>
        </w:rPr>
        <w:t xml:space="preserve"> כל אחד מאלה:</w:t>
      </w:r>
    </w:p>
    <w:p w14:paraId="3F8C3846" w14:textId="77777777" w:rsidR="00AA1EC1" w:rsidRDefault="00AA1EC1" w:rsidP="00AA1EC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אם המפר חייב, לפי דין, במינוי רואה חשבון מבקר, אישור שנתן רואה חשבון המבקר שמונה כאמור, המבקר את הדוחות הכספיים השנתיים;</w:t>
      </w:r>
    </w:p>
    <w:p w14:paraId="0157AA41" w14:textId="77777777" w:rsidR="00AA1EC1" w:rsidRDefault="00AA1EC1" w:rsidP="00AA1EC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אישור שנתן רואה חשבון או אישור שנתן יועץ מס מייצג כי נתון פלוני תואם לאמור במסמך שהוגש במסגרת פעולת הייצוג של יועץ המס;</w:t>
      </w:r>
    </w:p>
    <w:p w14:paraId="1B2B2468" w14:textId="77777777" w:rsidR="00AA1EC1" w:rsidRDefault="00AA1EC1" w:rsidP="00386EF5">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 xml:space="preserve">"יועץ מס מייצג" </w:t>
      </w:r>
      <w:r>
        <w:rPr>
          <w:rStyle w:val="default"/>
          <w:rFonts w:cs="FrankRuehl"/>
          <w:rtl/>
        </w:rPr>
        <w:t>–</w:t>
      </w:r>
      <w:r>
        <w:rPr>
          <w:rStyle w:val="default"/>
          <w:rFonts w:cs="FrankRuehl" w:hint="cs"/>
          <w:rtl/>
        </w:rPr>
        <w:t xml:space="preserve"> כהגדרתו בחוק הסדרת העיסוק בייצוג על ידי יועצי מס, התשס"ה-2005;</w:t>
      </w:r>
    </w:p>
    <w:p w14:paraId="61206460" w14:textId="77777777" w:rsidR="00AA1EC1" w:rsidRDefault="00AA1EC1" w:rsidP="00386EF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"מחזור עסקאות" </w:t>
      </w:r>
      <w:r>
        <w:rPr>
          <w:rStyle w:val="default"/>
          <w:rFonts w:cs="FrankRuehl"/>
          <w:rtl/>
        </w:rPr>
        <w:t>–</w:t>
      </w:r>
      <w:r>
        <w:rPr>
          <w:rStyle w:val="default"/>
          <w:rFonts w:cs="FrankRuehl" w:hint="cs"/>
          <w:rtl/>
        </w:rPr>
        <w:t xml:space="preserve"> כהגדרת "מחזור עסקאות של עוסק" בחוק מס ערך מוסף, התשל"ו-1975;</w:t>
      </w:r>
    </w:p>
    <w:p w14:paraId="32B79DDD" w14:textId="77777777" w:rsidR="00AA1EC1" w:rsidRDefault="00AA1EC1" w:rsidP="00386EF5">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"רואה חשבון מבקר" </w:t>
      </w:r>
      <w:r>
        <w:rPr>
          <w:rStyle w:val="default"/>
          <w:rFonts w:cs="FrankRuehl"/>
          <w:rtl/>
        </w:rPr>
        <w:t>–</w:t>
      </w:r>
      <w:r>
        <w:rPr>
          <w:rStyle w:val="default"/>
          <w:rFonts w:cs="FrankRuehl" w:hint="cs"/>
          <w:rtl/>
        </w:rPr>
        <w:t xml:space="preserve"> כהגדרתו בחוק החברות, התשנ"ט-1999.</w:t>
      </w:r>
    </w:p>
    <w:p w14:paraId="4930077E" w14:textId="77777777" w:rsidR="00386EF5" w:rsidRDefault="00386EF5" w:rsidP="00386EF5">
      <w:pPr>
        <w:pStyle w:val="P00"/>
        <w:spacing w:before="72"/>
        <w:ind w:left="0" w:right="1134"/>
        <w:rPr>
          <w:rStyle w:val="default"/>
          <w:rFonts w:cs="FrankRuehl"/>
          <w:rtl/>
        </w:rPr>
      </w:pPr>
      <w:bookmarkStart w:id="4" w:name="Seif5"/>
      <w:bookmarkEnd w:id="4"/>
      <w:r>
        <w:rPr>
          <w:lang w:val="he-IL"/>
        </w:rPr>
        <w:pict w14:anchorId="73AE6A51">
          <v:rect id="_x0000_s1295" style="position:absolute;left:0;text-align:left;margin-left:464.5pt;margin-top:8.05pt;width:75.05pt;height:16.5pt;z-index:251659776" o:allowincell="f" filled="f" stroked="f" strokecolor="lime" strokeweight=".25pt">
            <v:textbox style="mso-next-textbox:#_x0000_s1295" inset="0,0,0,0">
              <w:txbxContent>
                <w:p w14:paraId="1C369F67" w14:textId="77777777" w:rsidR="001B0E24" w:rsidRDefault="00AA1EC1" w:rsidP="00386EF5">
                  <w:pPr>
                    <w:spacing w:line="160" w:lineRule="exact"/>
                    <w:jc w:val="left"/>
                    <w:rPr>
                      <w:rFonts w:cs="Miriam" w:hint="cs"/>
                      <w:szCs w:val="18"/>
                      <w:rtl/>
                    </w:rPr>
                  </w:pPr>
                  <w:r>
                    <w:rPr>
                      <w:rFonts w:cs="Miriam" w:hint="cs"/>
                      <w:szCs w:val="18"/>
                      <w:rtl/>
                    </w:rPr>
                    <w:t>תחילה</w:t>
                  </w:r>
                </w:p>
              </w:txbxContent>
            </v:textbox>
            <w10:anchorlock/>
          </v:rect>
        </w:pict>
      </w:r>
      <w:r w:rsidR="00627848">
        <w:rPr>
          <w:rStyle w:val="big-number"/>
          <w:rFonts w:hint="cs"/>
          <w:rtl/>
        </w:rPr>
        <w:t>5</w:t>
      </w:r>
      <w:r>
        <w:rPr>
          <w:rStyle w:val="default"/>
          <w:rFonts w:cs="FrankRuehl"/>
          <w:rtl/>
        </w:rPr>
        <w:t>.</w:t>
      </w:r>
      <w:r>
        <w:rPr>
          <w:rStyle w:val="default"/>
          <w:rFonts w:cs="FrankRuehl"/>
          <w:rtl/>
        </w:rPr>
        <w:tab/>
      </w:r>
      <w:r w:rsidR="00AA1EC1">
        <w:rPr>
          <w:rStyle w:val="default"/>
          <w:rFonts w:cs="FrankRuehl" w:hint="cs"/>
          <w:rtl/>
        </w:rPr>
        <w:t>תחילתם של כללים אלה ביום כניסתו לתוקף של החוק לפי הוראות סעיף 123, ואולם אם תחילת הוראות החוק לעניין מסירת מידע ממקורות המידע למאגר תהיה במועד מוקדם יותר מהמועד האמור בסעיף 123(א), יהיה מועד תחילתם של כללים אלה במועד שנקבע בצו מכוח סעיף 123(ב)</w:t>
      </w:r>
      <w:r w:rsidR="00F97D23">
        <w:rPr>
          <w:rStyle w:val="default"/>
          <w:rFonts w:cs="FrankRuehl" w:hint="cs"/>
          <w:rtl/>
        </w:rPr>
        <w:t>.</w:t>
      </w:r>
    </w:p>
    <w:p w14:paraId="529C4F4E" w14:textId="77777777" w:rsidR="00A5567F" w:rsidRDefault="00A5567F">
      <w:pPr>
        <w:pStyle w:val="P00"/>
        <w:spacing w:before="72"/>
        <w:ind w:left="0" w:right="1134"/>
        <w:rPr>
          <w:rStyle w:val="default"/>
          <w:rFonts w:cs="FrankRuehl"/>
          <w:rtl/>
        </w:rPr>
      </w:pPr>
    </w:p>
    <w:p w14:paraId="519B37B4" w14:textId="77777777" w:rsidR="00AB662A" w:rsidRDefault="00AB662A">
      <w:pPr>
        <w:pStyle w:val="P00"/>
        <w:spacing w:before="72"/>
        <w:ind w:left="0" w:right="1134"/>
        <w:rPr>
          <w:rStyle w:val="default"/>
          <w:rFonts w:cs="FrankRuehl" w:hint="cs"/>
          <w:rtl/>
        </w:rPr>
      </w:pPr>
    </w:p>
    <w:p w14:paraId="4AB4E276" w14:textId="77777777" w:rsidR="001153D7" w:rsidRDefault="00AA1EC1" w:rsidP="00005B6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י"א באב</w:t>
      </w:r>
      <w:r w:rsidR="008B1FCD">
        <w:rPr>
          <w:rFonts w:hint="cs"/>
          <w:rtl/>
        </w:rPr>
        <w:t xml:space="preserve"> התשע"ח (</w:t>
      </w:r>
      <w:r>
        <w:rPr>
          <w:rFonts w:hint="cs"/>
          <w:rtl/>
        </w:rPr>
        <w:t>23 ביולי 2018</w:t>
      </w:r>
      <w:r w:rsidR="001153D7">
        <w:rPr>
          <w:rFonts w:hint="cs"/>
          <w:rtl/>
        </w:rPr>
        <w:t>)</w:t>
      </w:r>
      <w:r w:rsidR="001153D7">
        <w:rPr>
          <w:rFonts w:hint="cs"/>
          <w:rtl/>
        </w:rPr>
        <w:tab/>
      </w:r>
      <w:r w:rsidR="005D75B5">
        <w:rPr>
          <w:rFonts w:hint="cs"/>
          <w:rtl/>
        </w:rPr>
        <w:t>קרנית פלוג</w:t>
      </w:r>
    </w:p>
    <w:p w14:paraId="18609C31" w14:textId="77777777" w:rsidR="001153D7" w:rsidRDefault="001153D7" w:rsidP="00005B60">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5D75B5">
        <w:rPr>
          <w:rFonts w:hint="cs"/>
          <w:sz w:val="22"/>
          <w:szCs w:val="22"/>
          <w:rtl/>
        </w:rPr>
        <w:t>נגידת בנק ישראל</w:t>
      </w:r>
    </w:p>
    <w:p w14:paraId="4D54B6AD" w14:textId="77777777" w:rsidR="00AB662A" w:rsidRDefault="00AB662A">
      <w:pPr>
        <w:pStyle w:val="P00"/>
        <w:spacing w:before="72"/>
        <w:ind w:left="0" w:right="1134"/>
        <w:rPr>
          <w:rtl/>
        </w:rPr>
      </w:pPr>
    </w:p>
    <w:p w14:paraId="45F0F180" w14:textId="77777777" w:rsidR="00B75003" w:rsidRDefault="00B75003">
      <w:pPr>
        <w:pStyle w:val="P00"/>
        <w:spacing w:before="72"/>
        <w:ind w:left="0" w:right="1134"/>
        <w:rPr>
          <w:rtl/>
        </w:rPr>
      </w:pPr>
    </w:p>
    <w:p w14:paraId="476D8F7F" w14:textId="77777777" w:rsidR="00344157" w:rsidRDefault="00344157">
      <w:pPr>
        <w:pStyle w:val="P00"/>
        <w:spacing w:before="72"/>
        <w:ind w:left="0" w:right="1134"/>
        <w:rPr>
          <w:rtl/>
        </w:rPr>
      </w:pPr>
    </w:p>
    <w:p w14:paraId="5126C65D" w14:textId="77777777" w:rsidR="00344157" w:rsidRDefault="00344157">
      <w:pPr>
        <w:pStyle w:val="P00"/>
        <w:spacing w:before="72"/>
        <w:ind w:left="0" w:right="1134"/>
        <w:rPr>
          <w:rtl/>
        </w:rPr>
      </w:pPr>
    </w:p>
    <w:p w14:paraId="5794C5B6" w14:textId="77777777" w:rsidR="00344157" w:rsidRDefault="00344157" w:rsidP="00344157">
      <w:pPr>
        <w:pStyle w:val="P00"/>
        <w:spacing w:before="72"/>
        <w:ind w:left="0" w:right="1134"/>
        <w:jc w:val="center"/>
        <w:rPr>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0171AE7D" w14:textId="77777777" w:rsidR="00CC29D6" w:rsidRPr="00344157" w:rsidRDefault="00CC29D6" w:rsidP="00344157">
      <w:pPr>
        <w:pStyle w:val="P00"/>
        <w:spacing w:before="72"/>
        <w:ind w:left="0" w:right="1134"/>
        <w:jc w:val="center"/>
        <w:rPr>
          <w:rFonts w:cs="David"/>
          <w:color w:val="0000FF"/>
          <w:szCs w:val="24"/>
          <w:u w:val="single"/>
          <w:rtl/>
        </w:rPr>
      </w:pPr>
    </w:p>
    <w:sectPr w:rsidR="00CC29D6" w:rsidRPr="00344157">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9CDE5" w14:textId="77777777" w:rsidR="000E4F35" w:rsidRDefault="000E4F35" w:rsidP="001153D7">
      <w:pPr>
        <w:pStyle w:val="P00"/>
      </w:pPr>
      <w:r>
        <w:separator/>
      </w:r>
    </w:p>
  </w:endnote>
  <w:endnote w:type="continuationSeparator" w:id="0">
    <w:p w14:paraId="23B0C511" w14:textId="77777777" w:rsidR="000E4F35" w:rsidRDefault="000E4F35"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F5B5F" w14:textId="77777777" w:rsidR="001B0E24" w:rsidRDefault="001B0E2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1F00F94C" w14:textId="77777777" w:rsidR="001B0E24" w:rsidRDefault="001B0E2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688B6A" w14:textId="77777777" w:rsidR="001B0E24" w:rsidRDefault="001B0E2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Y:\Temp\Misrad-2003\00000000\2009----------------\10-Oct\2009-10-07\law\07\tav\500_213.doc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70F22" w14:textId="77777777" w:rsidR="001B0E24" w:rsidRDefault="001B0E2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44157">
      <w:rPr>
        <w:rFonts w:hAnsi="FrankRuehl"/>
        <w:noProof/>
        <w:sz w:val="24"/>
        <w:szCs w:val="24"/>
        <w:rtl/>
      </w:rPr>
      <w:t>3</w:t>
    </w:r>
    <w:r>
      <w:rPr>
        <w:rFonts w:hAnsi="FrankRuehl"/>
        <w:sz w:val="24"/>
        <w:szCs w:val="24"/>
        <w:rtl/>
      </w:rPr>
      <w:fldChar w:fldCharType="end"/>
    </w:r>
  </w:p>
  <w:p w14:paraId="751C5634" w14:textId="77777777" w:rsidR="001B0E24" w:rsidRDefault="001B0E2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B23F456" w14:textId="77777777" w:rsidR="001B0E24" w:rsidRDefault="001B0E2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Y:\Temp\Misrad-2003\00000000\2009----------------\10-Oct\2009-10-07\law\07\tav\500_213.doc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1A2DC" w14:textId="77777777" w:rsidR="000E4F35" w:rsidRDefault="000E4F35">
      <w:pPr>
        <w:spacing w:before="60" w:line="240" w:lineRule="auto"/>
        <w:ind w:right="1134"/>
      </w:pPr>
      <w:r>
        <w:separator/>
      </w:r>
    </w:p>
  </w:footnote>
  <w:footnote w:type="continuationSeparator" w:id="0">
    <w:p w14:paraId="590EE712" w14:textId="77777777" w:rsidR="000E4F35" w:rsidRDefault="000E4F35">
      <w:r>
        <w:separator/>
      </w:r>
    </w:p>
  </w:footnote>
  <w:footnote w:id="1">
    <w:p w14:paraId="2EBE34AF" w14:textId="77777777" w:rsidR="00874741" w:rsidRDefault="001B0E24" w:rsidP="0087474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874741">
          <w:rPr>
            <w:rStyle w:val="Hyperlink"/>
            <w:rFonts w:hint="cs"/>
            <w:sz w:val="20"/>
            <w:rtl/>
          </w:rPr>
          <w:t xml:space="preserve">ק"ת תשע"ח מס' </w:t>
        </w:r>
        <w:r w:rsidR="00AB662A" w:rsidRPr="00874741">
          <w:rPr>
            <w:rStyle w:val="Hyperlink"/>
            <w:rFonts w:hint="cs"/>
            <w:sz w:val="20"/>
            <w:rtl/>
          </w:rPr>
          <w:t>8058</w:t>
        </w:r>
      </w:hyperlink>
      <w:r>
        <w:rPr>
          <w:rFonts w:hint="cs"/>
          <w:sz w:val="20"/>
          <w:rtl/>
        </w:rPr>
        <w:t xml:space="preserve"> מיום </w:t>
      </w:r>
      <w:r w:rsidR="00AB662A">
        <w:rPr>
          <w:rFonts w:hint="cs"/>
          <w:sz w:val="20"/>
          <w:rtl/>
        </w:rPr>
        <w:t>12.8.2018</w:t>
      </w:r>
      <w:r>
        <w:rPr>
          <w:rFonts w:hint="cs"/>
          <w:sz w:val="20"/>
          <w:rtl/>
        </w:rPr>
        <w:t xml:space="preserve"> עמ' </w:t>
      </w:r>
      <w:r w:rsidR="00AB662A">
        <w:rPr>
          <w:rFonts w:hint="cs"/>
          <w:sz w:val="20"/>
          <w:rtl/>
        </w:rPr>
        <w:t>2652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EEA01" w14:textId="77777777" w:rsidR="001B0E24" w:rsidRDefault="001B0E24">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63540A4B" w14:textId="77777777" w:rsidR="001B0E24" w:rsidRDefault="001B0E2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A1BC899" w14:textId="77777777" w:rsidR="001B0E24" w:rsidRDefault="001B0E2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7BC85" w14:textId="77777777" w:rsidR="001B0E24" w:rsidRDefault="001B0E24" w:rsidP="000F190C">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כללי נתוני אשראי (</w:t>
    </w:r>
    <w:r w:rsidR="00C572D0">
      <w:rPr>
        <w:rFonts w:hAnsi="FrankRuehl" w:hint="cs"/>
        <w:color w:val="000000"/>
        <w:sz w:val="28"/>
        <w:szCs w:val="28"/>
        <w:rtl/>
      </w:rPr>
      <w:t>שיעורי הפחתה מרביים של סכומי העיצום הכספי</w:t>
    </w:r>
    <w:r>
      <w:rPr>
        <w:rFonts w:hAnsi="FrankRuehl" w:hint="cs"/>
        <w:color w:val="000000"/>
        <w:sz w:val="28"/>
        <w:szCs w:val="28"/>
        <w:rtl/>
      </w:rPr>
      <w:t>), תשע"ח-201</w:t>
    </w:r>
    <w:r w:rsidR="00C572D0">
      <w:rPr>
        <w:rFonts w:hAnsi="FrankRuehl" w:hint="cs"/>
        <w:color w:val="000000"/>
        <w:sz w:val="28"/>
        <w:szCs w:val="28"/>
        <w:rtl/>
      </w:rPr>
      <w:t>8</w:t>
    </w:r>
  </w:p>
  <w:p w14:paraId="1127E301" w14:textId="77777777" w:rsidR="001B0E24" w:rsidRDefault="001B0E2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23C690B" w14:textId="77777777" w:rsidR="001B0E24" w:rsidRDefault="001B0E24">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05B60"/>
    <w:rsid w:val="00017420"/>
    <w:rsid w:val="00043F34"/>
    <w:rsid w:val="00054113"/>
    <w:rsid w:val="000602F5"/>
    <w:rsid w:val="00062ECF"/>
    <w:rsid w:val="00070495"/>
    <w:rsid w:val="00075D40"/>
    <w:rsid w:val="00082583"/>
    <w:rsid w:val="000A65F9"/>
    <w:rsid w:val="000B25EF"/>
    <w:rsid w:val="000B2C41"/>
    <w:rsid w:val="000B73AF"/>
    <w:rsid w:val="000C1517"/>
    <w:rsid w:val="000C3D03"/>
    <w:rsid w:val="000C5361"/>
    <w:rsid w:val="000E4F35"/>
    <w:rsid w:val="000F190C"/>
    <w:rsid w:val="001153D7"/>
    <w:rsid w:val="00115AE5"/>
    <w:rsid w:val="0016119E"/>
    <w:rsid w:val="0016580D"/>
    <w:rsid w:val="00173AE5"/>
    <w:rsid w:val="00175E39"/>
    <w:rsid w:val="00176B28"/>
    <w:rsid w:val="001A7BC2"/>
    <w:rsid w:val="001B0E24"/>
    <w:rsid w:val="001B55B9"/>
    <w:rsid w:val="001C03D5"/>
    <w:rsid w:val="001C17AC"/>
    <w:rsid w:val="001D533D"/>
    <w:rsid w:val="001D5BF2"/>
    <w:rsid w:val="001E46A2"/>
    <w:rsid w:val="001F475F"/>
    <w:rsid w:val="0024041E"/>
    <w:rsid w:val="00245C6D"/>
    <w:rsid w:val="002505CB"/>
    <w:rsid w:val="00254DA4"/>
    <w:rsid w:val="00273ECE"/>
    <w:rsid w:val="00276269"/>
    <w:rsid w:val="0028405A"/>
    <w:rsid w:val="00294215"/>
    <w:rsid w:val="002B34C2"/>
    <w:rsid w:val="002B5F26"/>
    <w:rsid w:val="002B600C"/>
    <w:rsid w:val="002C7604"/>
    <w:rsid w:val="002D19C3"/>
    <w:rsid w:val="002D24EE"/>
    <w:rsid w:val="002D5811"/>
    <w:rsid w:val="002E22C6"/>
    <w:rsid w:val="00305A98"/>
    <w:rsid w:val="00314DBF"/>
    <w:rsid w:val="0031637D"/>
    <w:rsid w:val="00317E3D"/>
    <w:rsid w:val="00320967"/>
    <w:rsid w:val="00322940"/>
    <w:rsid w:val="00327CF2"/>
    <w:rsid w:val="00342A8B"/>
    <w:rsid w:val="00344157"/>
    <w:rsid w:val="0034536F"/>
    <w:rsid w:val="00376F5F"/>
    <w:rsid w:val="00386EF5"/>
    <w:rsid w:val="00390FA3"/>
    <w:rsid w:val="003A1639"/>
    <w:rsid w:val="003A263B"/>
    <w:rsid w:val="003A6770"/>
    <w:rsid w:val="003B268A"/>
    <w:rsid w:val="003B3D12"/>
    <w:rsid w:val="003B4D28"/>
    <w:rsid w:val="003D3F38"/>
    <w:rsid w:val="003E0C4E"/>
    <w:rsid w:val="003E1655"/>
    <w:rsid w:val="003E44E7"/>
    <w:rsid w:val="003F2647"/>
    <w:rsid w:val="003F3BEC"/>
    <w:rsid w:val="00403BCC"/>
    <w:rsid w:val="00404E60"/>
    <w:rsid w:val="0041521C"/>
    <w:rsid w:val="00415410"/>
    <w:rsid w:val="00426A03"/>
    <w:rsid w:val="0043188D"/>
    <w:rsid w:val="0043593F"/>
    <w:rsid w:val="00440062"/>
    <w:rsid w:val="0044144F"/>
    <w:rsid w:val="00462720"/>
    <w:rsid w:val="00463775"/>
    <w:rsid w:val="00477532"/>
    <w:rsid w:val="00482B63"/>
    <w:rsid w:val="0048430F"/>
    <w:rsid w:val="004C2593"/>
    <w:rsid w:val="004D03C7"/>
    <w:rsid w:val="004D3349"/>
    <w:rsid w:val="004E4A2D"/>
    <w:rsid w:val="004F3CDA"/>
    <w:rsid w:val="00513477"/>
    <w:rsid w:val="00521E97"/>
    <w:rsid w:val="0052439B"/>
    <w:rsid w:val="005377C3"/>
    <w:rsid w:val="00550A93"/>
    <w:rsid w:val="00555B11"/>
    <w:rsid w:val="00556D05"/>
    <w:rsid w:val="0056541E"/>
    <w:rsid w:val="00587ECE"/>
    <w:rsid w:val="00597B0F"/>
    <w:rsid w:val="005A2585"/>
    <w:rsid w:val="005A4FC2"/>
    <w:rsid w:val="005B2FE7"/>
    <w:rsid w:val="005D5C80"/>
    <w:rsid w:val="005D75B5"/>
    <w:rsid w:val="005E1D49"/>
    <w:rsid w:val="005F092E"/>
    <w:rsid w:val="005F65FC"/>
    <w:rsid w:val="00601434"/>
    <w:rsid w:val="006025F5"/>
    <w:rsid w:val="00605048"/>
    <w:rsid w:val="0061133A"/>
    <w:rsid w:val="0062178A"/>
    <w:rsid w:val="00621CA5"/>
    <w:rsid w:val="006264E2"/>
    <w:rsid w:val="00627848"/>
    <w:rsid w:val="00663AB9"/>
    <w:rsid w:val="006745E3"/>
    <w:rsid w:val="00675888"/>
    <w:rsid w:val="0067667C"/>
    <w:rsid w:val="006816D8"/>
    <w:rsid w:val="006A15C8"/>
    <w:rsid w:val="006C023A"/>
    <w:rsid w:val="006C34DE"/>
    <w:rsid w:val="006C52FF"/>
    <w:rsid w:val="006D2E19"/>
    <w:rsid w:val="006D42E4"/>
    <w:rsid w:val="006E0BEF"/>
    <w:rsid w:val="006E69DE"/>
    <w:rsid w:val="006F3CEE"/>
    <w:rsid w:val="00705F48"/>
    <w:rsid w:val="00713DC7"/>
    <w:rsid w:val="00727C05"/>
    <w:rsid w:val="007479C4"/>
    <w:rsid w:val="00751918"/>
    <w:rsid w:val="00752FE9"/>
    <w:rsid w:val="007617A0"/>
    <w:rsid w:val="007675AC"/>
    <w:rsid w:val="00782A44"/>
    <w:rsid w:val="00783DE0"/>
    <w:rsid w:val="0078635E"/>
    <w:rsid w:val="00786771"/>
    <w:rsid w:val="00796D72"/>
    <w:rsid w:val="007A3D8C"/>
    <w:rsid w:val="007B0D4E"/>
    <w:rsid w:val="007D0808"/>
    <w:rsid w:val="007E0946"/>
    <w:rsid w:val="007E3EF8"/>
    <w:rsid w:val="00800047"/>
    <w:rsid w:val="0080640E"/>
    <w:rsid w:val="008138CD"/>
    <w:rsid w:val="00863D71"/>
    <w:rsid w:val="00871F02"/>
    <w:rsid w:val="00874741"/>
    <w:rsid w:val="0088463A"/>
    <w:rsid w:val="0088672B"/>
    <w:rsid w:val="008A4983"/>
    <w:rsid w:val="008A65B4"/>
    <w:rsid w:val="008B1FCD"/>
    <w:rsid w:val="008E7F61"/>
    <w:rsid w:val="008F1E41"/>
    <w:rsid w:val="00921E5A"/>
    <w:rsid w:val="0093393E"/>
    <w:rsid w:val="00943BF1"/>
    <w:rsid w:val="0098048A"/>
    <w:rsid w:val="00980513"/>
    <w:rsid w:val="009816EA"/>
    <w:rsid w:val="00992CEB"/>
    <w:rsid w:val="009A4D64"/>
    <w:rsid w:val="009D55FB"/>
    <w:rsid w:val="009E1ED1"/>
    <w:rsid w:val="009F18D3"/>
    <w:rsid w:val="00A07F73"/>
    <w:rsid w:val="00A105A6"/>
    <w:rsid w:val="00A14553"/>
    <w:rsid w:val="00A2279B"/>
    <w:rsid w:val="00A3360D"/>
    <w:rsid w:val="00A35851"/>
    <w:rsid w:val="00A53FFA"/>
    <w:rsid w:val="00A5567F"/>
    <w:rsid w:val="00A97203"/>
    <w:rsid w:val="00AA1EC1"/>
    <w:rsid w:val="00AB662A"/>
    <w:rsid w:val="00AC3520"/>
    <w:rsid w:val="00AF6BF6"/>
    <w:rsid w:val="00B01622"/>
    <w:rsid w:val="00B0746C"/>
    <w:rsid w:val="00B23890"/>
    <w:rsid w:val="00B33E9D"/>
    <w:rsid w:val="00B36F4C"/>
    <w:rsid w:val="00B54F14"/>
    <w:rsid w:val="00B6777C"/>
    <w:rsid w:val="00B67CED"/>
    <w:rsid w:val="00B7125D"/>
    <w:rsid w:val="00B75003"/>
    <w:rsid w:val="00B823AB"/>
    <w:rsid w:val="00B8420E"/>
    <w:rsid w:val="00B9089A"/>
    <w:rsid w:val="00B92B57"/>
    <w:rsid w:val="00B93D82"/>
    <w:rsid w:val="00BA3CCE"/>
    <w:rsid w:val="00BC191A"/>
    <w:rsid w:val="00BE05D5"/>
    <w:rsid w:val="00BF6605"/>
    <w:rsid w:val="00C02B83"/>
    <w:rsid w:val="00C26EEC"/>
    <w:rsid w:val="00C370E0"/>
    <w:rsid w:val="00C45BF5"/>
    <w:rsid w:val="00C45C3F"/>
    <w:rsid w:val="00C572D0"/>
    <w:rsid w:val="00C5736C"/>
    <w:rsid w:val="00C62561"/>
    <w:rsid w:val="00C6357C"/>
    <w:rsid w:val="00C92E0E"/>
    <w:rsid w:val="00C95911"/>
    <w:rsid w:val="00CA1404"/>
    <w:rsid w:val="00CA5755"/>
    <w:rsid w:val="00CB6E53"/>
    <w:rsid w:val="00CB790E"/>
    <w:rsid w:val="00CC29D6"/>
    <w:rsid w:val="00CC6E75"/>
    <w:rsid w:val="00CE7469"/>
    <w:rsid w:val="00CF527A"/>
    <w:rsid w:val="00D11EA5"/>
    <w:rsid w:val="00D21A7E"/>
    <w:rsid w:val="00D551EC"/>
    <w:rsid w:val="00D60CC4"/>
    <w:rsid w:val="00D62F4C"/>
    <w:rsid w:val="00D75396"/>
    <w:rsid w:val="00D81E1D"/>
    <w:rsid w:val="00D96125"/>
    <w:rsid w:val="00DC51EF"/>
    <w:rsid w:val="00DD002E"/>
    <w:rsid w:val="00DD307B"/>
    <w:rsid w:val="00DD4234"/>
    <w:rsid w:val="00DE4C2A"/>
    <w:rsid w:val="00DE55D2"/>
    <w:rsid w:val="00E02274"/>
    <w:rsid w:val="00E2041E"/>
    <w:rsid w:val="00E22C9F"/>
    <w:rsid w:val="00E33582"/>
    <w:rsid w:val="00E44EC4"/>
    <w:rsid w:val="00E45AC2"/>
    <w:rsid w:val="00E65DD1"/>
    <w:rsid w:val="00E7102F"/>
    <w:rsid w:val="00ED158A"/>
    <w:rsid w:val="00ED29FC"/>
    <w:rsid w:val="00ED6CFE"/>
    <w:rsid w:val="00EF4509"/>
    <w:rsid w:val="00F035EA"/>
    <w:rsid w:val="00F05B6A"/>
    <w:rsid w:val="00F065DE"/>
    <w:rsid w:val="00F20D9B"/>
    <w:rsid w:val="00F21308"/>
    <w:rsid w:val="00F23033"/>
    <w:rsid w:val="00F236A9"/>
    <w:rsid w:val="00F2433C"/>
    <w:rsid w:val="00F35D6F"/>
    <w:rsid w:val="00F45FE4"/>
    <w:rsid w:val="00F50AE3"/>
    <w:rsid w:val="00F531DD"/>
    <w:rsid w:val="00F53E9D"/>
    <w:rsid w:val="00F64F30"/>
    <w:rsid w:val="00F67FAB"/>
    <w:rsid w:val="00F75BA1"/>
    <w:rsid w:val="00F75FD2"/>
    <w:rsid w:val="00F97D23"/>
    <w:rsid w:val="00FA05BC"/>
    <w:rsid w:val="00FC12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C8560E3"/>
  <w15:chartTrackingRefBased/>
  <w15:docId w15:val="{D55554BE-E50E-4456-AA36-BAC9DDF7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table" w:styleId="a8">
    <w:name w:val="Table Grid"/>
    <w:basedOn w:val="a1"/>
    <w:rsid w:val="00F53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0B2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0045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3911</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7602176</vt:i4>
      </vt:variant>
      <vt:variant>
        <vt:i4>0</vt:i4>
      </vt:variant>
      <vt:variant>
        <vt:i4>0</vt:i4>
      </vt:variant>
      <vt:variant>
        <vt:i4>5</vt:i4>
      </vt:variant>
      <vt:variant>
        <vt:lpwstr>http://www.nevo.co.il/Law_word/law06/TAK-8058.pdf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נתוני אשראי</vt:lpwstr>
  </property>
  <property fmtid="{D5CDD505-2E9C-101B-9397-08002B2CF9AE}" pid="4" name="LAWNAME">
    <vt:lpwstr>כללי נתוני אשראי (שיעורי הפחתה מרביים של סכומי העיצום הכספי), תשע"ח-2018</vt:lpwstr>
  </property>
  <property fmtid="{D5CDD505-2E9C-101B-9397-08002B2CF9AE}" pid="5" name="LAWNUMBER">
    <vt:lpwstr>0935</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NOSE11">
    <vt:lpwstr>משפט פרטי וכלכלה</vt:lpwstr>
  </property>
  <property fmtid="{D5CDD505-2E9C-101B-9397-08002B2CF9AE}" pid="22" name="NOSE21">
    <vt:lpwstr>כספים</vt:lpwstr>
  </property>
  <property fmtid="{D5CDD505-2E9C-101B-9397-08002B2CF9AE}" pid="23" name="NOSE31">
    <vt:lpwstr>בנקאות</vt:lpwstr>
  </property>
  <property fmtid="{D5CDD505-2E9C-101B-9397-08002B2CF9AE}" pid="24" name="NOSE12">
    <vt:lpwstr>משפט פרטי וכלכלה</vt:lpwstr>
  </property>
  <property fmtid="{D5CDD505-2E9C-101B-9397-08002B2CF9AE}" pid="25" name="NOSE22">
    <vt:lpwstr>כספים</vt:lpwstr>
  </property>
  <property fmtid="{D5CDD505-2E9C-101B-9397-08002B2CF9AE}" pid="26" name="NOSE32">
    <vt:lpwstr>שירות נתוני אשראי</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NAME1">
    <vt:lpwstr>חוק נתוני אשראי</vt:lpwstr>
  </property>
  <property fmtid="{D5CDD505-2E9C-101B-9397-08002B2CF9AE}" pid="60" name="MEKOR_SAIF1">
    <vt:lpwstr>97XבX</vt:lpwstr>
  </property>
  <property fmtid="{D5CDD505-2E9C-101B-9397-08002B2CF9AE}" pid="61" name="LINKK1">
    <vt:lpwstr>http://www.nevo.co.il/Law_word/law06/TAK-8058.pdf;‎רשומות - תקנות כלליות#פורסמו ק"ת תשע"ח ‏מס' 8058 #מיום 12.8.2018 עמ' 2652‏</vt:lpwstr>
  </property>
  <property fmtid="{D5CDD505-2E9C-101B-9397-08002B2CF9AE}" pid="62" name="LINKK2">
    <vt:lpwstr/>
  </property>
</Properties>
</file>