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1A5B0" w14:textId="77777777" w:rsidR="00AB13FB" w:rsidRDefault="00AB13FB">
      <w:pPr>
        <w:pStyle w:val="big-header"/>
        <w:ind w:left="0" w:right="1134"/>
        <w:rPr>
          <w:rFonts w:cs="FrankRuehl"/>
          <w:sz w:val="32"/>
        </w:rPr>
      </w:pPr>
      <w:r>
        <w:rPr>
          <w:rFonts w:cs="FrankRuehl" w:hint="cs"/>
          <w:sz w:val="32"/>
          <w:rtl/>
        </w:rPr>
        <w:t>כללי עבודתה של הוועדה המייעצת למנהל הכללי של משרד הביטחון במתן הטבות לפנים משורת הדין ("ועדת למ"ד"), תשס"ה-2005</w:t>
      </w:r>
    </w:p>
    <w:p w14:paraId="57AE1E1D" w14:textId="77777777" w:rsidR="006E2728" w:rsidRPr="006E2728" w:rsidRDefault="006E2728" w:rsidP="006E2728">
      <w:pPr>
        <w:spacing w:line="320" w:lineRule="auto"/>
        <w:rPr>
          <w:rFonts w:cs="FrankRuehl"/>
          <w:szCs w:val="26"/>
          <w:rtl/>
        </w:rPr>
      </w:pPr>
    </w:p>
    <w:p w14:paraId="4DC61BD2" w14:textId="77777777" w:rsidR="006E2728" w:rsidRDefault="006E2728" w:rsidP="006E2728">
      <w:pPr>
        <w:spacing w:line="320" w:lineRule="auto"/>
        <w:rPr>
          <w:rtl/>
        </w:rPr>
      </w:pPr>
    </w:p>
    <w:p w14:paraId="44262699" w14:textId="77777777" w:rsidR="006E2728" w:rsidRPr="006E2728" w:rsidRDefault="006E2728" w:rsidP="006E2728">
      <w:pPr>
        <w:spacing w:line="320" w:lineRule="auto"/>
        <w:rPr>
          <w:rFonts w:cs="Miriam"/>
          <w:szCs w:val="22"/>
        </w:rPr>
      </w:pPr>
      <w:r w:rsidRPr="006E2728">
        <w:rPr>
          <w:rFonts w:cs="Miriam"/>
          <w:szCs w:val="22"/>
          <w:rtl/>
        </w:rPr>
        <w:t>בטחון</w:t>
      </w:r>
      <w:r w:rsidRPr="006E2728">
        <w:rPr>
          <w:rFonts w:cs="FrankRuehl"/>
          <w:szCs w:val="26"/>
          <w:rtl/>
        </w:rPr>
        <w:t xml:space="preserve"> – מערכת ומשרד הבטחון</w:t>
      </w:r>
    </w:p>
    <w:p w14:paraId="06A39739" w14:textId="77777777" w:rsidR="006E2728" w:rsidRDefault="006E2728">
      <w:pPr>
        <w:pStyle w:val="big-header"/>
        <w:ind w:left="0" w:right="1134"/>
        <w:rPr>
          <w:rFonts w:cs="FrankRuehl"/>
          <w:sz w:val="32"/>
          <w:rtl/>
        </w:rPr>
      </w:pPr>
    </w:p>
    <w:tbl>
      <w:tblPr>
        <w:bidiVisual/>
        <w:tblW w:w="8333" w:type="dxa"/>
        <w:tblLayout w:type="fixed"/>
        <w:tblLook w:val="0000" w:firstRow="0" w:lastRow="0" w:firstColumn="0" w:lastColumn="0" w:noHBand="0" w:noVBand="0"/>
      </w:tblPr>
      <w:tblGrid>
        <w:gridCol w:w="1247"/>
        <w:gridCol w:w="5669"/>
        <w:gridCol w:w="567"/>
        <w:gridCol w:w="850"/>
      </w:tblGrid>
      <w:tr w:rsidR="00E653DD" w:rsidRPr="00E653DD" w14:paraId="6986DFBE" w14:textId="77777777">
        <w:tblPrEx>
          <w:tblCellMar>
            <w:top w:w="0" w:type="dxa"/>
            <w:bottom w:w="0" w:type="dxa"/>
          </w:tblCellMar>
        </w:tblPrEx>
        <w:tc>
          <w:tcPr>
            <w:tcW w:w="1247" w:type="dxa"/>
          </w:tcPr>
          <w:p w14:paraId="4CED1ECD" w14:textId="77777777" w:rsidR="00E653DD" w:rsidRPr="00E653DD" w:rsidRDefault="00E653DD" w:rsidP="00E653DD">
            <w:pPr>
              <w:rPr>
                <w:rStyle w:val="default"/>
                <w:rFonts w:cs="Frankruhel" w:hint="cs"/>
                <w:sz w:val="24"/>
                <w:szCs w:val="24"/>
                <w:rtl/>
              </w:rPr>
            </w:pPr>
            <w:r>
              <w:rPr>
                <w:rStyle w:val="default"/>
                <w:sz w:val="24"/>
                <w:szCs w:val="24"/>
                <w:rtl/>
              </w:rPr>
              <w:t xml:space="preserve">סעיף 1 </w:t>
            </w:r>
          </w:p>
        </w:tc>
        <w:tc>
          <w:tcPr>
            <w:tcW w:w="5669" w:type="dxa"/>
          </w:tcPr>
          <w:p w14:paraId="3FC3880C" w14:textId="77777777" w:rsidR="00E653DD" w:rsidRPr="00E653DD" w:rsidRDefault="00E653DD" w:rsidP="00E653DD">
            <w:pPr>
              <w:rPr>
                <w:rStyle w:val="default"/>
                <w:rFonts w:cs="Frankruhel" w:hint="cs"/>
                <w:sz w:val="24"/>
                <w:szCs w:val="24"/>
                <w:rtl/>
              </w:rPr>
            </w:pPr>
            <w:r>
              <w:rPr>
                <w:rStyle w:val="default"/>
                <w:sz w:val="24"/>
                <w:szCs w:val="24"/>
                <w:rtl/>
              </w:rPr>
              <w:t>הגדרות</w:t>
            </w:r>
          </w:p>
        </w:tc>
        <w:tc>
          <w:tcPr>
            <w:tcW w:w="567" w:type="dxa"/>
          </w:tcPr>
          <w:p w14:paraId="4B470B93" w14:textId="77777777" w:rsidR="00E653DD" w:rsidRPr="00E653DD" w:rsidRDefault="00E653DD" w:rsidP="00E653DD">
            <w:pPr>
              <w:rPr>
                <w:rStyle w:val="Hyperlink"/>
                <w:rFonts w:hint="cs"/>
                <w:rtl/>
              </w:rPr>
            </w:pPr>
            <w:hyperlink w:anchor="Seif1" w:tooltip="הגדרות" w:history="1">
              <w:r w:rsidRPr="00E653DD">
                <w:rPr>
                  <w:rStyle w:val="Hyperlink"/>
                </w:rPr>
                <w:t>Go</w:t>
              </w:r>
            </w:hyperlink>
          </w:p>
        </w:tc>
        <w:tc>
          <w:tcPr>
            <w:tcW w:w="850" w:type="dxa"/>
          </w:tcPr>
          <w:p w14:paraId="7F93F0B9" w14:textId="77777777" w:rsidR="00E653DD" w:rsidRPr="00E653DD" w:rsidRDefault="00E653DD" w:rsidP="00E653DD">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653DD" w:rsidRPr="00E653DD" w14:paraId="5F52D2AB" w14:textId="77777777">
        <w:tblPrEx>
          <w:tblCellMar>
            <w:top w:w="0" w:type="dxa"/>
            <w:bottom w:w="0" w:type="dxa"/>
          </w:tblCellMar>
        </w:tblPrEx>
        <w:tc>
          <w:tcPr>
            <w:tcW w:w="1247" w:type="dxa"/>
          </w:tcPr>
          <w:p w14:paraId="764263A5" w14:textId="77777777" w:rsidR="00E653DD" w:rsidRPr="00E653DD" w:rsidRDefault="00E653DD" w:rsidP="00E653DD">
            <w:pPr>
              <w:rPr>
                <w:rStyle w:val="default"/>
                <w:rFonts w:cs="Frankruhel" w:hint="cs"/>
                <w:sz w:val="24"/>
                <w:szCs w:val="24"/>
                <w:rtl/>
              </w:rPr>
            </w:pPr>
            <w:r>
              <w:rPr>
                <w:rStyle w:val="default"/>
                <w:sz w:val="24"/>
                <w:szCs w:val="24"/>
                <w:rtl/>
              </w:rPr>
              <w:t xml:space="preserve">סעיף 2 </w:t>
            </w:r>
          </w:p>
        </w:tc>
        <w:tc>
          <w:tcPr>
            <w:tcW w:w="5669" w:type="dxa"/>
          </w:tcPr>
          <w:p w14:paraId="6BF5B929" w14:textId="77777777" w:rsidR="00E653DD" w:rsidRPr="00E653DD" w:rsidRDefault="00E653DD" w:rsidP="00E653DD">
            <w:pPr>
              <w:rPr>
                <w:rStyle w:val="default"/>
                <w:rFonts w:cs="Frankruhel" w:hint="cs"/>
                <w:sz w:val="24"/>
                <w:szCs w:val="24"/>
                <w:rtl/>
              </w:rPr>
            </w:pPr>
            <w:r>
              <w:rPr>
                <w:rStyle w:val="default"/>
                <w:sz w:val="24"/>
                <w:szCs w:val="24"/>
                <w:rtl/>
              </w:rPr>
              <w:t>סמכויות הוועדה</w:t>
            </w:r>
          </w:p>
        </w:tc>
        <w:tc>
          <w:tcPr>
            <w:tcW w:w="567" w:type="dxa"/>
          </w:tcPr>
          <w:p w14:paraId="4CCD3C6D" w14:textId="77777777" w:rsidR="00E653DD" w:rsidRPr="00E653DD" w:rsidRDefault="00E653DD" w:rsidP="00E653DD">
            <w:pPr>
              <w:rPr>
                <w:rStyle w:val="Hyperlink"/>
                <w:rFonts w:hint="cs"/>
                <w:rtl/>
              </w:rPr>
            </w:pPr>
            <w:hyperlink w:anchor="Seif2" w:tooltip="סמכויות הוועדה" w:history="1">
              <w:r w:rsidRPr="00E653DD">
                <w:rPr>
                  <w:rStyle w:val="Hyperlink"/>
                </w:rPr>
                <w:t>Go</w:t>
              </w:r>
            </w:hyperlink>
          </w:p>
        </w:tc>
        <w:tc>
          <w:tcPr>
            <w:tcW w:w="850" w:type="dxa"/>
          </w:tcPr>
          <w:p w14:paraId="7893F60A" w14:textId="77777777" w:rsidR="00E653DD" w:rsidRPr="00E653DD" w:rsidRDefault="00E653DD" w:rsidP="00E653DD">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E653DD" w:rsidRPr="00E653DD" w14:paraId="7F2D39CC" w14:textId="77777777">
        <w:tblPrEx>
          <w:tblCellMar>
            <w:top w:w="0" w:type="dxa"/>
            <w:bottom w:w="0" w:type="dxa"/>
          </w:tblCellMar>
        </w:tblPrEx>
        <w:tc>
          <w:tcPr>
            <w:tcW w:w="1247" w:type="dxa"/>
          </w:tcPr>
          <w:p w14:paraId="0768DFD6" w14:textId="77777777" w:rsidR="00E653DD" w:rsidRPr="00E653DD" w:rsidRDefault="00E653DD" w:rsidP="00E653DD">
            <w:pPr>
              <w:rPr>
                <w:rStyle w:val="default"/>
                <w:rFonts w:cs="Frankruhel" w:hint="cs"/>
                <w:sz w:val="24"/>
                <w:szCs w:val="24"/>
                <w:rtl/>
              </w:rPr>
            </w:pPr>
            <w:r>
              <w:rPr>
                <w:rStyle w:val="default"/>
                <w:sz w:val="24"/>
                <w:szCs w:val="24"/>
                <w:rtl/>
              </w:rPr>
              <w:t xml:space="preserve">סעיף 3 </w:t>
            </w:r>
          </w:p>
        </w:tc>
        <w:tc>
          <w:tcPr>
            <w:tcW w:w="5669" w:type="dxa"/>
          </w:tcPr>
          <w:p w14:paraId="5D5FD5EE" w14:textId="77777777" w:rsidR="00E653DD" w:rsidRPr="00E653DD" w:rsidRDefault="00E653DD" w:rsidP="00E653DD">
            <w:pPr>
              <w:rPr>
                <w:rStyle w:val="default"/>
                <w:rFonts w:cs="Frankruhel" w:hint="cs"/>
                <w:sz w:val="24"/>
                <w:szCs w:val="24"/>
                <w:rtl/>
              </w:rPr>
            </w:pPr>
            <w:r>
              <w:rPr>
                <w:rStyle w:val="default"/>
                <w:sz w:val="24"/>
                <w:szCs w:val="24"/>
                <w:rtl/>
              </w:rPr>
              <w:t>הרכב הוועדה</w:t>
            </w:r>
          </w:p>
        </w:tc>
        <w:tc>
          <w:tcPr>
            <w:tcW w:w="567" w:type="dxa"/>
          </w:tcPr>
          <w:p w14:paraId="409EE659" w14:textId="77777777" w:rsidR="00E653DD" w:rsidRPr="00E653DD" w:rsidRDefault="00E653DD" w:rsidP="00E653DD">
            <w:pPr>
              <w:rPr>
                <w:rStyle w:val="Hyperlink"/>
                <w:rFonts w:hint="cs"/>
                <w:rtl/>
              </w:rPr>
            </w:pPr>
            <w:hyperlink w:anchor="Seif3" w:tooltip="הרכב הוועדה" w:history="1">
              <w:r w:rsidRPr="00E653DD">
                <w:rPr>
                  <w:rStyle w:val="Hyperlink"/>
                </w:rPr>
                <w:t>Go</w:t>
              </w:r>
            </w:hyperlink>
          </w:p>
        </w:tc>
        <w:tc>
          <w:tcPr>
            <w:tcW w:w="850" w:type="dxa"/>
          </w:tcPr>
          <w:p w14:paraId="2AF7CAD6" w14:textId="77777777" w:rsidR="00E653DD" w:rsidRPr="00E653DD" w:rsidRDefault="00E653DD" w:rsidP="00E653DD">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E653DD" w:rsidRPr="00E653DD" w14:paraId="4CAFD50D" w14:textId="77777777">
        <w:tblPrEx>
          <w:tblCellMar>
            <w:top w:w="0" w:type="dxa"/>
            <w:bottom w:w="0" w:type="dxa"/>
          </w:tblCellMar>
        </w:tblPrEx>
        <w:tc>
          <w:tcPr>
            <w:tcW w:w="1247" w:type="dxa"/>
          </w:tcPr>
          <w:p w14:paraId="050F40F2" w14:textId="77777777" w:rsidR="00E653DD" w:rsidRPr="00E653DD" w:rsidRDefault="00E653DD" w:rsidP="00E653DD">
            <w:pPr>
              <w:rPr>
                <w:rStyle w:val="default"/>
                <w:rFonts w:cs="Frankruhel" w:hint="cs"/>
                <w:sz w:val="24"/>
                <w:szCs w:val="24"/>
                <w:rtl/>
              </w:rPr>
            </w:pPr>
            <w:r>
              <w:rPr>
                <w:rStyle w:val="default"/>
                <w:sz w:val="24"/>
                <w:szCs w:val="24"/>
                <w:rtl/>
              </w:rPr>
              <w:t xml:space="preserve">סעיף 4 </w:t>
            </w:r>
          </w:p>
        </w:tc>
        <w:tc>
          <w:tcPr>
            <w:tcW w:w="5669" w:type="dxa"/>
          </w:tcPr>
          <w:p w14:paraId="353B44E1" w14:textId="77777777" w:rsidR="00E653DD" w:rsidRPr="00E653DD" w:rsidRDefault="00E653DD" w:rsidP="00E653DD">
            <w:pPr>
              <w:rPr>
                <w:rStyle w:val="default"/>
                <w:rFonts w:cs="Frankruhel" w:hint="cs"/>
                <w:sz w:val="24"/>
                <w:szCs w:val="24"/>
                <w:rtl/>
              </w:rPr>
            </w:pPr>
            <w:r>
              <w:rPr>
                <w:rStyle w:val="default"/>
                <w:sz w:val="24"/>
                <w:szCs w:val="24"/>
                <w:rtl/>
              </w:rPr>
              <w:t>נוהל הטיפול בבקשות</w:t>
            </w:r>
          </w:p>
        </w:tc>
        <w:tc>
          <w:tcPr>
            <w:tcW w:w="567" w:type="dxa"/>
          </w:tcPr>
          <w:p w14:paraId="3DCE31B9" w14:textId="77777777" w:rsidR="00E653DD" w:rsidRPr="00E653DD" w:rsidRDefault="00E653DD" w:rsidP="00E653DD">
            <w:pPr>
              <w:rPr>
                <w:rStyle w:val="Hyperlink"/>
                <w:rFonts w:hint="cs"/>
                <w:rtl/>
              </w:rPr>
            </w:pPr>
            <w:hyperlink w:anchor="Seif4" w:tooltip="נוהל הטיפול בבקשות" w:history="1">
              <w:r w:rsidRPr="00E653DD">
                <w:rPr>
                  <w:rStyle w:val="Hyperlink"/>
                </w:rPr>
                <w:t>Go</w:t>
              </w:r>
            </w:hyperlink>
          </w:p>
        </w:tc>
        <w:tc>
          <w:tcPr>
            <w:tcW w:w="850" w:type="dxa"/>
          </w:tcPr>
          <w:p w14:paraId="2A5652B6" w14:textId="77777777" w:rsidR="00E653DD" w:rsidRPr="00E653DD" w:rsidRDefault="00E653DD" w:rsidP="00E653DD">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E653DD" w:rsidRPr="00E653DD" w14:paraId="5E1A8DEC" w14:textId="77777777">
        <w:tblPrEx>
          <w:tblCellMar>
            <w:top w:w="0" w:type="dxa"/>
            <w:bottom w:w="0" w:type="dxa"/>
          </w:tblCellMar>
        </w:tblPrEx>
        <w:tc>
          <w:tcPr>
            <w:tcW w:w="1247" w:type="dxa"/>
          </w:tcPr>
          <w:p w14:paraId="108D31C3" w14:textId="77777777" w:rsidR="00E653DD" w:rsidRPr="00E653DD" w:rsidRDefault="00E653DD" w:rsidP="00E653DD">
            <w:pPr>
              <w:rPr>
                <w:rStyle w:val="default"/>
                <w:rFonts w:cs="Frankruhel" w:hint="cs"/>
                <w:sz w:val="24"/>
                <w:szCs w:val="24"/>
                <w:rtl/>
              </w:rPr>
            </w:pPr>
            <w:r>
              <w:rPr>
                <w:rStyle w:val="default"/>
                <w:sz w:val="24"/>
                <w:szCs w:val="24"/>
                <w:rtl/>
              </w:rPr>
              <w:t xml:space="preserve">סעיף 5 </w:t>
            </w:r>
          </w:p>
        </w:tc>
        <w:tc>
          <w:tcPr>
            <w:tcW w:w="5669" w:type="dxa"/>
          </w:tcPr>
          <w:p w14:paraId="13BAB7BF" w14:textId="77777777" w:rsidR="00E653DD" w:rsidRPr="00E653DD" w:rsidRDefault="00E653DD" w:rsidP="00E653DD">
            <w:pPr>
              <w:rPr>
                <w:rStyle w:val="default"/>
                <w:rFonts w:cs="Frankruhel" w:hint="cs"/>
                <w:sz w:val="24"/>
                <w:szCs w:val="24"/>
                <w:rtl/>
              </w:rPr>
            </w:pPr>
            <w:r>
              <w:rPr>
                <w:rStyle w:val="default"/>
                <w:sz w:val="24"/>
                <w:szCs w:val="24"/>
                <w:rtl/>
              </w:rPr>
              <w:t>דיוני הוועדה</w:t>
            </w:r>
          </w:p>
        </w:tc>
        <w:tc>
          <w:tcPr>
            <w:tcW w:w="567" w:type="dxa"/>
          </w:tcPr>
          <w:p w14:paraId="7D27CCCF" w14:textId="77777777" w:rsidR="00E653DD" w:rsidRPr="00E653DD" w:rsidRDefault="00E653DD" w:rsidP="00E653DD">
            <w:pPr>
              <w:rPr>
                <w:rStyle w:val="Hyperlink"/>
                <w:rFonts w:hint="cs"/>
                <w:rtl/>
              </w:rPr>
            </w:pPr>
            <w:hyperlink w:anchor="Seif5" w:tooltip="דיוני הוועדה" w:history="1">
              <w:r w:rsidRPr="00E653DD">
                <w:rPr>
                  <w:rStyle w:val="Hyperlink"/>
                </w:rPr>
                <w:t>Go</w:t>
              </w:r>
            </w:hyperlink>
          </w:p>
        </w:tc>
        <w:tc>
          <w:tcPr>
            <w:tcW w:w="850" w:type="dxa"/>
          </w:tcPr>
          <w:p w14:paraId="7AE92AC4" w14:textId="77777777" w:rsidR="00E653DD" w:rsidRPr="00E653DD" w:rsidRDefault="00E653DD" w:rsidP="00E653DD">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E653DD" w:rsidRPr="00E653DD" w14:paraId="2600A5FB" w14:textId="77777777">
        <w:tblPrEx>
          <w:tblCellMar>
            <w:top w:w="0" w:type="dxa"/>
            <w:bottom w:w="0" w:type="dxa"/>
          </w:tblCellMar>
        </w:tblPrEx>
        <w:tc>
          <w:tcPr>
            <w:tcW w:w="1247" w:type="dxa"/>
          </w:tcPr>
          <w:p w14:paraId="3BC38627" w14:textId="77777777" w:rsidR="00E653DD" w:rsidRPr="00E653DD" w:rsidRDefault="00E653DD" w:rsidP="00E653DD">
            <w:pPr>
              <w:rPr>
                <w:rStyle w:val="default"/>
                <w:rFonts w:cs="Frankruhel" w:hint="cs"/>
                <w:sz w:val="24"/>
                <w:szCs w:val="24"/>
                <w:rtl/>
              </w:rPr>
            </w:pPr>
            <w:r>
              <w:rPr>
                <w:rStyle w:val="default"/>
                <w:sz w:val="24"/>
                <w:szCs w:val="24"/>
                <w:rtl/>
              </w:rPr>
              <w:t xml:space="preserve">סעיף 6 </w:t>
            </w:r>
          </w:p>
        </w:tc>
        <w:tc>
          <w:tcPr>
            <w:tcW w:w="5669" w:type="dxa"/>
          </w:tcPr>
          <w:p w14:paraId="56FE63D4" w14:textId="77777777" w:rsidR="00E653DD" w:rsidRPr="00E653DD" w:rsidRDefault="00E653DD" w:rsidP="00E653DD">
            <w:pPr>
              <w:rPr>
                <w:rStyle w:val="default"/>
                <w:rFonts w:cs="Frankruhel" w:hint="cs"/>
                <w:sz w:val="24"/>
                <w:szCs w:val="24"/>
                <w:rtl/>
              </w:rPr>
            </w:pPr>
            <w:r>
              <w:rPr>
                <w:rStyle w:val="default"/>
                <w:sz w:val="24"/>
                <w:szCs w:val="24"/>
                <w:rtl/>
              </w:rPr>
              <w:t>שיקולי הוועדה</w:t>
            </w:r>
          </w:p>
        </w:tc>
        <w:tc>
          <w:tcPr>
            <w:tcW w:w="567" w:type="dxa"/>
          </w:tcPr>
          <w:p w14:paraId="784897CD" w14:textId="77777777" w:rsidR="00E653DD" w:rsidRPr="00E653DD" w:rsidRDefault="00E653DD" w:rsidP="00E653DD">
            <w:pPr>
              <w:rPr>
                <w:rStyle w:val="Hyperlink"/>
                <w:rFonts w:hint="cs"/>
                <w:rtl/>
              </w:rPr>
            </w:pPr>
            <w:hyperlink w:anchor="Seif6" w:tooltip="שיקולי הוועדה" w:history="1">
              <w:r w:rsidRPr="00E653DD">
                <w:rPr>
                  <w:rStyle w:val="Hyperlink"/>
                </w:rPr>
                <w:t>Go</w:t>
              </w:r>
            </w:hyperlink>
          </w:p>
        </w:tc>
        <w:tc>
          <w:tcPr>
            <w:tcW w:w="850" w:type="dxa"/>
          </w:tcPr>
          <w:p w14:paraId="13F480DF" w14:textId="77777777" w:rsidR="00E653DD" w:rsidRPr="00E653DD" w:rsidRDefault="00E653DD" w:rsidP="00E653DD">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E653DD" w:rsidRPr="00E653DD" w14:paraId="41AD15AB" w14:textId="77777777">
        <w:tblPrEx>
          <w:tblCellMar>
            <w:top w:w="0" w:type="dxa"/>
            <w:bottom w:w="0" w:type="dxa"/>
          </w:tblCellMar>
        </w:tblPrEx>
        <w:tc>
          <w:tcPr>
            <w:tcW w:w="1247" w:type="dxa"/>
          </w:tcPr>
          <w:p w14:paraId="01EC6627" w14:textId="77777777" w:rsidR="00E653DD" w:rsidRPr="00E653DD" w:rsidRDefault="00E653DD" w:rsidP="00E653DD">
            <w:pPr>
              <w:rPr>
                <w:rStyle w:val="default"/>
                <w:rFonts w:cs="Frankruhel" w:hint="cs"/>
                <w:sz w:val="24"/>
                <w:szCs w:val="24"/>
                <w:rtl/>
              </w:rPr>
            </w:pPr>
            <w:r>
              <w:rPr>
                <w:rStyle w:val="default"/>
                <w:sz w:val="24"/>
                <w:szCs w:val="24"/>
                <w:rtl/>
              </w:rPr>
              <w:t xml:space="preserve">סעיף 7 </w:t>
            </w:r>
          </w:p>
        </w:tc>
        <w:tc>
          <w:tcPr>
            <w:tcW w:w="5669" w:type="dxa"/>
          </w:tcPr>
          <w:p w14:paraId="6517A315" w14:textId="77777777" w:rsidR="00E653DD" w:rsidRPr="00E653DD" w:rsidRDefault="00E653DD" w:rsidP="00E653DD">
            <w:pPr>
              <w:rPr>
                <w:rStyle w:val="default"/>
                <w:rFonts w:cs="Frankruhel" w:hint="cs"/>
                <w:sz w:val="24"/>
                <w:szCs w:val="24"/>
                <w:rtl/>
              </w:rPr>
            </w:pPr>
            <w:r>
              <w:rPr>
                <w:rStyle w:val="default"/>
                <w:sz w:val="24"/>
                <w:szCs w:val="24"/>
                <w:rtl/>
              </w:rPr>
              <w:t>אישור המלצות הוועדה</w:t>
            </w:r>
          </w:p>
        </w:tc>
        <w:tc>
          <w:tcPr>
            <w:tcW w:w="567" w:type="dxa"/>
          </w:tcPr>
          <w:p w14:paraId="56D85052" w14:textId="77777777" w:rsidR="00E653DD" w:rsidRPr="00E653DD" w:rsidRDefault="00E653DD" w:rsidP="00E653DD">
            <w:pPr>
              <w:rPr>
                <w:rStyle w:val="Hyperlink"/>
                <w:rFonts w:hint="cs"/>
                <w:rtl/>
              </w:rPr>
            </w:pPr>
            <w:hyperlink w:anchor="Seif7" w:tooltip="אישור המלצות הוועדה" w:history="1">
              <w:r w:rsidRPr="00E653DD">
                <w:rPr>
                  <w:rStyle w:val="Hyperlink"/>
                </w:rPr>
                <w:t>Go</w:t>
              </w:r>
            </w:hyperlink>
          </w:p>
        </w:tc>
        <w:tc>
          <w:tcPr>
            <w:tcW w:w="850" w:type="dxa"/>
          </w:tcPr>
          <w:p w14:paraId="438E35A7" w14:textId="77777777" w:rsidR="00E653DD" w:rsidRPr="00E653DD" w:rsidRDefault="00E653DD" w:rsidP="00E653DD">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E653DD" w:rsidRPr="00E653DD" w14:paraId="687E2723" w14:textId="77777777">
        <w:tblPrEx>
          <w:tblCellMar>
            <w:top w:w="0" w:type="dxa"/>
            <w:bottom w:w="0" w:type="dxa"/>
          </w:tblCellMar>
        </w:tblPrEx>
        <w:tc>
          <w:tcPr>
            <w:tcW w:w="1247" w:type="dxa"/>
          </w:tcPr>
          <w:p w14:paraId="28251E55" w14:textId="77777777" w:rsidR="00E653DD" w:rsidRPr="00E653DD" w:rsidRDefault="00E653DD" w:rsidP="00E653DD">
            <w:pPr>
              <w:rPr>
                <w:rStyle w:val="default"/>
                <w:rFonts w:cs="Frankruhel" w:hint="cs"/>
                <w:sz w:val="24"/>
                <w:szCs w:val="24"/>
                <w:rtl/>
              </w:rPr>
            </w:pPr>
            <w:r>
              <w:rPr>
                <w:rStyle w:val="default"/>
                <w:sz w:val="24"/>
                <w:szCs w:val="24"/>
                <w:rtl/>
              </w:rPr>
              <w:t xml:space="preserve">סעיף 8 </w:t>
            </w:r>
          </w:p>
        </w:tc>
        <w:tc>
          <w:tcPr>
            <w:tcW w:w="5669" w:type="dxa"/>
          </w:tcPr>
          <w:p w14:paraId="33097B38" w14:textId="77777777" w:rsidR="00E653DD" w:rsidRPr="00E653DD" w:rsidRDefault="00E653DD" w:rsidP="00E653DD">
            <w:pPr>
              <w:rPr>
                <w:rStyle w:val="default"/>
                <w:rFonts w:cs="Frankruhel" w:hint="cs"/>
                <w:sz w:val="24"/>
                <w:szCs w:val="24"/>
                <w:rtl/>
              </w:rPr>
            </w:pPr>
            <w:r>
              <w:rPr>
                <w:rStyle w:val="default"/>
                <w:sz w:val="24"/>
                <w:szCs w:val="24"/>
                <w:rtl/>
              </w:rPr>
              <w:t>שינוי הכללים ופרסומם</w:t>
            </w:r>
          </w:p>
        </w:tc>
        <w:tc>
          <w:tcPr>
            <w:tcW w:w="567" w:type="dxa"/>
          </w:tcPr>
          <w:p w14:paraId="0DC8F31B" w14:textId="77777777" w:rsidR="00E653DD" w:rsidRPr="00E653DD" w:rsidRDefault="00E653DD" w:rsidP="00E653DD">
            <w:pPr>
              <w:rPr>
                <w:rStyle w:val="Hyperlink"/>
                <w:rFonts w:hint="cs"/>
                <w:rtl/>
              </w:rPr>
            </w:pPr>
            <w:hyperlink w:anchor="Seif8" w:tooltip="שינוי הכללים ופרסומם" w:history="1">
              <w:r w:rsidRPr="00E653DD">
                <w:rPr>
                  <w:rStyle w:val="Hyperlink"/>
                </w:rPr>
                <w:t>Go</w:t>
              </w:r>
            </w:hyperlink>
          </w:p>
        </w:tc>
        <w:tc>
          <w:tcPr>
            <w:tcW w:w="850" w:type="dxa"/>
          </w:tcPr>
          <w:p w14:paraId="71230B87" w14:textId="77777777" w:rsidR="00E653DD" w:rsidRPr="00E653DD" w:rsidRDefault="00E653DD" w:rsidP="00E653DD">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bl>
    <w:p w14:paraId="4AB05589" w14:textId="77777777" w:rsidR="00AB13FB" w:rsidRDefault="00AB13FB">
      <w:pPr>
        <w:pStyle w:val="P00"/>
        <w:spacing w:before="72"/>
        <w:ind w:left="0" w:right="1134"/>
        <w:rPr>
          <w:rStyle w:val="default"/>
          <w:rFonts w:cs="FrankRuehl" w:hint="cs"/>
          <w:rtl/>
        </w:rPr>
      </w:pPr>
    </w:p>
    <w:p w14:paraId="69CE5138" w14:textId="77777777" w:rsidR="00AB13FB" w:rsidRDefault="00AB13FB">
      <w:pPr>
        <w:pStyle w:val="big-header"/>
        <w:ind w:left="0" w:right="1134"/>
        <w:rPr>
          <w:rFonts w:cs="FrankRuehl" w:hint="cs"/>
          <w:sz w:val="32"/>
          <w:rtl/>
        </w:rPr>
      </w:pPr>
    </w:p>
    <w:p w14:paraId="2B0EB320" w14:textId="77777777" w:rsidR="00AB13FB" w:rsidRDefault="00AB13FB" w:rsidP="006E2728">
      <w:pPr>
        <w:pStyle w:val="big-header"/>
        <w:ind w:left="0" w:right="1134"/>
        <w:rPr>
          <w:rFonts w:cs="FrankRuehl" w:hint="cs"/>
          <w:sz w:val="32"/>
          <w:rtl/>
        </w:rPr>
      </w:pPr>
      <w:r>
        <w:rPr>
          <w:rFonts w:cs="FrankRuehl"/>
          <w:sz w:val="32"/>
          <w:rtl/>
        </w:rPr>
        <w:br w:type="page"/>
      </w:r>
      <w:r>
        <w:rPr>
          <w:rFonts w:cs="FrankRuehl" w:hint="cs"/>
          <w:sz w:val="32"/>
          <w:rtl/>
        </w:rPr>
        <w:lastRenderedPageBreak/>
        <w:t>כללי עבודתה של הוועדה המייעצת למנהל הכללי של משרד הביטחון במתן הטבות לפנים משורת הדין ("ועדת למ"ד"), תשס"ה-2005</w:t>
      </w:r>
      <w:r>
        <w:rPr>
          <w:rStyle w:val="default"/>
          <w:sz w:val="22"/>
          <w:szCs w:val="22"/>
          <w:rtl/>
        </w:rPr>
        <w:footnoteReference w:customMarkFollows="1" w:id="1"/>
        <w:t>*</w:t>
      </w:r>
    </w:p>
    <w:p w14:paraId="6DFAAE09" w14:textId="77777777" w:rsidR="00AB13FB" w:rsidRDefault="00AB13FB">
      <w:pPr>
        <w:pStyle w:val="P00"/>
        <w:spacing w:before="72"/>
        <w:ind w:left="0" w:right="1134"/>
        <w:rPr>
          <w:rStyle w:val="default"/>
          <w:rFonts w:cs="FrankRuehl" w:hint="cs"/>
          <w:rtl/>
        </w:rPr>
      </w:pPr>
      <w:r>
        <w:rPr>
          <w:rStyle w:val="default"/>
          <w:rFonts w:cs="FrankRuehl" w:hint="cs"/>
          <w:rtl/>
        </w:rPr>
        <w:tab/>
        <w:t>לצורך הסדרת עבודתה של ועדת למ"ד על פי אמות מידה קבועות מראש, שוויוניות, עניניות ופומביות, מתקין שר הביטחון, בהסכמת מ"מ היועץ המשפטי לממשלה, כללים אלה:</w:t>
      </w:r>
    </w:p>
    <w:p w14:paraId="44F38030" w14:textId="77777777" w:rsidR="00AB13FB" w:rsidRDefault="00AB13FB">
      <w:pPr>
        <w:ind w:left="624" w:hanging="624"/>
        <w:jc w:val="center"/>
        <w:rPr>
          <w:rFonts w:cs="David"/>
          <w:vanish/>
          <w:sz w:val="20"/>
          <w:szCs w:val="20"/>
          <w:rtl/>
        </w:rPr>
      </w:pPr>
      <w:bookmarkStart w:id="0" w:name="Seif1"/>
      <w:bookmarkEnd w:id="0"/>
      <w:r>
        <w:rPr>
          <w:rFonts w:cs="David" w:hint="eastAsia"/>
          <w:vanish/>
          <w:sz w:val="20"/>
          <w:szCs w:val="20"/>
          <w:rtl/>
        </w:rPr>
        <w:t> </w:t>
      </w:r>
    </w:p>
    <w:p w14:paraId="4C898116" w14:textId="77777777" w:rsidR="00AB13FB" w:rsidRDefault="00AB13FB">
      <w:pPr>
        <w:pStyle w:val="P00"/>
        <w:spacing w:before="72"/>
        <w:ind w:left="624" w:right="1134" w:hanging="624"/>
        <w:rPr>
          <w:rStyle w:val="default"/>
          <w:rFonts w:cs="FrankRuehl" w:hint="cs"/>
          <w:rtl/>
        </w:rPr>
      </w:pPr>
      <w:r>
        <w:rPr>
          <w:rFonts w:cs="Miriam"/>
          <w:lang w:val="he-IL"/>
        </w:rPr>
        <w:pict w14:anchorId="761D703C">
          <v:rect id="_x0000_s1026" style="position:absolute;left:0;text-align:left;margin-left:463.5pt;margin-top:7.1pt;width:75.05pt;height:13pt;z-index:251654144" filled="f" stroked="f" strokecolor="lime" strokeweight=".25pt">
            <v:textbox style="mso-next-textbox:#_x0000_s1026" inset="1mm,0,1mm,0">
              <w:txbxContent>
                <w:p w14:paraId="435D5EF4" w14:textId="77777777" w:rsidR="00AB13FB" w:rsidRDefault="00AB13FB">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בכללים אלה </w:t>
      </w:r>
      <w:r>
        <w:rPr>
          <w:rStyle w:val="default"/>
          <w:rFonts w:cs="FrankRuehl"/>
          <w:rtl/>
        </w:rPr>
        <w:t>–</w:t>
      </w:r>
    </w:p>
    <w:p w14:paraId="522A060D" w14:textId="77777777" w:rsidR="00AB13FB" w:rsidRDefault="00AB13FB">
      <w:pPr>
        <w:pStyle w:val="P00"/>
        <w:spacing w:before="72"/>
        <w:ind w:left="624" w:right="1134" w:hanging="624"/>
        <w:rPr>
          <w:rStyle w:val="default"/>
          <w:rFonts w:cs="FrankRuehl" w:hint="cs"/>
          <w:rtl/>
        </w:rPr>
      </w:pPr>
      <w:r>
        <w:rPr>
          <w:rStyle w:val="default"/>
          <w:rFonts w:cs="FrankRuehl" w:hint="cs"/>
          <w:rtl/>
        </w:rPr>
        <w:tab/>
        <w:t xml:space="preserve">"הוועדה" או "ועדת למ"ד" </w:t>
      </w:r>
      <w:r>
        <w:rPr>
          <w:rStyle w:val="default"/>
          <w:rFonts w:cs="FrankRuehl"/>
          <w:rtl/>
        </w:rPr>
        <w:t>–</w:t>
      </w:r>
      <w:r>
        <w:rPr>
          <w:rStyle w:val="default"/>
          <w:rFonts w:cs="FrankRuehl" w:hint="cs"/>
          <w:rtl/>
        </w:rPr>
        <w:t xml:space="preserve"> ועדה, בהרכב כמפורט בסעיף 3, המייעצת למנהל הכללי של משרד הביטחון (להלן </w:t>
      </w:r>
      <w:r>
        <w:rPr>
          <w:rStyle w:val="default"/>
          <w:rFonts w:cs="FrankRuehl"/>
          <w:rtl/>
        </w:rPr>
        <w:t>–</w:t>
      </w:r>
      <w:r>
        <w:rPr>
          <w:rStyle w:val="default"/>
          <w:rFonts w:cs="FrankRuehl" w:hint="cs"/>
          <w:rtl/>
        </w:rPr>
        <w:t xml:space="preserve"> המנכ"ל) בדבר מתן הטבות, לפנים משורת הדין, בהתאם לכללים אלה;</w:t>
      </w:r>
    </w:p>
    <w:p w14:paraId="3137117E" w14:textId="77777777" w:rsidR="00AB13FB" w:rsidRDefault="00AB13FB">
      <w:pPr>
        <w:pStyle w:val="P00"/>
        <w:spacing w:before="72"/>
        <w:ind w:left="624" w:right="1134" w:hanging="624"/>
        <w:rPr>
          <w:rStyle w:val="default"/>
          <w:rFonts w:cs="FrankRuehl" w:hint="cs"/>
          <w:rtl/>
        </w:rPr>
      </w:pPr>
      <w:r>
        <w:rPr>
          <w:rStyle w:val="default"/>
          <w:rFonts w:cs="FrankRuehl" w:hint="cs"/>
          <w:rtl/>
        </w:rPr>
        <w:tab/>
        <w:t xml:space="preserve">"זכאי אגף השיקום" </w:t>
      </w:r>
      <w:r>
        <w:rPr>
          <w:rStyle w:val="default"/>
          <w:rFonts w:cs="FrankRuehl"/>
          <w:rtl/>
        </w:rPr>
        <w:t>–</w:t>
      </w:r>
      <w:r>
        <w:rPr>
          <w:rStyle w:val="default"/>
          <w:rFonts w:cs="FrankRuehl" w:hint="cs"/>
          <w:rtl/>
        </w:rPr>
        <w:t xml:space="preserve"> מי שנמנה עם האוכלוסיה הזכאית לתגמולים והטבות לפי חוקי השיקום;</w:t>
      </w:r>
    </w:p>
    <w:p w14:paraId="28A6D06A" w14:textId="77777777" w:rsidR="00AB13FB" w:rsidRDefault="00AB13FB">
      <w:pPr>
        <w:pStyle w:val="P00"/>
        <w:spacing w:before="72"/>
        <w:ind w:left="624" w:right="1134" w:hanging="624"/>
        <w:rPr>
          <w:rStyle w:val="default"/>
          <w:rFonts w:cs="FrankRuehl" w:hint="cs"/>
          <w:rtl/>
        </w:rPr>
      </w:pPr>
      <w:r>
        <w:rPr>
          <w:rStyle w:val="default"/>
          <w:rFonts w:cs="FrankRuehl" w:hint="cs"/>
          <w:rtl/>
        </w:rPr>
        <w:tab/>
        <w:t xml:space="preserve">"חוקי השיקום" </w:t>
      </w:r>
      <w:r>
        <w:rPr>
          <w:rStyle w:val="default"/>
          <w:rFonts w:cs="FrankRuehl"/>
          <w:rtl/>
        </w:rPr>
        <w:t>–</w:t>
      </w:r>
      <w:r>
        <w:rPr>
          <w:rStyle w:val="default"/>
          <w:rFonts w:cs="FrankRuehl" w:hint="cs"/>
          <w:rtl/>
        </w:rPr>
        <w:t xml:space="preserve"> כל אחד מאלה:</w:t>
      </w:r>
    </w:p>
    <w:p w14:paraId="22962A7B" w14:textId="77777777" w:rsidR="00AB13FB" w:rsidRDefault="00AB13FB">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חוק הנכסים (תגמולים ושיקום), התשי"ט-1959 [נוסח משולב];</w:t>
      </w:r>
    </w:p>
    <w:p w14:paraId="75E87E75" w14:textId="77777777" w:rsidR="00AB13FB" w:rsidRDefault="00AB13FB">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חוק משפחות חיילים שנספו במערכה (תגמולים ושיקום), התש"י-1950;</w:t>
      </w:r>
    </w:p>
    <w:p w14:paraId="73483D2C" w14:textId="77777777" w:rsidR="00AB13FB" w:rsidRDefault="00AB13FB">
      <w:pPr>
        <w:pStyle w:val="P00"/>
        <w:spacing w:before="72"/>
        <w:ind w:left="1021" w:right="1134" w:hanging="397"/>
        <w:rPr>
          <w:rStyle w:val="default"/>
          <w:rFonts w:cs="FrankRuehl" w:hint="cs"/>
          <w:rtl/>
        </w:rPr>
      </w:pPr>
      <w:r>
        <w:rPr>
          <w:rStyle w:val="default"/>
          <w:rFonts w:cs="FrankRuehl" w:hint="cs"/>
          <w:rtl/>
        </w:rPr>
        <w:t>(3)</w:t>
      </w:r>
      <w:r>
        <w:rPr>
          <w:rStyle w:val="default"/>
          <w:rFonts w:cs="FrankRuehl" w:hint="cs"/>
          <w:rtl/>
        </w:rPr>
        <w:tab/>
        <w:t>חוקים אחרים המחילים את החוקים המנויים בפסקאות (1) ו-(2) על אוכלוסיות נוספות (שוטרים, סוהרים, אנשי שירות הביטחון הכללי, אנשי המוסד וכדומה);</w:t>
      </w:r>
    </w:p>
    <w:p w14:paraId="355FA5C4" w14:textId="77777777" w:rsidR="00AB13FB" w:rsidRDefault="00AB13FB">
      <w:pPr>
        <w:pStyle w:val="P00"/>
        <w:spacing w:before="72"/>
        <w:ind w:left="1021" w:right="1134" w:hanging="397"/>
        <w:rPr>
          <w:rStyle w:val="default"/>
          <w:rFonts w:cs="FrankRuehl" w:hint="cs"/>
          <w:rtl/>
        </w:rPr>
      </w:pPr>
      <w:r>
        <w:rPr>
          <w:rStyle w:val="default"/>
          <w:rFonts w:cs="FrankRuehl" w:hint="cs"/>
          <w:rtl/>
        </w:rPr>
        <w:t>(4)</w:t>
      </w:r>
      <w:r>
        <w:rPr>
          <w:rStyle w:val="default"/>
          <w:rFonts w:cs="FrankRuehl" w:hint="cs"/>
          <w:rtl/>
        </w:rPr>
        <w:tab/>
        <w:t>תקנות, צווים והוראות פנימיות שהותקנו או נקבעו על פי החוקים המנויים בפסקאות (1), (2) ו-(3);</w:t>
      </w:r>
    </w:p>
    <w:p w14:paraId="31670F85" w14:textId="77777777" w:rsidR="00AB13FB" w:rsidRDefault="00AB13FB">
      <w:pPr>
        <w:pStyle w:val="P00"/>
        <w:spacing w:before="72"/>
        <w:ind w:left="624" w:right="1134" w:hanging="624"/>
        <w:rPr>
          <w:rStyle w:val="default"/>
          <w:rFonts w:cs="FrankRuehl" w:hint="cs"/>
          <w:rtl/>
        </w:rPr>
      </w:pPr>
      <w:r>
        <w:rPr>
          <w:rStyle w:val="default"/>
          <w:rFonts w:cs="FrankRuehl" w:hint="cs"/>
          <w:rtl/>
        </w:rPr>
        <w:tab/>
        <w:t xml:space="preserve">"שירות" </w:t>
      </w:r>
      <w:r>
        <w:rPr>
          <w:rStyle w:val="default"/>
          <w:rFonts w:cs="FrankRuehl"/>
          <w:rtl/>
        </w:rPr>
        <w:t>–</w:t>
      </w:r>
      <w:r>
        <w:rPr>
          <w:rStyle w:val="default"/>
          <w:rFonts w:cs="FrankRuehl" w:hint="cs"/>
          <w:rtl/>
        </w:rPr>
        <w:t xml:space="preserve"> שירות צבאי, או שירות אחר שחוקי השיקום חלים עליו לפי פסקה (3) של הגדרתם;</w:t>
      </w:r>
    </w:p>
    <w:p w14:paraId="59CB2773" w14:textId="77777777" w:rsidR="00AB13FB" w:rsidRDefault="00AB13FB">
      <w:pPr>
        <w:pStyle w:val="P00"/>
        <w:spacing w:before="72"/>
        <w:ind w:left="624" w:right="1134" w:hanging="624"/>
        <w:rPr>
          <w:rStyle w:val="default"/>
          <w:rFonts w:cs="FrankRuehl" w:hint="cs"/>
          <w:rtl/>
        </w:rPr>
      </w:pPr>
      <w:r>
        <w:rPr>
          <w:rStyle w:val="default"/>
          <w:rFonts w:cs="FrankRuehl" w:hint="cs"/>
          <w:rtl/>
        </w:rPr>
        <w:tab/>
        <w:t xml:space="preserve">"האגף" </w:t>
      </w:r>
      <w:r>
        <w:rPr>
          <w:rStyle w:val="default"/>
          <w:rFonts w:cs="FrankRuehl"/>
          <w:rtl/>
        </w:rPr>
        <w:t>–</w:t>
      </w:r>
      <w:r>
        <w:rPr>
          <w:rStyle w:val="default"/>
          <w:rFonts w:cs="FrankRuehl" w:hint="cs"/>
          <w:rtl/>
        </w:rPr>
        <w:t xml:space="preserve"> אגף השיקום במשרד הביטחון;</w:t>
      </w:r>
    </w:p>
    <w:p w14:paraId="61B54137" w14:textId="77777777" w:rsidR="00AB13FB" w:rsidRDefault="00AB13FB">
      <w:pPr>
        <w:pStyle w:val="P00"/>
        <w:spacing w:before="72"/>
        <w:ind w:left="624" w:right="1134" w:hanging="624"/>
        <w:rPr>
          <w:rStyle w:val="default"/>
          <w:rFonts w:cs="FrankRuehl" w:hint="cs"/>
          <w:rtl/>
        </w:rPr>
      </w:pPr>
      <w:r>
        <w:rPr>
          <w:rStyle w:val="default"/>
          <w:rFonts w:cs="FrankRuehl" w:hint="cs"/>
          <w:rtl/>
        </w:rPr>
        <w:tab/>
        <w:t xml:space="preserve">"הוראות האגף" </w:t>
      </w:r>
      <w:r>
        <w:rPr>
          <w:rStyle w:val="default"/>
          <w:rFonts w:cs="FrankRuehl"/>
          <w:rtl/>
        </w:rPr>
        <w:t>–</w:t>
      </w:r>
      <w:r>
        <w:rPr>
          <w:rStyle w:val="default"/>
          <w:rFonts w:cs="FrankRuehl" w:hint="cs"/>
          <w:rtl/>
        </w:rPr>
        <w:t xml:space="preserve"> הוראות נוהל פנימיות של אגף השיקום;</w:t>
      </w:r>
    </w:p>
    <w:p w14:paraId="0193BE0A" w14:textId="77777777" w:rsidR="00AB13FB" w:rsidRDefault="00AB13FB">
      <w:pPr>
        <w:pStyle w:val="P00"/>
        <w:spacing w:before="72"/>
        <w:ind w:left="624" w:right="1134" w:hanging="624"/>
        <w:rPr>
          <w:rStyle w:val="default"/>
          <w:rFonts w:cs="FrankRuehl" w:hint="cs"/>
          <w:rtl/>
        </w:rPr>
      </w:pPr>
      <w:r>
        <w:rPr>
          <w:rStyle w:val="default"/>
          <w:rFonts w:cs="FrankRuehl" w:hint="cs"/>
          <w:rtl/>
        </w:rPr>
        <w:tab/>
        <w:t xml:space="preserve">"סעדים חריגים" </w:t>
      </w:r>
      <w:r>
        <w:rPr>
          <w:rStyle w:val="default"/>
          <w:rFonts w:cs="FrankRuehl"/>
          <w:rtl/>
        </w:rPr>
        <w:t>–</w:t>
      </w:r>
      <w:r>
        <w:rPr>
          <w:rStyle w:val="default"/>
          <w:rFonts w:cs="FrankRuehl" w:hint="cs"/>
          <w:rtl/>
        </w:rPr>
        <w:t xml:space="preserve"> סעדים שניתן לקבל על פי הוראות האגף, מעבר להטבות הניתנות על פי חוקי השיקום, והכל עד לסכומים הנקובים בהוראות אלה ובתנאים המפורטים בהן;</w:t>
      </w:r>
    </w:p>
    <w:p w14:paraId="1BEE3E0E" w14:textId="77777777" w:rsidR="00AB13FB" w:rsidRDefault="00AB13FB">
      <w:pPr>
        <w:pStyle w:val="P00"/>
        <w:spacing w:before="72"/>
        <w:ind w:left="624" w:right="1134" w:hanging="624"/>
        <w:rPr>
          <w:rStyle w:val="default"/>
          <w:rFonts w:cs="FrankRuehl" w:hint="cs"/>
          <w:rtl/>
        </w:rPr>
      </w:pPr>
      <w:r>
        <w:rPr>
          <w:rStyle w:val="default"/>
          <w:rFonts w:cs="FrankRuehl" w:hint="cs"/>
          <w:rtl/>
        </w:rPr>
        <w:tab/>
        <w:t xml:space="preserve">"ועדת חריגים" </w:t>
      </w:r>
      <w:r>
        <w:rPr>
          <w:rStyle w:val="default"/>
          <w:rFonts w:cs="FrankRuehl"/>
          <w:rtl/>
        </w:rPr>
        <w:t>–</w:t>
      </w:r>
      <w:r>
        <w:rPr>
          <w:rStyle w:val="default"/>
          <w:rFonts w:cs="FrankRuehl" w:hint="cs"/>
          <w:rtl/>
        </w:rPr>
        <w:t xml:space="preserve"> ועדה הפועלת באגף, המוסמכת לאשר סעדים חריגים;</w:t>
      </w:r>
    </w:p>
    <w:p w14:paraId="1DCF7050" w14:textId="77777777" w:rsidR="00AB13FB" w:rsidRDefault="00AB13FB">
      <w:pPr>
        <w:pStyle w:val="P00"/>
        <w:spacing w:before="72"/>
        <w:ind w:left="624" w:right="1134" w:hanging="624"/>
        <w:rPr>
          <w:rStyle w:val="default"/>
          <w:rFonts w:cs="FrankRuehl" w:hint="cs"/>
          <w:rtl/>
        </w:rPr>
      </w:pPr>
      <w:r>
        <w:rPr>
          <w:rStyle w:val="default"/>
          <w:rFonts w:cs="FrankRuehl" w:hint="cs"/>
          <w:rtl/>
        </w:rPr>
        <w:tab/>
        <w:t xml:space="preserve">"ועדה מייעצת" </w:t>
      </w:r>
      <w:r>
        <w:rPr>
          <w:rStyle w:val="default"/>
          <w:rFonts w:cs="FrankRuehl"/>
          <w:rtl/>
        </w:rPr>
        <w:t>–</w:t>
      </w:r>
      <w:r>
        <w:rPr>
          <w:rStyle w:val="default"/>
          <w:rFonts w:cs="FrankRuehl" w:hint="cs"/>
          <w:rtl/>
        </w:rPr>
        <w:t xml:space="preserve"> ועדה הפועלת באגף כוועדה מכינה לוועדת למ"ד, הבוחנת את הפניות, דנה בהן ומגישה לוועדת למ"ד את המלצות האגף לגבי הפניות הנדונות.</w:t>
      </w:r>
    </w:p>
    <w:p w14:paraId="3A146825" w14:textId="77777777" w:rsidR="00AB13FB" w:rsidRDefault="00AB13FB">
      <w:pPr>
        <w:pStyle w:val="P00"/>
        <w:spacing w:before="72"/>
        <w:ind w:left="1021" w:right="1134" w:hanging="1021"/>
        <w:rPr>
          <w:rStyle w:val="default"/>
          <w:rFonts w:cs="FrankRuehl" w:hint="cs"/>
          <w:rtl/>
        </w:rPr>
      </w:pPr>
      <w:bookmarkStart w:id="1" w:name="Seif2"/>
      <w:bookmarkEnd w:id="1"/>
      <w:r>
        <w:rPr>
          <w:rFonts w:cs="Miriam"/>
          <w:szCs w:val="32"/>
          <w:rtl/>
          <w:lang w:val="he-IL"/>
        </w:rPr>
        <w:pict w14:anchorId="6267A4B5">
          <v:shapetype id="_x0000_t202" coordsize="21600,21600" o:spt="202" path="m,l,21600r21600,l21600,xe">
            <v:stroke joinstyle="miter"/>
            <v:path gradientshapeok="t" o:connecttype="rect"/>
          </v:shapetype>
          <v:shape id="_x0000_s1093" type="#_x0000_t202" style="position:absolute;left:0;text-align:left;margin-left:468pt;margin-top:7.1pt;width:1in;height:10.25pt;z-index:251655168" filled="f" stroked="f">
            <v:textbox inset="1mm,0,1mm,0">
              <w:txbxContent>
                <w:p w14:paraId="23256483" w14:textId="77777777" w:rsidR="00AB13FB" w:rsidRDefault="00AB13FB">
                  <w:pPr>
                    <w:spacing w:line="160" w:lineRule="exact"/>
                    <w:rPr>
                      <w:rFonts w:cs="Miriam" w:hint="cs"/>
                      <w:sz w:val="18"/>
                      <w:szCs w:val="18"/>
                      <w:rtl/>
                    </w:rPr>
                  </w:pPr>
                  <w:r>
                    <w:rPr>
                      <w:rFonts w:cs="Miriam" w:hint="cs"/>
                      <w:sz w:val="18"/>
                      <w:szCs w:val="18"/>
                      <w:rtl/>
                    </w:rPr>
                    <w:t>סמכויות הוועדה</w:t>
                  </w:r>
                </w:p>
              </w:txbxContent>
            </v:textbox>
            <w10:anchorlock/>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ועדת למ"ד הוקמה במשרד הביטחון כדי לבחון מתן סיוע לזכאי אגף השיקום, במקרים חריגים שבהם אין בהטבות המוענקות על פי חוקי השיקום והוראות האגף כדי לפתור מצוקה קשה ספציפית (הומניטרית, שיקומית או סוציו-אקונומית) שאליה נקלע זכאי אגף השיקום נושא הבקשה לסיוע לפנים משורת הדין.</w:t>
      </w:r>
    </w:p>
    <w:p w14:paraId="3BEC22AE"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במקרים נדירים וחריגים תדון הוועדה גם בפנייתו של מי שנפגע בתקופת שירות, או בזיקה הדורה לשירות, או בפניה של שאיריו של נפגע כאמור, אף שאינם זכאי אגף השיקום; הוועדה רשאית להידרש לפניות כאמור אך ורק במקרים שבעטיה של פגיעה כאמור נקלע הפונה למצוקה קשה.</w:t>
      </w:r>
    </w:p>
    <w:p w14:paraId="6CFB3716"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 xml:space="preserve">פניה לוועדת למ"ד בבקשה להטבות מעבר לסעדים על פי חוקי השיקום ועל פי הוראות האגף (להלן </w:t>
      </w:r>
      <w:r>
        <w:rPr>
          <w:rStyle w:val="default"/>
          <w:rFonts w:cs="FrankRuehl"/>
          <w:rtl/>
        </w:rPr>
        <w:t>–</w:t>
      </w:r>
      <w:r>
        <w:rPr>
          <w:rStyle w:val="default"/>
          <w:rFonts w:cs="FrankRuehl" w:hint="cs"/>
          <w:rtl/>
        </w:rPr>
        <w:t xml:space="preserve"> פניה), תוגש לוועדת למ"ד באמצעות האגף, על פי המפורט להלן.</w:t>
      </w:r>
    </w:p>
    <w:p w14:paraId="7C7D4AF0"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הוועדה תימנע מלדון בפניה בהעדר תקציב המיועד להגשמת המלצותיה; נושא התקציב הוא באחריות חבר הוועדה, נציג אגף התקציבים.</w:t>
      </w:r>
    </w:p>
    <w:p w14:paraId="6DB0D471"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הוועדה אינה ועדת ערעורים על החלטת הרשויות המוסמכות לפי חוקי השיקום.</w:t>
      </w:r>
    </w:p>
    <w:p w14:paraId="33D2EB9D" w14:textId="77777777" w:rsidR="00AB13FB" w:rsidRDefault="00AB13FB">
      <w:pPr>
        <w:pStyle w:val="P00"/>
        <w:spacing w:before="72"/>
        <w:ind w:left="1021" w:right="1134" w:hanging="1021"/>
        <w:rPr>
          <w:rStyle w:val="default"/>
          <w:rFonts w:cs="FrankRuehl" w:hint="cs"/>
          <w:rtl/>
        </w:rPr>
      </w:pPr>
      <w:r>
        <w:rPr>
          <w:rStyle w:val="default"/>
          <w:rFonts w:cs="FrankRuehl" w:hint="cs"/>
          <w:rtl/>
        </w:rPr>
        <w:lastRenderedPageBreak/>
        <w:tab/>
        <w:t>(ו)</w:t>
      </w:r>
      <w:r>
        <w:rPr>
          <w:rStyle w:val="default"/>
          <w:rFonts w:cs="FrankRuehl" w:hint="cs"/>
          <w:rtl/>
        </w:rPr>
        <w:tab/>
        <w:t>הוועדה תעניק הטבות מטעמים סוציו-אקונומיים, טעמים הומניטריים או מטעמים של פוטנציאל שיקומי, ושיקוליה יהיו כמפורט בסעיף 6.</w:t>
      </w:r>
    </w:p>
    <w:p w14:paraId="3DA5A38D"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הוועדה לא תיעתר לבקשות שניתן להעלותן לפני גופים אחרים לפי חוקי השיקום, דברי חקיקה אחרים או נהלים אחרים, אלא במקרים חריגים ביותר ומנימוקים מיוחדים שיירשמו.</w:t>
      </w:r>
    </w:p>
    <w:p w14:paraId="168036EF" w14:textId="77777777" w:rsidR="00AB13FB" w:rsidRDefault="00AB13FB">
      <w:pPr>
        <w:pStyle w:val="P00"/>
        <w:spacing w:before="72"/>
        <w:ind w:left="1021" w:right="1134" w:hanging="1021"/>
        <w:rPr>
          <w:rStyle w:val="default"/>
          <w:rFonts w:cs="FrankRuehl" w:hint="cs"/>
          <w:rtl/>
        </w:rPr>
      </w:pPr>
      <w:bookmarkStart w:id="2" w:name="Seif3"/>
      <w:bookmarkEnd w:id="2"/>
      <w:r>
        <w:rPr>
          <w:rFonts w:cs="Miriam"/>
          <w:lang w:val="he-IL"/>
        </w:rPr>
        <w:pict w14:anchorId="3D2697C9">
          <v:rect id="_x0000_s1142" style="position:absolute;left:0;text-align:left;margin-left:463.5pt;margin-top:7.1pt;width:75.05pt;height:8.95pt;z-index:251656192" filled="f" stroked="f" strokecolor="lime" strokeweight=".25pt">
            <v:textbox style="mso-next-textbox:#_x0000_s1142" inset="1mm,0,1mm,0">
              <w:txbxContent>
                <w:p w14:paraId="2D0CD8DE" w14:textId="77777777" w:rsidR="00AB13FB" w:rsidRDefault="00AB13FB">
                  <w:pPr>
                    <w:spacing w:line="160" w:lineRule="exact"/>
                    <w:rPr>
                      <w:rFonts w:cs="Miriam" w:hint="cs"/>
                      <w:noProof/>
                      <w:sz w:val="18"/>
                      <w:szCs w:val="18"/>
                      <w:rtl/>
                    </w:rPr>
                  </w:pPr>
                  <w:r>
                    <w:rPr>
                      <w:rFonts w:cs="Miriam" w:hint="cs"/>
                      <w:sz w:val="18"/>
                      <w:szCs w:val="18"/>
                      <w:rtl/>
                    </w:rPr>
                    <w:t>הרכב הוועדה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הרכב הוועדה יהיה:</w:t>
      </w:r>
    </w:p>
    <w:p w14:paraId="4FC83914" w14:textId="77777777" w:rsidR="00AB13FB" w:rsidRDefault="00AB13FB">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שופט בדימוס שימנה שר המשפטים לפי הצעת שר הביטחון, והוא יהיה היושב ראש;</w:t>
      </w:r>
    </w:p>
    <w:p w14:paraId="4F428E54" w14:textId="77777777" w:rsidR="00AB13FB" w:rsidRDefault="00AB13FB">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ראש האגף או ממלא מקום קבוע שמינה;</w:t>
      </w:r>
    </w:p>
    <w:p w14:paraId="475B1318" w14:textId="77777777" w:rsidR="00AB13FB" w:rsidRDefault="00AB13FB">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ראש אגף הכספים במשרד הביטחון או ממלא מקום קבוע שמינה;</w:t>
      </w:r>
    </w:p>
    <w:p w14:paraId="0BF84CC0" w14:textId="77777777" w:rsidR="00AB13FB" w:rsidRDefault="00AB13FB">
      <w:pPr>
        <w:pStyle w:val="P00"/>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ראש אגף התקציבים במשרד הביטחון או ממלא מקום קבוע שמינה;</w:t>
      </w:r>
    </w:p>
    <w:p w14:paraId="4FA50ABC" w14:textId="77777777" w:rsidR="00AB13FB" w:rsidRDefault="00AB13FB">
      <w:pPr>
        <w:pStyle w:val="P00"/>
        <w:spacing w:before="72"/>
        <w:ind w:left="1475" w:right="1134" w:hanging="454"/>
        <w:rPr>
          <w:rStyle w:val="default"/>
          <w:rFonts w:cs="FrankRuehl" w:hint="cs"/>
          <w:rtl/>
        </w:rPr>
      </w:pPr>
      <w:r>
        <w:rPr>
          <w:rStyle w:val="default"/>
          <w:rFonts w:cs="FrankRuehl" w:hint="cs"/>
          <w:rtl/>
        </w:rPr>
        <w:t>(5)</w:t>
      </w:r>
      <w:r>
        <w:rPr>
          <w:rStyle w:val="default"/>
          <w:rFonts w:cs="FrankRuehl" w:hint="cs"/>
          <w:rtl/>
        </w:rPr>
        <w:tab/>
        <w:t>נציג היועץ המשפטי למערכת הביטחון;</w:t>
      </w:r>
    </w:p>
    <w:p w14:paraId="0999B5DA" w14:textId="77777777" w:rsidR="00AB13FB" w:rsidRDefault="00AB13FB">
      <w:pPr>
        <w:pStyle w:val="P00"/>
        <w:spacing w:before="72"/>
        <w:ind w:left="1475" w:right="1134" w:hanging="454"/>
        <w:rPr>
          <w:rStyle w:val="default"/>
          <w:rFonts w:cs="FrankRuehl" w:hint="cs"/>
          <w:rtl/>
        </w:rPr>
      </w:pPr>
      <w:r>
        <w:rPr>
          <w:rStyle w:val="default"/>
          <w:rFonts w:cs="FrankRuehl" w:hint="cs"/>
          <w:rtl/>
        </w:rPr>
        <w:t>(6)</w:t>
      </w:r>
      <w:r>
        <w:rPr>
          <w:rStyle w:val="default"/>
          <w:rFonts w:cs="FrankRuehl" w:hint="cs"/>
          <w:rtl/>
        </w:rPr>
        <w:tab/>
        <w:t>נציג ציבור, ובמידת הצורך 2 נציגי ציבור, כפי שיקבע היועץ המשפטי לממשלה בהתייעצות עם המנכ"ל.</w:t>
      </w:r>
    </w:p>
    <w:p w14:paraId="68E220B8"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עם מינוים של חברי הוועדה לפי סעיף קטן (א), תישלח להם הודעה על כך בידי המנכ"ל.</w:t>
      </w:r>
    </w:p>
    <w:p w14:paraId="460E1958"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תקופת כהונתם של חברי הוועדה שאינם עובדי משרד הביטחון תהיה של שלוש שנים, וניתן לשוב ולמנותם.</w:t>
      </w:r>
    </w:p>
    <w:p w14:paraId="25EF3164" w14:textId="77777777" w:rsidR="00AB13FB" w:rsidRDefault="00AB13FB">
      <w:pPr>
        <w:pStyle w:val="P00"/>
        <w:spacing w:before="72"/>
        <w:ind w:left="1021" w:right="1134" w:hanging="1021"/>
        <w:rPr>
          <w:rStyle w:val="default"/>
          <w:rFonts w:cs="FrankRuehl" w:hint="cs"/>
          <w:rtl/>
        </w:rPr>
      </w:pPr>
      <w:bookmarkStart w:id="3" w:name="Seif4"/>
      <w:bookmarkEnd w:id="3"/>
      <w:r>
        <w:rPr>
          <w:rFonts w:cs="Miriam"/>
          <w:lang w:val="he-IL"/>
        </w:rPr>
        <w:pict w14:anchorId="0C99C04E">
          <v:rect id="_x0000_s1143" style="position:absolute;left:0;text-align:left;margin-left:463.5pt;margin-top:7.1pt;width:75.05pt;height:17.45pt;z-index:251657216" filled="f" stroked="f" strokecolor="lime" strokeweight=".25pt">
            <v:textbox style="mso-next-textbox:#_x0000_s1143" inset="1mm,0,1mm,0">
              <w:txbxContent>
                <w:p w14:paraId="4F2F1A59" w14:textId="77777777" w:rsidR="00AB13FB" w:rsidRDefault="00AB13FB">
                  <w:pPr>
                    <w:spacing w:line="160" w:lineRule="exact"/>
                    <w:rPr>
                      <w:rFonts w:cs="Miriam" w:hint="cs"/>
                      <w:noProof/>
                      <w:sz w:val="18"/>
                      <w:szCs w:val="18"/>
                      <w:rtl/>
                    </w:rPr>
                  </w:pPr>
                  <w:r>
                    <w:rPr>
                      <w:rFonts w:cs="Miriam" w:hint="cs"/>
                      <w:sz w:val="18"/>
                      <w:szCs w:val="18"/>
                      <w:rtl/>
                    </w:rPr>
                    <w:t>נוהל הטיפול בבקשות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ככלל יש להגיש את הבקשות של פונים אל הגורמים המטפלים בלשכות המחוזיות של האגף; ניתן להגיש פניה בכתב גם באמצעות ראש לשכת ראש האגף; פניה שהוגשה לגורם אחר במשרד הביטחון תנותב גם היא למסלול האמור; בקשה יכול שתוגש ביזמת האגף.</w:t>
      </w:r>
    </w:p>
    <w:p w14:paraId="64469CCC"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קבלת הבקשה להטבות לפנים משורת הדין תאושר, במכתב לפונה, על ידי הגורם שקיבל אותה, והעתק האישור יישלח לראש האגף.</w:t>
      </w:r>
    </w:p>
    <w:p w14:paraId="03FA254A"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לא הועלתה בקשה לדיון בועדה בתוך 6 חודשים מקבלתה, יודיע ראש האגף על כך ליושב ראש הוועדה, בצירוף הערכתו למשך הזמן הנוסף הדרוש לשם כך.</w:t>
      </w:r>
    </w:p>
    <w:p w14:paraId="2E753FEE"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ראש אגף השיקום ימציא לוועדה, בהקדם ככל האפשר ולא יאוחר מ-3 ימים לפני המועד שנקבע לפי סעיף 5(א) לישיבת הוועדה, את תגובת האגף לפניה, ובין השאר ימציא פרטים אלה:</w:t>
      </w:r>
    </w:p>
    <w:p w14:paraId="63226234" w14:textId="77777777" w:rsidR="00AB13FB" w:rsidRDefault="00AB13FB">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מעמדו של הפונה לפי חוקי השיקום, לרבות בשאלה אם הוא משוקם;</w:t>
      </w:r>
    </w:p>
    <w:p w14:paraId="391E4F70" w14:textId="77777777" w:rsidR="00AB13FB" w:rsidRDefault="00AB13FB">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ההטבות והסיוע שמקבל הפונה באופן שוטף לפי חוקי השיקום;</w:t>
      </w:r>
    </w:p>
    <w:p w14:paraId="5ADA60C4" w14:textId="77777777" w:rsidR="00AB13FB" w:rsidRDefault="00AB13FB">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סעדים שקיבל הפונה בעבר או מקבל בהווה לפי חוקי השיקום, מעבר להטבות לפי פסקה (2), תוך הבחנה בין סעדים לפי חוקים ותקנות ובין סעדים חריגים;</w:t>
      </w:r>
    </w:p>
    <w:p w14:paraId="06BF1A52" w14:textId="77777777" w:rsidR="00AB13FB" w:rsidRDefault="00AB13FB">
      <w:pPr>
        <w:pStyle w:val="P00"/>
        <w:spacing w:before="72"/>
        <w:ind w:left="1475" w:right="1134" w:hanging="454"/>
        <w:rPr>
          <w:rStyle w:val="default"/>
          <w:rFonts w:cs="FrankRuehl" w:hint="cs"/>
          <w:rtl/>
        </w:rPr>
      </w:pPr>
      <w:r>
        <w:rPr>
          <w:rStyle w:val="default"/>
          <w:rFonts w:cs="FrankRuehl" w:hint="cs"/>
          <w:rtl/>
        </w:rPr>
        <w:t>(4)</w:t>
      </w:r>
      <w:r>
        <w:rPr>
          <w:rStyle w:val="default"/>
          <w:rFonts w:cs="FrankRuehl" w:hint="cs"/>
          <w:rtl/>
        </w:rPr>
        <w:tab/>
        <w:t>פירוט בקשות קודמות של הפונה לסעדים חריגים;</w:t>
      </w:r>
    </w:p>
    <w:p w14:paraId="6C616A78" w14:textId="77777777" w:rsidR="00AB13FB" w:rsidRDefault="00AB13FB">
      <w:pPr>
        <w:pStyle w:val="P00"/>
        <w:spacing w:before="72"/>
        <w:ind w:left="1475" w:right="1134" w:hanging="454"/>
        <w:rPr>
          <w:rStyle w:val="default"/>
          <w:rFonts w:cs="FrankRuehl" w:hint="cs"/>
          <w:rtl/>
        </w:rPr>
      </w:pPr>
      <w:r>
        <w:rPr>
          <w:rStyle w:val="default"/>
          <w:rFonts w:cs="FrankRuehl" w:hint="cs"/>
          <w:rtl/>
        </w:rPr>
        <w:t>(5)</w:t>
      </w:r>
      <w:r>
        <w:rPr>
          <w:rStyle w:val="default"/>
          <w:rFonts w:cs="FrankRuehl" w:hint="cs"/>
          <w:rtl/>
        </w:rPr>
        <w:tab/>
        <w:t>שווים הכספי של כלל ההטבות האמורות, ושל ההטבות המבוקשות והמומלצות על ידי הגורמים או הוועדות כמפורט בפסקה (6);</w:t>
      </w:r>
    </w:p>
    <w:p w14:paraId="703E5DA6" w14:textId="77777777" w:rsidR="00AB13FB" w:rsidRDefault="00AB13FB">
      <w:pPr>
        <w:pStyle w:val="P00"/>
        <w:spacing w:before="72"/>
        <w:ind w:left="1475" w:right="1134" w:hanging="454"/>
        <w:rPr>
          <w:rStyle w:val="default"/>
          <w:rFonts w:cs="FrankRuehl" w:hint="cs"/>
          <w:rtl/>
        </w:rPr>
      </w:pPr>
      <w:r>
        <w:rPr>
          <w:rStyle w:val="default"/>
          <w:rFonts w:cs="FrankRuehl" w:hint="cs"/>
          <w:rtl/>
        </w:rPr>
        <w:t>(6)</w:t>
      </w:r>
      <w:r>
        <w:rPr>
          <w:rStyle w:val="default"/>
          <w:rFonts w:cs="FrankRuehl" w:hint="cs"/>
          <w:rtl/>
        </w:rPr>
        <w:tab/>
        <w:t>עמדת הגורמים המקצועיים בלשכה המחוזית של האגף שבה מטופל/מתגורר הפונה וכן עמדת ועדת החריגים או ועדת מייעצת לפניה לאחר דיון בה, לרבות בנושא הפוטנציאל השיקומי של הפונה;</w:t>
      </w:r>
    </w:p>
    <w:p w14:paraId="239BA46A" w14:textId="77777777" w:rsidR="00AB13FB" w:rsidRDefault="00AB13FB">
      <w:pPr>
        <w:pStyle w:val="P00"/>
        <w:spacing w:before="72"/>
        <w:ind w:left="1475" w:right="1134" w:hanging="454"/>
        <w:rPr>
          <w:rStyle w:val="default"/>
          <w:rFonts w:cs="FrankRuehl" w:hint="cs"/>
          <w:rtl/>
        </w:rPr>
      </w:pPr>
      <w:r>
        <w:rPr>
          <w:rStyle w:val="default"/>
          <w:rFonts w:cs="FrankRuehl" w:hint="cs"/>
          <w:rtl/>
        </w:rPr>
        <w:t>(7)</w:t>
      </w:r>
      <w:r>
        <w:rPr>
          <w:rStyle w:val="default"/>
          <w:rFonts w:cs="FrankRuehl" w:hint="cs"/>
          <w:rtl/>
        </w:rPr>
        <w:tab/>
        <w:t>דוח סוציו-אקונומי אודות הפונה שערך עובד סוציאלי או עובד שיקום;</w:t>
      </w:r>
    </w:p>
    <w:p w14:paraId="24FF3AC5" w14:textId="77777777" w:rsidR="00AB13FB" w:rsidRDefault="00AB13FB">
      <w:pPr>
        <w:pStyle w:val="P00"/>
        <w:spacing w:before="72"/>
        <w:ind w:left="1475" w:right="1134" w:hanging="454"/>
        <w:rPr>
          <w:rStyle w:val="default"/>
          <w:rFonts w:cs="FrankRuehl" w:hint="cs"/>
          <w:rtl/>
        </w:rPr>
      </w:pPr>
      <w:r>
        <w:rPr>
          <w:rStyle w:val="default"/>
          <w:rFonts w:cs="FrankRuehl" w:hint="cs"/>
          <w:rtl/>
        </w:rPr>
        <w:t>(8)</w:t>
      </w:r>
      <w:r>
        <w:rPr>
          <w:rStyle w:val="default"/>
          <w:rFonts w:cs="FrankRuehl" w:hint="cs"/>
          <w:rtl/>
        </w:rPr>
        <w:tab/>
        <w:t>חוות דעת רפואיות ופסיכולוגיות אודות הפונה שהצטברו בעבר באגף, ושיש להן קשר והשלכה על פנייתו או שניתנו בעקבות הגשת הפניה;</w:t>
      </w:r>
    </w:p>
    <w:p w14:paraId="6E7E5D3F" w14:textId="77777777" w:rsidR="00AB13FB" w:rsidRDefault="00AB13FB">
      <w:pPr>
        <w:pStyle w:val="P00"/>
        <w:spacing w:before="72"/>
        <w:ind w:left="1475" w:right="1134" w:hanging="454"/>
        <w:rPr>
          <w:rStyle w:val="default"/>
          <w:rFonts w:cs="FrankRuehl" w:hint="cs"/>
          <w:rtl/>
        </w:rPr>
      </w:pPr>
      <w:r>
        <w:rPr>
          <w:rStyle w:val="default"/>
          <w:rFonts w:cs="FrankRuehl" w:hint="cs"/>
          <w:rtl/>
        </w:rPr>
        <w:t>(9)</w:t>
      </w:r>
      <w:r>
        <w:rPr>
          <w:rStyle w:val="default"/>
          <w:rFonts w:cs="FrankRuehl" w:hint="cs"/>
          <w:rtl/>
        </w:rPr>
        <w:tab/>
        <w:t>במקרה של בקשה לסיוע בכיסוי חובות, יוגש דוח רואה חשבון או התייחסות של גורם מקצועי אחר בתחום;</w:t>
      </w:r>
    </w:p>
    <w:p w14:paraId="00CC373F" w14:textId="77777777" w:rsidR="00AB13FB" w:rsidRDefault="00AB13FB">
      <w:pPr>
        <w:pStyle w:val="P00"/>
        <w:spacing w:before="72"/>
        <w:ind w:left="1475" w:right="1134" w:hanging="454"/>
        <w:rPr>
          <w:rStyle w:val="default"/>
          <w:rFonts w:cs="FrankRuehl" w:hint="cs"/>
          <w:rtl/>
        </w:rPr>
      </w:pPr>
      <w:r>
        <w:rPr>
          <w:rStyle w:val="default"/>
          <w:rFonts w:cs="FrankRuehl" w:hint="cs"/>
          <w:rtl/>
        </w:rPr>
        <w:t>(10)</w:t>
      </w:r>
      <w:r>
        <w:rPr>
          <w:rStyle w:val="default"/>
          <w:rFonts w:cs="FrankRuehl" w:hint="cs"/>
          <w:rtl/>
        </w:rPr>
        <w:tab/>
        <w:t>במקרה של בקשה להטבה כספית בגין אימוץ ילדים או טיפולי פוריות יוגשו גם חוות דעת הרלבנטיות לנושאים אלה;</w:t>
      </w:r>
    </w:p>
    <w:p w14:paraId="35701B05" w14:textId="77777777" w:rsidR="00AB13FB" w:rsidRDefault="00AB13FB">
      <w:pPr>
        <w:pStyle w:val="P00"/>
        <w:spacing w:before="72"/>
        <w:ind w:left="1475" w:right="1134" w:hanging="454"/>
        <w:rPr>
          <w:rStyle w:val="default"/>
          <w:rFonts w:cs="FrankRuehl" w:hint="cs"/>
          <w:rtl/>
        </w:rPr>
      </w:pPr>
      <w:r>
        <w:rPr>
          <w:rStyle w:val="default"/>
          <w:rFonts w:cs="FrankRuehl" w:hint="cs"/>
          <w:rtl/>
        </w:rPr>
        <w:t>(11)</w:t>
      </w:r>
      <w:r>
        <w:rPr>
          <w:rStyle w:val="default"/>
          <w:rFonts w:cs="FrankRuehl" w:hint="cs"/>
          <w:rtl/>
        </w:rPr>
        <w:tab/>
        <w:t>כל מידע נוסף שראש האגף יראה לנכון להמציא לוועדה כדי לסייע לה בגיבוש עמדתה, לרבות על הכנסות ורכוש של הפונה מכל מקור שהוא, לשם השלמת התמונה הכללית על מצבו הכלכלי והנסיבות המצדיקות את הסעד המבוקש.</w:t>
      </w:r>
    </w:p>
    <w:p w14:paraId="28C94BF6"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היתה הפניה מבוססת על מצב רפואי, תתבסס הוועדה בשיקוליה על חוות דעת רפואיות התומכות בפניה, ואם התבססה על מצבו הסוציו-אקונומי של המבקש, תתבסס הוועדה על חוות דעת כאמור בסעיף 4(ד)(7).</w:t>
      </w:r>
    </w:p>
    <w:p w14:paraId="4D73E3B3"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לפניות שראש האגף מציע לדחותן על הסף, אין צורך לצרף את כל המפורט בסעיף קטן (ד), אלא אם כן הוועדה ראתה לנכון לבקשם, כולם או מקצתם, לצורך קבלת החלטתה.</w:t>
      </w:r>
    </w:p>
    <w:p w14:paraId="71F320DE" w14:textId="77777777" w:rsidR="00AB13FB" w:rsidRDefault="00AB13FB">
      <w:pPr>
        <w:pStyle w:val="P00"/>
        <w:spacing w:before="72"/>
        <w:ind w:left="1021" w:right="1134" w:hanging="1021"/>
        <w:rPr>
          <w:rStyle w:val="default"/>
          <w:rFonts w:cs="FrankRuehl" w:hint="cs"/>
          <w:rtl/>
        </w:rPr>
      </w:pPr>
      <w:bookmarkStart w:id="4" w:name="Seif5"/>
      <w:bookmarkEnd w:id="4"/>
      <w:r>
        <w:rPr>
          <w:rFonts w:cs="Miriam"/>
          <w:lang w:val="he-IL"/>
        </w:rPr>
        <w:pict w14:anchorId="0173325A">
          <v:rect id="_x0000_s1144" style="position:absolute;left:0;text-align:left;margin-left:463.5pt;margin-top:7.1pt;width:75.05pt;height:11.1pt;z-index:251658240" filled="f" stroked="f" strokecolor="lime" strokeweight=".25pt">
            <v:textbox style="mso-next-textbox:#_x0000_s1144" inset="1mm,0,1mm,0">
              <w:txbxContent>
                <w:p w14:paraId="68027108" w14:textId="77777777" w:rsidR="00AB13FB" w:rsidRDefault="00AB13FB">
                  <w:pPr>
                    <w:spacing w:line="160" w:lineRule="exact"/>
                    <w:rPr>
                      <w:rFonts w:cs="Miriam" w:hint="cs"/>
                      <w:noProof/>
                      <w:sz w:val="18"/>
                      <w:szCs w:val="18"/>
                      <w:rtl/>
                    </w:rPr>
                  </w:pPr>
                  <w:r>
                    <w:rPr>
                      <w:rFonts w:cs="Miriam" w:hint="cs"/>
                      <w:sz w:val="18"/>
                      <w:szCs w:val="18"/>
                      <w:rtl/>
                    </w:rPr>
                    <w:t>דיוני הוועדה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הוועדה תקיים את ישיבותיה במועד שתקבע מזכירות ראש האגף בתיאום עם יושב ראש הוועדה, לא יותר מפעמיים בחודש; במקרים דחופים, באישור היושב ראש, תקוים ישיבה נוספת.</w:t>
      </w:r>
    </w:p>
    <w:p w14:paraId="1740D27F"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העתקי פניה, לרבות המסמכים שצורפו אליה, יומצאו לחברי הוועדה שלושה ימים לפחות קודם למועד הישיבה שבה היא עומדת להידון.</w:t>
      </w:r>
    </w:p>
    <w:p w14:paraId="2CD810B4"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 xml:space="preserve">הוועדה לא תחל את דיוניה בלא נוכחות היושב ראש ו-4 מחבריה; נבצר מחבר וועדה, נציג משרד הביטחון, להופיע לישיבה </w:t>
      </w:r>
      <w:r>
        <w:rPr>
          <w:rStyle w:val="default"/>
          <w:rFonts w:cs="FrankRuehl"/>
          <w:rtl/>
        </w:rPr>
        <w:t>–</w:t>
      </w:r>
      <w:r>
        <w:rPr>
          <w:rStyle w:val="default"/>
          <w:rFonts w:cs="FrankRuehl" w:hint="cs"/>
          <w:rtl/>
        </w:rPr>
        <w:t xml:space="preserve"> ישלח ממלא מקום לצורך אותו דיון, לאחר מתן הודעה מוקדמת על כך ליושב ראש.</w:t>
      </w:r>
    </w:p>
    <w:p w14:paraId="78059690"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בכל ישיבת ועדה יירשמו עיקרי הדיון וההחלטות שהתקבלו.</w:t>
      </w:r>
    </w:p>
    <w:p w14:paraId="096E15F7"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הוועדה תדון בפניה על יסוד המסמכים שהוגשו לה כאמור, ומידע נוסף שתבקש; פניה תיבחן לאחר קבלת המלצת הוועדה המייעצת או קבלת עמדת ראש האגף.</w:t>
      </w:r>
    </w:p>
    <w:p w14:paraId="5F4D5DC0"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 xml:space="preserve">החלטות הוועדה ישקפו את מהלך הדיון, לרבות דעת מיעוט </w:t>
      </w:r>
      <w:r>
        <w:rPr>
          <w:rStyle w:val="default"/>
          <w:rFonts w:cs="FrankRuehl"/>
          <w:rtl/>
        </w:rPr>
        <w:t>–</w:t>
      </w:r>
      <w:r>
        <w:rPr>
          <w:rStyle w:val="default"/>
          <w:rFonts w:cs="FrankRuehl" w:hint="cs"/>
          <w:rtl/>
        </w:rPr>
        <w:t xml:space="preserve"> אם היתה, יהיו מנומקות ויתקבלו ברוב דעות; היו הדעות שקולות תהיה ליושב ראש הוועדה דעה מכרעת.</w:t>
      </w:r>
    </w:p>
    <w:p w14:paraId="3612715B"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הוועדה מוסמעת לדחות פניה, להיענות לה, כולה או חלקה, או לדרוש השלמות מן האגף או מן הפונה באמצעות האגף, קודם למתן החלטה סופית בה.</w:t>
      </w:r>
    </w:p>
    <w:p w14:paraId="7C938B65"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(ח)</w:t>
      </w:r>
      <w:r>
        <w:rPr>
          <w:rStyle w:val="default"/>
          <w:rFonts w:cs="FrankRuehl" w:hint="cs"/>
          <w:rtl/>
        </w:rPr>
        <w:tab/>
        <w:t>במקרים חריגים ובאישור יושב ראש הוועדה ניתן להחליט בפניה בסבב טלפוני, ובלבד שפרטי הפניה נדונו בעבר בוועדה או שמדובר במצב חירום.</w:t>
      </w:r>
    </w:p>
    <w:p w14:paraId="43578BA4" w14:textId="77777777" w:rsidR="00AB13FB" w:rsidRDefault="00AB13FB">
      <w:pPr>
        <w:pStyle w:val="P00"/>
        <w:spacing w:before="72"/>
        <w:ind w:left="1021" w:right="1134" w:hanging="1021"/>
        <w:rPr>
          <w:rStyle w:val="default"/>
          <w:rFonts w:cs="FrankRuehl" w:hint="cs"/>
          <w:rtl/>
        </w:rPr>
      </w:pPr>
      <w:bookmarkStart w:id="5" w:name="Seif6"/>
      <w:bookmarkEnd w:id="5"/>
      <w:r>
        <w:rPr>
          <w:rFonts w:cs="Miriam"/>
          <w:lang w:val="he-IL"/>
        </w:rPr>
        <w:pict w14:anchorId="3B5F5B25">
          <v:rect id="_x0000_s1146" style="position:absolute;left:0;text-align:left;margin-left:463.5pt;margin-top:7.1pt;width:75.05pt;height:9.45pt;z-index:251659264" filled="f" stroked="f" strokecolor="lime" strokeweight=".25pt">
            <v:textbox style="mso-next-textbox:#_x0000_s1146" inset="1mm,0,1mm,0">
              <w:txbxContent>
                <w:p w14:paraId="21CD239B" w14:textId="77777777" w:rsidR="00AB13FB" w:rsidRDefault="00AB13FB">
                  <w:pPr>
                    <w:spacing w:line="160" w:lineRule="exact"/>
                    <w:rPr>
                      <w:rFonts w:cs="Miriam" w:hint="cs"/>
                      <w:sz w:val="18"/>
                      <w:szCs w:val="18"/>
                      <w:rtl/>
                    </w:rPr>
                  </w:pPr>
                  <w:r>
                    <w:rPr>
                      <w:rFonts w:cs="Miriam" w:hint="cs"/>
                      <w:sz w:val="18"/>
                      <w:szCs w:val="18"/>
                      <w:rtl/>
                    </w:rPr>
                    <w:t>שיקולי הוועדה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הוועדה תדון בכל פניה באופן פרטני, הגם שתשקול שיקולים שוויוניים ואחידים, ככל האפשר.</w:t>
      </w:r>
    </w:p>
    <w:p w14:paraId="1094E66D"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הוועדה תאשר הטבות מטעמים סוציו-אקונומיים, הומניטריים או מטעמים שיקומיים תוך דגש על הפוטנציאל השיקומי; ואולם ככלל, בבקשות של אוכלוסיה שאינה נמנית עם זכאי אגף השיקום, יינתן משקל מיוחד לשיקול הסוציו-אקונומי.</w:t>
      </w:r>
    </w:p>
    <w:p w14:paraId="3B58A0E4"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ההטבה שתינתן לפנים משורת הדין תהיה, ככלל, הטבה כספית או טיפולים (כגון טיפולים רפואיים, לרבות נספיים). ההפניה לקבלת טיפולים כאמור תיעשה על ידי הגורמים המקצועיים של האגף; לאוכלוסיה שאינה נמנית עם זכאי אגף השיקום לא יינתנו ככלל, הטבות על בסיס מתמשך מעבר להטבות שניתנות לאוכלוסיית הזכאים.</w:t>
      </w:r>
    </w:p>
    <w:p w14:paraId="522114A2"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במתן המלצותיה תורה הוועדה על דיונים חוזרים, במועד שתקבע, בכל מקרה של פניה המבוססת על נתונים זמניים או נתונים הניתנים לשינוי, וכן במקרים אחרים, ככל שיידרש; בהקשר זה תבחן הוועדה שינויים במצבו הרפואי של הפונה, במצבו הכלכלי והאישי וכל שינוי אחר העשוי להשפיע על ההצדקה להמשך מתן ההטבה או על היקפה.</w:t>
      </w:r>
    </w:p>
    <w:p w14:paraId="5A216178"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הוועדה תיתן משקל למספר ההטבות שקיבל הפונה מן האגף ולהיקפן, לנסיבות שהביאו להכרה או לאי-ההכרה על פי דין, לתנאי השירות ונסיבותיו, לאורך השירות וכן לגילו של הפונה, לנכותו, למצבו הסוציו-אקונומי, לזיקה בין מצבו של הפונה ובין השירות ולמידת שיקומו האפשרית כתוצאה מן הסיוע; יחד עם זאת יינתן משקל גם להשלגות התקציביות הכרוכות בכך.</w:t>
      </w:r>
    </w:p>
    <w:p w14:paraId="4DA51188" w14:textId="77777777" w:rsidR="00AB13FB" w:rsidRDefault="00AB13FB">
      <w:pPr>
        <w:pStyle w:val="P00"/>
        <w:spacing w:before="72"/>
        <w:ind w:left="1021" w:right="1134" w:hanging="1021"/>
        <w:rPr>
          <w:rStyle w:val="default"/>
          <w:rFonts w:cs="FrankRuehl" w:hint="cs"/>
          <w:rtl/>
        </w:rPr>
      </w:pPr>
      <w:bookmarkStart w:id="6" w:name="Seif7"/>
      <w:bookmarkEnd w:id="6"/>
      <w:r>
        <w:rPr>
          <w:rFonts w:cs="Miriam"/>
          <w:lang w:val="he-IL"/>
        </w:rPr>
        <w:pict w14:anchorId="543879FA">
          <v:rect id="_x0000_s1147" style="position:absolute;left:0;text-align:left;margin-left:463.5pt;margin-top:7.1pt;width:75.05pt;height:19.95pt;z-index:251660288" filled="f" stroked="f" strokecolor="lime" strokeweight=".25pt">
            <v:textbox style="mso-next-textbox:#_x0000_s1147" inset="1mm,0,1mm,0">
              <w:txbxContent>
                <w:p w14:paraId="37B95AB5" w14:textId="77777777" w:rsidR="00AB13FB" w:rsidRDefault="00AB13FB">
                  <w:pPr>
                    <w:spacing w:line="160" w:lineRule="exact"/>
                    <w:rPr>
                      <w:rFonts w:cs="Miriam" w:hint="cs"/>
                      <w:sz w:val="18"/>
                      <w:szCs w:val="18"/>
                      <w:rtl/>
                    </w:rPr>
                  </w:pPr>
                  <w:r>
                    <w:rPr>
                      <w:rFonts w:cs="Miriam" w:hint="cs"/>
                      <w:sz w:val="18"/>
                      <w:szCs w:val="18"/>
                      <w:rtl/>
                    </w:rPr>
                    <w:t>אישור המלצות הוועדה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על המלצות הוועדה נדרשות לפחות חתימת יושב ראש הוועדה וחתימת ראש אגף השיקום, והן יועברו לאישור המנכ"ל לאחר כל ישיבת ועדה.</w:t>
      </w:r>
    </w:p>
    <w:p w14:paraId="509E7F8C"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המנכ"ל רשאי לאשר את ההמלצות או להחזיר את הנושא לדיון חוזר בועדה, וכן רשאי הוא לבקש הסברים, אך אינו רשאי לאשר הטבה בניגוד להמלצות הוועדה.</w:t>
      </w:r>
    </w:p>
    <w:p w14:paraId="6B900256" w14:textId="77777777" w:rsidR="00AB13FB" w:rsidRDefault="00AB13FB">
      <w:pPr>
        <w:pStyle w:val="P00"/>
        <w:spacing w:before="72"/>
        <w:ind w:left="1021" w:right="1134" w:hanging="1021"/>
        <w:rPr>
          <w:rStyle w:val="default"/>
          <w:rFonts w:cs="FrankRuehl" w:hint="cs"/>
          <w:rtl/>
        </w:rPr>
      </w:pPr>
      <w:bookmarkStart w:id="7" w:name="Seif8"/>
      <w:bookmarkEnd w:id="7"/>
      <w:r>
        <w:rPr>
          <w:rFonts w:cs="Miriam"/>
          <w:lang w:val="he-IL"/>
        </w:rPr>
        <w:pict w14:anchorId="15AC4177">
          <v:rect id="_x0000_s1148" style="position:absolute;left:0;text-align:left;margin-left:463.5pt;margin-top:7.1pt;width:75.05pt;height:20.45pt;z-index:251661312" filled="f" stroked="f" strokecolor="lime" strokeweight=".25pt">
            <v:textbox style="mso-next-textbox:#_x0000_s1148" inset="1mm,0,1mm,0">
              <w:txbxContent>
                <w:p w14:paraId="3E5D8628" w14:textId="77777777" w:rsidR="00AB13FB" w:rsidRDefault="00AB13FB">
                  <w:pPr>
                    <w:spacing w:line="160" w:lineRule="exact"/>
                    <w:rPr>
                      <w:rFonts w:cs="Miriam" w:hint="cs"/>
                      <w:sz w:val="18"/>
                      <w:szCs w:val="18"/>
                      <w:rtl/>
                    </w:rPr>
                  </w:pPr>
                  <w:r>
                    <w:rPr>
                      <w:rFonts w:cs="Miriam" w:hint="cs"/>
                      <w:sz w:val="18"/>
                      <w:szCs w:val="18"/>
                      <w:rtl/>
                    </w:rPr>
                    <w:t>שינוי הכללים ופרסומם</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שר הביטחון, בהסכמת היועץ המשפטי לממשלה, רשאי לשנות כללים אלה, להוסיף עליהם או לגרוע מהם.</w:t>
      </w:r>
    </w:p>
    <w:p w14:paraId="0EB68D57"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אין באמור בכללים אלה כדי לגרוע מסמכות הוועדה לקבוע לעצמה סדרי דיון משלימים, בכפוף להם.</w:t>
      </w:r>
    </w:p>
    <w:p w14:paraId="0C58EBE5"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כללים אלה וכל שינוי בהם, יפורסמו ברשומות ובחוברות מידע של האגף.</w:t>
      </w:r>
    </w:p>
    <w:p w14:paraId="4A5E66E4" w14:textId="77777777" w:rsidR="00AB13FB" w:rsidRDefault="00AB13FB">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כל פונה יוכל לקבל מן האג, לפי בקשתו עותק מכללים אלה.</w:t>
      </w:r>
    </w:p>
    <w:p w14:paraId="229E033C" w14:textId="77777777" w:rsidR="00AB13FB" w:rsidRDefault="00AB13FB">
      <w:pPr>
        <w:pStyle w:val="P00"/>
        <w:spacing w:before="72"/>
        <w:ind w:left="0" w:right="1134"/>
        <w:rPr>
          <w:rStyle w:val="default"/>
          <w:rFonts w:cs="FrankRuehl" w:hint="cs"/>
          <w:rtl/>
        </w:rPr>
      </w:pPr>
    </w:p>
    <w:p w14:paraId="22EED670" w14:textId="77777777" w:rsidR="00AB13FB" w:rsidRDefault="00AB13FB">
      <w:pPr>
        <w:pStyle w:val="P00"/>
        <w:spacing w:before="72"/>
        <w:ind w:left="0" w:right="1134"/>
        <w:rPr>
          <w:rStyle w:val="default"/>
          <w:rFonts w:cs="FrankRuehl" w:hint="cs"/>
          <w:rtl/>
        </w:rPr>
      </w:pPr>
    </w:p>
    <w:p w14:paraId="3FA53EA9" w14:textId="77777777" w:rsidR="00AB13FB" w:rsidRDefault="00AB13FB">
      <w:pPr>
        <w:pStyle w:val="P00"/>
        <w:tabs>
          <w:tab w:val="clear" w:pos="624"/>
          <w:tab w:val="clear" w:pos="1021"/>
          <w:tab w:val="clear" w:pos="1474"/>
          <w:tab w:val="clear" w:pos="1928"/>
          <w:tab w:val="clear" w:pos="2381"/>
          <w:tab w:val="clear" w:pos="2835"/>
          <w:tab w:val="clear" w:pos="6259"/>
        </w:tabs>
        <w:spacing w:before="72"/>
        <w:ind w:left="0" w:right="1134"/>
        <w:rPr>
          <w:rStyle w:val="default"/>
          <w:rFonts w:cs="FrankRuehl" w:hint="cs"/>
          <w:rtl/>
        </w:rPr>
      </w:pPr>
      <w:r>
        <w:rPr>
          <w:rStyle w:val="default"/>
          <w:rFonts w:cs="FrankRuehl" w:hint="cs"/>
          <w:rtl/>
        </w:rPr>
        <w:t>ב' בטבת התשס"ה (14 בדצמבר 2004)</w:t>
      </w:r>
    </w:p>
    <w:p w14:paraId="4161A72C" w14:textId="77777777" w:rsidR="00AB13FB" w:rsidRDefault="00AB13FB">
      <w:pPr>
        <w:pStyle w:val="sig-1"/>
        <w:widowControl/>
        <w:tabs>
          <w:tab w:val="clear" w:pos="851"/>
          <w:tab w:val="clear" w:pos="2835"/>
          <w:tab w:val="clear" w:pos="4820"/>
          <w:tab w:val="center" w:pos="5103"/>
        </w:tabs>
        <w:ind w:left="0" w:right="1134"/>
        <w:rPr>
          <w:rFonts w:cs="FrankRuehl" w:hint="cs"/>
          <w:sz w:val="26"/>
          <w:szCs w:val="26"/>
          <w:rtl/>
        </w:rPr>
      </w:pPr>
      <w:r>
        <w:rPr>
          <w:rFonts w:cs="FrankRuehl" w:hint="cs"/>
          <w:sz w:val="26"/>
          <w:szCs w:val="26"/>
          <w:rtl/>
        </w:rPr>
        <w:tab/>
        <w:t>שאול מופז</w:t>
      </w:r>
    </w:p>
    <w:p w14:paraId="5A570B4A" w14:textId="77777777" w:rsidR="00AB13FB" w:rsidRDefault="00AB13FB">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שר הביטחון</w:t>
      </w:r>
    </w:p>
    <w:p w14:paraId="5858FA96" w14:textId="77777777" w:rsidR="00E653DD" w:rsidRDefault="00E653DD">
      <w:pPr>
        <w:pStyle w:val="sig-1"/>
        <w:widowControl/>
        <w:tabs>
          <w:tab w:val="clear" w:pos="851"/>
          <w:tab w:val="clear" w:pos="4820"/>
          <w:tab w:val="center" w:pos="1134"/>
          <w:tab w:val="center" w:pos="4536"/>
          <w:tab w:val="center" w:pos="6237"/>
        </w:tabs>
        <w:ind w:left="0" w:right="1134"/>
        <w:rPr>
          <w:rFonts w:cs="FrankRuehl"/>
          <w:sz w:val="26"/>
          <w:szCs w:val="26"/>
          <w:rtl/>
        </w:rPr>
      </w:pPr>
    </w:p>
    <w:p w14:paraId="68922B20" w14:textId="77777777" w:rsidR="00E653DD" w:rsidRDefault="00E653DD">
      <w:pPr>
        <w:pStyle w:val="sig-1"/>
        <w:widowControl/>
        <w:tabs>
          <w:tab w:val="clear" w:pos="851"/>
          <w:tab w:val="clear" w:pos="4820"/>
          <w:tab w:val="center" w:pos="1134"/>
          <w:tab w:val="center" w:pos="4536"/>
          <w:tab w:val="center" w:pos="6237"/>
        </w:tabs>
        <w:ind w:left="0" w:right="1134"/>
        <w:rPr>
          <w:rFonts w:cs="FrankRuehl"/>
          <w:sz w:val="26"/>
          <w:szCs w:val="26"/>
          <w:rtl/>
        </w:rPr>
      </w:pPr>
    </w:p>
    <w:p w14:paraId="4A8D5446" w14:textId="77777777" w:rsidR="00E653DD" w:rsidRDefault="00E653DD" w:rsidP="00E653DD">
      <w:pPr>
        <w:pStyle w:val="sig-1"/>
        <w:widowControl/>
        <w:tabs>
          <w:tab w:val="clear" w:pos="851"/>
          <w:tab w:val="clear" w:pos="4820"/>
          <w:tab w:val="center" w:pos="1134"/>
          <w:tab w:val="center" w:pos="4536"/>
          <w:tab w:val="center" w:pos="6237"/>
        </w:tabs>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2AE6DF9E" w14:textId="77777777" w:rsidR="00AB13FB" w:rsidRPr="00E653DD" w:rsidRDefault="00AB13FB" w:rsidP="00E653DD">
      <w:pPr>
        <w:pStyle w:val="sig-1"/>
        <w:widowControl/>
        <w:tabs>
          <w:tab w:val="clear" w:pos="851"/>
          <w:tab w:val="clear" w:pos="4820"/>
          <w:tab w:val="center" w:pos="1134"/>
          <w:tab w:val="center" w:pos="4536"/>
          <w:tab w:val="center" w:pos="6237"/>
        </w:tabs>
        <w:ind w:left="0" w:right="1134"/>
        <w:jc w:val="center"/>
        <w:rPr>
          <w:rFonts w:cs="David" w:hint="cs"/>
          <w:color w:val="0000FF"/>
          <w:sz w:val="26"/>
          <w:szCs w:val="24"/>
          <w:u w:val="single"/>
          <w:rtl/>
        </w:rPr>
      </w:pPr>
    </w:p>
    <w:sectPr w:rsidR="00AB13FB" w:rsidRPr="00E653DD">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FEBC6" w14:textId="77777777" w:rsidR="00AB13FB" w:rsidRDefault="00AB13FB">
      <w:r>
        <w:separator/>
      </w:r>
    </w:p>
  </w:endnote>
  <w:endnote w:type="continuationSeparator" w:id="0">
    <w:p w14:paraId="32E9A178" w14:textId="77777777" w:rsidR="00AB13FB" w:rsidRDefault="00AB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6C2D" w14:textId="77777777" w:rsidR="00AB13FB" w:rsidRDefault="00AB13F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6E7AC07" w14:textId="77777777" w:rsidR="00AB13FB" w:rsidRDefault="00AB13F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0BF4C6D" w14:textId="77777777" w:rsidR="00AB13FB" w:rsidRDefault="00AB13F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53DD">
      <w:rPr>
        <w:rFonts w:cs="TopType Jerushalmi"/>
        <w:noProof/>
        <w:color w:val="000000"/>
        <w:sz w:val="14"/>
        <w:szCs w:val="14"/>
      </w:rPr>
      <w:t>Z:\000-law\yael\2014\2014-09-07\Laws For Table Run\Laws For Table Run\999_381.doc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F3EE" w14:textId="77777777" w:rsidR="00AB13FB" w:rsidRDefault="00AB13F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53DD">
      <w:rPr>
        <w:rFonts w:hAnsi="FrankRuehl" w:cs="FrankRuehl"/>
        <w:noProof/>
        <w:sz w:val="24"/>
        <w:szCs w:val="24"/>
        <w:rtl/>
      </w:rPr>
      <w:t>4</w:t>
    </w:r>
    <w:r>
      <w:rPr>
        <w:rFonts w:hAnsi="FrankRuehl" w:cs="FrankRuehl"/>
        <w:sz w:val="24"/>
        <w:szCs w:val="24"/>
        <w:rtl/>
      </w:rPr>
      <w:fldChar w:fldCharType="end"/>
    </w:r>
  </w:p>
  <w:p w14:paraId="7737CC0C" w14:textId="77777777" w:rsidR="00AB13FB" w:rsidRDefault="00AB13F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9BD95A" w14:textId="77777777" w:rsidR="00AB13FB" w:rsidRDefault="00AB13F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53DD">
      <w:rPr>
        <w:rFonts w:cs="TopType Jerushalmi"/>
        <w:noProof/>
        <w:color w:val="000000"/>
        <w:sz w:val="14"/>
        <w:szCs w:val="14"/>
      </w:rPr>
      <w:t>Z:\000-law\yael\2014\2014-09-07\Laws For Table Run\Laws For Table Run\999_381.doc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83D50" w14:textId="77777777" w:rsidR="00AB13FB" w:rsidRDefault="00AB13FB">
      <w:r>
        <w:separator/>
      </w:r>
    </w:p>
  </w:footnote>
  <w:footnote w:type="continuationSeparator" w:id="0">
    <w:p w14:paraId="7690148B" w14:textId="77777777" w:rsidR="00AB13FB" w:rsidRDefault="00AB13FB">
      <w:r>
        <w:continuationSeparator/>
      </w:r>
    </w:p>
  </w:footnote>
  <w:footnote w:id="1">
    <w:p w14:paraId="7215AD40" w14:textId="77777777" w:rsidR="00AB13FB" w:rsidRDefault="00AB13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י"פ תשס"ה מס' 5360</w:t>
        </w:r>
      </w:hyperlink>
      <w:r>
        <w:rPr>
          <w:rFonts w:cs="FrankRuehl" w:hint="cs"/>
          <w:rtl/>
        </w:rPr>
        <w:t xml:space="preserve"> מיום 19.1.2005 עמ' 1138.</w:t>
      </w:r>
    </w:p>
    <w:p w14:paraId="44A4545B" w14:textId="77777777" w:rsidR="00AB13FB" w:rsidRDefault="00AB13FB">
      <w:pPr>
        <w:pStyle w:val="footnote"/>
        <w:tabs>
          <w:tab w:val="left" w:pos="624"/>
          <w:tab w:val="left" w:pos="1021"/>
          <w:tab w:val="left" w:pos="1474"/>
          <w:tab w:val="left" w:pos="1928"/>
          <w:tab w:val="left" w:pos="2381"/>
          <w:tab w:val="left" w:pos="2835"/>
          <w:tab w:val="right" w:leader="dot" w:pos="6259"/>
        </w:tabs>
        <w:bidi w:val="0"/>
        <w:spacing w:before="72"/>
        <w:ind w:left="0" w:right="1134"/>
        <w:rPr>
          <w:rFonts w:cs="FrankRueh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7CCF2" w14:textId="77777777" w:rsidR="00AB13FB" w:rsidRDefault="00AB13F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6EE12B8" w14:textId="77777777" w:rsidR="00AB13FB" w:rsidRDefault="00AB13F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50D62B" w14:textId="77777777" w:rsidR="00AB13FB" w:rsidRDefault="00AB13F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EABB" w14:textId="77777777" w:rsidR="00AB13FB" w:rsidRDefault="00AB13F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עבודתה של הוועדה המייעצת למנהל הכללי של משרד הביטחון במתן הטבות לפנים משורת הדין ("ועדת למ"ד"), תשס"ה-2005</w:t>
    </w:r>
  </w:p>
  <w:p w14:paraId="7557CD04" w14:textId="77777777" w:rsidR="00AB13FB" w:rsidRDefault="00AB13F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60FE6D" w14:textId="77777777" w:rsidR="00AB13FB" w:rsidRDefault="00AB13F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267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2728"/>
    <w:rsid w:val="000F3F04"/>
    <w:rsid w:val="006E2728"/>
    <w:rsid w:val="00AB13FB"/>
    <w:rsid w:val="00E653D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3B198B15"/>
  <w15:chartTrackingRefBased/>
  <w15:docId w15:val="{D1E49D93-D9B2-4360-BF76-30B87ED9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0/yalkut-53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9292</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7471106</vt:i4>
      </vt:variant>
      <vt:variant>
        <vt:i4>0</vt:i4>
      </vt:variant>
      <vt:variant>
        <vt:i4>0</vt:i4>
      </vt:variant>
      <vt:variant>
        <vt:i4>5</vt:i4>
      </vt:variant>
      <vt:variant>
        <vt:lpwstr>http://www.nevo.co.il/Law_word/law10/yalkut-5360.pdf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 עבודתה של הוועדה המייעצת למנהל הכללי של משרד הביטחון במתן הטבות לפנים משורת הדין ("ועדת למ"ד"), תשס"ה-2005</vt:lpwstr>
  </property>
  <property fmtid="{D5CDD505-2E9C-101B-9397-08002B2CF9AE}" pid="4" name="LAWNUMBER">
    <vt:lpwstr>0380</vt:lpwstr>
  </property>
  <property fmtid="{D5CDD505-2E9C-101B-9397-08002B2CF9AE}" pid="5" name="TYPE">
    <vt:lpwstr>01</vt:lpwstr>
  </property>
  <property fmtid="{D5CDD505-2E9C-101B-9397-08002B2CF9AE}" pid="6" name="CHNAME">
    <vt:lpwstr>תגמולים</vt:lpwstr>
  </property>
  <property fmtid="{D5CDD505-2E9C-101B-9397-08002B2CF9AE}" pid="7" name="LINKK1">
    <vt:lpwstr>http://www.nevo.co.il/Law_word/law10/yalkut-5360.pdf;רשומות – ילקוט פרסומים# י"פ תשס"ה מס' 5360#מיום 19.1.2005#עמ' 1138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בטחון</vt:lpwstr>
  </property>
  <property fmtid="{D5CDD505-2E9C-101B-9397-08002B2CF9AE}" pid="18" name="NOSE21">
    <vt:lpwstr>מערכת ומשרד הבטחון</vt:lpwstr>
  </property>
  <property fmtid="{D5CDD505-2E9C-101B-9397-08002B2CF9AE}" pid="19" name="NOSE31">
    <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ies>
</file>