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19088" w14:textId="77777777" w:rsidR="000D67C7" w:rsidRDefault="000D67C7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כללי עידוד השקעות הון בחקלאות (מענקים), תשמ"ב</w:t>
      </w:r>
      <w:r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1982</w:t>
      </w:r>
    </w:p>
    <w:p w14:paraId="60728639" w14:textId="77777777" w:rsidR="00DC11AB" w:rsidRPr="00DC11AB" w:rsidRDefault="00DC11AB" w:rsidP="00DC11AB">
      <w:pPr>
        <w:spacing w:line="320" w:lineRule="auto"/>
        <w:jc w:val="left"/>
        <w:rPr>
          <w:rFonts w:cs="FrankRuehl"/>
          <w:szCs w:val="26"/>
          <w:rtl/>
        </w:rPr>
      </w:pPr>
    </w:p>
    <w:p w14:paraId="24942A3A" w14:textId="77777777" w:rsidR="00DC11AB" w:rsidRDefault="00DC11AB" w:rsidP="00DC11AB">
      <w:pPr>
        <w:spacing w:line="320" w:lineRule="auto"/>
        <w:jc w:val="left"/>
        <w:rPr>
          <w:rtl/>
        </w:rPr>
      </w:pPr>
    </w:p>
    <w:p w14:paraId="6324ADAA" w14:textId="77777777" w:rsidR="00DC11AB" w:rsidRDefault="00DC11AB" w:rsidP="00DC11AB">
      <w:pPr>
        <w:spacing w:line="320" w:lineRule="auto"/>
        <w:jc w:val="left"/>
        <w:rPr>
          <w:rFonts w:cs="FrankRuehl"/>
          <w:szCs w:val="26"/>
          <w:rtl/>
        </w:rPr>
      </w:pPr>
      <w:r w:rsidRPr="00DC11AB">
        <w:rPr>
          <w:rFonts w:cs="Miriam"/>
          <w:szCs w:val="22"/>
          <w:rtl/>
        </w:rPr>
        <w:t>חקלאות טבע וסביבה</w:t>
      </w:r>
      <w:r w:rsidRPr="00DC11AB">
        <w:rPr>
          <w:rFonts w:cs="FrankRuehl"/>
          <w:szCs w:val="26"/>
          <w:rtl/>
        </w:rPr>
        <w:t xml:space="preserve"> – חקלאות – השקעות הון בחקלאות</w:t>
      </w:r>
    </w:p>
    <w:p w14:paraId="11272E40" w14:textId="77777777" w:rsidR="00DC11AB" w:rsidRDefault="00DC11AB" w:rsidP="00DC11AB">
      <w:pPr>
        <w:spacing w:line="320" w:lineRule="auto"/>
        <w:jc w:val="left"/>
        <w:rPr>
          <w:rFonts w:cs="FrankRuehl"/>
          <w:szCs w:val="26"/>
          <w:rtl/>
        </w:rPr>
      </w:pPr>
      <w:r w:rsidRPr="00DC11AB">
        <w:rPr>
          <w:rFonts w:cs="Miriam"/>
          <w:szCs w:val="22"/>
          <w:rtl/>
        </w:rPr>
        <w:t>משפט פרטי וכלכלה</w:t>
      </w:r>
      <w:r w:rsidRPr="00DC11AB">
        <w:rPr>
          <w:rFonts w:cs="FrankRuehl"/>
          <w:szCs w:val="26"/>
          <w:rtl/>
        </w:rPr>
        <w:t xml:space="preserve"> – כספים – השקעות  – השקעות הון ועידודן</w:t>
      </w:r>
    </w:p>
    <w:p w14:paraId="2725F869" w14:textId="77777777" w:rsidR="00242D38" w:rsidRPr="00DC11AB" w:rsidRDefault="00DC11AB" w:rsidP="00DC11AB">
      <w:pPr>
        <w:spacing w:line="320" w:lineRule="auto"/>
        <w:jc w:val="left"/>
        <w:rPr>
          <w:rFonts w:cs="Miriam"/>
          <w:szCs w:val="22"/>
          <w:rtl/>
        </w:rPr>
      </w:pPr>
      <w:r w:rsidRPr="00DC11AB">
        <w:rPr>
          <w:rFonts w:cs="Miriam"/>
          <w:szCs w:val="22"/>
          <w:rtl/>
        </w:rPr>
        <w:t>מסים</w:t>
      </w:r>
      <w:r w:rsidRPr="00DC11AB">
        <w:rPr>
          <w:rFonts w:cs="FrankRuehl"/>
          <w:szCs w:val="26"/>
          <w:rtl/>
        </w:rPr>
        <w:t xml:space="preserve"> – מס הכנסה – השקעות הון ועידודן</w:t>
      </w:r>
    </w:p>
    <w:p w14:paraId="76B79F98" w14:textId="77777777" w:rsidR="000D67C7" w:rsidRDefault="000D67C7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0D67C7" w14:paraId="0EA1F390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D72870C" w14:textId="77777777" w:rsidR="000D67C7" w:rsidRDefault="000D67C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DB3C8E1" w14:textId="77777777" w:rsidR="000D67C7" w:rsidRDefault="000D67C7">
            <w:pPr>
              <w:spacing w:line="240" w:lineRule="auto"/>
              <w:rPr>
                <w:sz w:val="24"/>
              </w:rPr>
            </w:pPr>
            <w:hyperlink w:anchor="Seif0" w:tooltip="בקשה למענק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52E1A68" w14:textId="77777777" w:rsidR="000D67C7" w:rsidRDefault="000D67C7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בקשה למענק</w:t>
            </w:r>
          </w:p>
        </w:tc>
        <w:tc>
          <w:tcPr>
            <w:tcW w:w="1247" w:type="dxa"/>
          </w:tcPr>
          <w:p w14:paraId="34B7EA3D" w14:textId="77777777" w:rsidR="000D67C7" w:rsidRDefault="000D67C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0D67C7" w14:paraId="5D4FDC4C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609A723" w14:textId="77777777" w:rsidR="000D67C7" w:rsidRDefault="000D67C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B5DE305" w14:textId="77777777" w:rsidR="000D67C7" w:rsidRDefault="000D67C7">
            <w:pPr>
              <w:spacing w:line="240" w:lineRule="auto"/>
              <w:rPr>
                <w:sz w:val="24"/>
              </w:rPr>
            </w:pPr>
            <w:hyperlink w:anchor="Seif1" w:tooltip="תשלום המענק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BDB3A05" w14:textId="77777777" w:rsidR="000D67C7" w:rsidRDefault="000D67C7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תשלום המענק</w:t>
            </w:r>
          </w:p>
        </w:tc>
        <w:tc>
          <w:tcPr>
            <w:tcW w:w="1247" w:type="dxa"/>
          </w:tcPr>
          <w:p w14:paraId="744D8763" w14:textId="77777777" w:rsidR="000D67C7" w:rsidRDefault="000D67C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</w:tbl>
    <w:p w14:paraId="5BC328D9" w14:textId="77777777" w:rsidR="000D67C7" w:rsidRDefault="000D67C7">
      <w:pPr>
        <w:pStyle w:val="big-header"/>
        <w:ind w:left="0" w:right="1134"/>
        <w:rPr>
          <w:rFonts w:cs="FrankRuehl"/>
          <w:sz w:val="32"/>
          <w:rtl/>
        </w:rPr>
      </w:pPr>
    </w:p>
    <w:p w14:paraId="6902F37B" w14:textId="77777777" w:rsidR="000D67C7" w:rsidRDefault="000D67C7" w:rsidP="00221395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32"/>
          <w:rtl/>
        </w:rPr>
        <w:br w:type="page"/>
      </w:r>
      <w:r w:rsidR="00221395">
        <w:rPr>
          <w:rFonts w:cs="FrankRuehl"/>
          <w:sz w:val="32"/>
          <w:rtl/>
        </w:rPr>
        <w:lastRenderedPageBreak/>
        <w:t xml:space="preserve"> </w:t>
      </w:r>
      <w:r>
        <w:rPr>
          <w:rFonts w:cs="FrankRuehl"/>
          <w:sz w:val="32"/>
          <w:rtl/>
        </w:rPr>
        <w:t>כל</w:t>
      </w:r>
      <w:r>
        <w:rPr>
          <w:rFonts w:cs="FrankRuehl" w:hint="cs"/>
          <w:sz w:val="32"/>
          <w:rtl/>
        </w:rPr>
        <w:t>לי עידוד השקעות הון בחקלאות (מענקים), תשמ"ב-</w:t>
      </w:r>
      <w:r>
        <w:rPr>
          <w:rFonts w:cs="FrankRuehl"/>
          <w:sz w:val="32"/>
          <w:rtl/>
        </w:rPr>
        <w:t>1982</w:t>
      </w:r>
      <w:r>
        <w:rPr>
          <w:rStyle w:val="default"/>
          <w:rtl/>
        </w:rPr>
        <w:footnoteReference w:customMarkFollows="1" w:id="1"/>
        <w:t>*</w:t>
      </w:r>
    </w:p>
    <w:p w14:paraId="3143B00B" w14:textId="77777777" w:rsidR="000D67C7" w:rsidRDefault="000D67C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סמכותה לפי סעיף 29 לחוק לעידוד השקעות הון בחקלאות, תשמ"א-</w:t>
      </w:r>
      <w:r>
        <w:rPr>
          <w:rStyle w:val="default"/>
          <w:rFonts w:cs="FrankRuehl"/>
          <w:rtl/>
        </w:rPr>
        <w:t xml:space="preserve">1980, </w:t>
      </w:r>
      <w:r>
        <w:rPr>
          <w:rStyle w:val="default"/>
          <w:rFonts w:cs="FrankRuehl" w:hint="cs"/>
          <w:rtl/>
        </w:rPr>
        <w:t>קובעת מינהלת מינהל השקעות בחקלאות כללים אלה:</w:t>
      </w:r>
    </w:p>
    <w:p w14:paraId="0CC5613A" w14:textId="77777777" w:rsidR="000D67C7" w:rsidRDefault="000D67C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29323F77">
          <v:rect id="_x0000_s1026" style="position:absolute;left:0;text-align:left;margin-left:464.5pt;margin-top:8.05pt;width:75.05pt;height:18.3pt;z-index:251657216" o:allowincell="f" filled="f" stroked="f" strokecolor="lime" strokeweight=".25pt">
            <v:textbox inset="0,0,0,0">
              <w:txbxContent>
                <w:p w14:paraId="342244C6" w14:textId="77777777" w:rsidR="000D67C7" w:rsidRDefault="000D67C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שה למענק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בע</w:t>
      </w:r>
      <w:r>
        <w:rPr>
          <w:rStyle w:val="default"/>
          <w:rFonts w:cs="FrankRuehl" w:hint="cs"/>
          <w:rtl/>
        </w:rPr>
        <w:t>ל מפעל חקלאי מאושר, שקיים את כל תנאי האישור ל</w:t>
      </w:r>
      <w:r>
        <w:rPr>
          <w:rStyle w:val="default"/>
          <w:rFonts w:cs="FrankRuehl"/>
          <w:rtl/>
        </w:rPr>
        <w:t>תכ</w:t>
      </w:r>
      <w:r>
        <w:rPr>
          <w:rStyle w:val="default"/>
          <w:rFonts w:cs="FrankRuehl" w:hint="cs"/>
          <w:rtl/>
        </w:rPr>
        <w:t>נית, יגיש למינהלה בקשה לקבלת מענק.</w:t>
      </w:r>
    </w:p>
    <w:p w14:paraId="0B2FAFA3" w14:textId="77777777" w:rsidR="000D67C7" w:rsidRDefault="000D67C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07B97F6B">
          <v:rect id="_x0000_s1027" style="position:absolute;left:0;text-align:left;margin-left:464.5pt;margin-top:8.05pt;width:75.05pt;height:19pt;z-index:251658240" o:allowincell="f" filled="f" stroked="f" strokecolor="lime" strokeweight=".25pt">
            <v:textbox inset="0,0,0,0">
              <w:txbxContent>
                <w:p w14:paraId="3C349D41" w14:textId="77777777" w:rsidR="000D67C7" w:rsidRDefault="000D67C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לום המענק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המ</w:t>
      </w:r>
      <w:r>
        <w:rPr>
          <w:rStyle w:val="default"/>
          <w:rFonts w:cs="FrankRuehl" w:hint="cs"/>
          <w:rtl/>
        </w:rPr>
        <w:t>נהל רשאי לקבוע כי המענק ישולם לשיעורים, בהתאם להתקדמות הביצ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 xml:space="preserve">ע של המפעל החקלאי המאושר, כפי שבאה לידי ביטוי בדין וחשבון על התקדמות הביצוע; ובלבד שסכום התשלום האחרון יהיה בסך של 25% מן המענק וישולם רק לאחר אישור דין </w:t>
      </w:r>
      <w:r>
        <w:rPr>
          <w:rStyle w:val="default"/>
          <w:rFonts w:cs="FrankRuehl"/>
          <w:rtl/>
        </w:rPr>
        <w:t>וח</w:t>
      </w:r>
      <w:r>
        <w:rPr>
          <w:rStyle w:val="default"/>
          <w:rFonts w:cs="FrankRuehl" w:hint="cs"/>
          <w:rtl/>
        </w:rPr>
        <w:t>שבון על גמר הביצוע שהגיש בעל המפעל החקלאי המאושר.</w:t>
      </w:r>
    </w:p>
    <w:p w14:paraId="3F71B138" w14:textId="77777777" w:rsidR="000D67C7" w:rsidRDefault="000D67C7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7A8833E" w14:textId="77777777" w:rsidR="000D67C7" w:rsidRDefault="000D67C7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 xml:space="preserve">ד' </w:t>
      </w:r>
      <w:r>
        <w:rPr>
          <w:rFonts w:cs="FrankRuehl" w:hint="cs"/>
          <w:sz w:val="26"/>
          <w:rtl/>
        </w:rPr>
        <w:t>בטבת תשמ"ב (30 בדצמבר 1981)</w:t>
      </w:r>
      <w:r>
        <w:rPr>
          <w:rFonts w:cs="FrankRuehl"/>
          <w:sz w:val="26"/>
          <w:rtl/>
        </w:rPr>
        <w:tab/>
        <w:t>מ</w:t>
      </w:r>
      <w:r>
        <w:rPr>
          <w:rFonts w:cs="FrankRuehl" w:hint="cs"/>
          <w:sz w:val="26"/>
          <w:rtl/>
        </w:rPr>
        <w:t>שה לגין</w:t>
      </w:r>
    </w:p>
    <w:p w14:paraId="66BFA974" w14:textId="77777777" w:rsidR="000D67C7" w:rsidRDefault="000D67C7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מ</w:t>
      </w:r>
      <w:r>
        <w:rPr>
          <w:rFonts w:cs="FrankRuehl" w:hint="cs"/>
          <w:sz w:val="22"/>
          <w:rtl/>
        </w:rPr>
        <w:t>נהל מינהל השקעות בחקלאות</w:t>
      </w:r>
    </w:p>
    <w:p w14:paraId="61D4AF5D" w14:textId="77777777" w:rsidR="000D67C7" w:rsidRDefault="000D67C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7587607" w14:textId="77777777" w:rsidR="000D67C7" w:rsidRDefault="000D67C7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7B4ABF4" w14:textId="77777777" w:rsidR="000D67C7" w:rsidRDefault="000D67C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14:paraId="49359F6F" w14:textId="77777777" w:rsidR="000D67C7" w:rsidRDefault="000D67C7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0D67C7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3533E9" w14:textId="77777777" w:rsidR="00941BE9" w:rsidRDefault="00941BE9">
      <w:r>
        <w:separator/>
      </w:r>
    </w:p>
  </w:endnote>
  <w:endnote w:type="continuationSeparator" w:id="0">
    <w:p w14:paraId="1A903F20" w14:textId="77777777" w:rsidR="00941BE9" w:rsidRDefault="00941B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D00353" w14:textId="77777777" w:rsidR="000D67C7" w:rsidRDefault="000D67C7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5B1C5DFE" w14:textId="77777777" w:rsidR="000D67C7" w:rsidRDefault="000D67C7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6A4EC71E" w14:textId="77777777" w:rsidR="000D67C7" w:rsidRDefault="000D67C7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C:\Yael\hakika\Revadim\p181m1_002.doc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F0874" w14:textId="77777777" w:rsidR="000D67C7" w:rsidRDefault="000D67C7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DC11AB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5324094E" w14:textId="77777777" w:rsidR="000D67C7" w:rsidRDefault="000D67C7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2885D3E6" w14:textId="77777777" w:rsidR="000D67C7" w:rsidRDefault="000D67C7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C:\Yael\hakika\Revadim\p181m1_002.doc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59CE69" w14:textId="77777777" w:rsidR="00941BE9" w:rsidRDefault="00941BE9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7E872376" w14:textId="77777777" w:rsidR="00941BE9" w:rsidRDefault="00941BE9">
      <w:r>
        <w:continuationSeparator/>
      </w:r>
    </w:p>
  </w:footnote>
  <w:footnote w:id="1">
    <w:p w14:paraId="58842C41" w14:textId="77777777" w:rsidR="000D67C7" w:rsidRDefault="000D67C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>
          <w:rPr>
            <w:rStyle w:val="Hyperlink"/>
            <w:rFonts w:cs="FrankRuehl" w:hint="cs"/>
            <w:rtl/>
          </w:rPr>
          <w:t>ק"ת תשמ"ב מס' 4314</w:t>
        </w:r>
      </w:hyperlink>
      <w:r>
        <w:rPr>
          <w:rFonts w:cs="FrankRuehl" w:hint="cs"/>
          <w:rtl/>
        </w:rPr>
        <w:t xml:space="preserve"> מיום 7.2.1982 עמ' 584.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88F5C" w14:textId="77777777" w:rsidR="000D67C7" w:rsidRDefault="000D67C7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כללי עידוד השקעות הון בחקלאות (מענקים), תשמ"ב–1982</w:t>
    </w:r>
  </w:p>
  <w:p w14:paraId="68A0BAC0" w14:textId="77777777" w:rsidR="000D67C7" w:rsidRDefault="000D67C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9293B07" w14:textId="77777777" w:rsidR="000D67C7" w:rsidRDefault="000D67C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1A15A9" w14:textId="77777777" w:rsidR="000D67C7" w:rsidRDefault="000D67C7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כללי עידוד השקעות הון בחקלאות (מענקים), תשמ"ב</w:t>
    </w:r>
    <w:r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1982</w:t>
    </w:r>
  </w:p>
  <w:p w14:paraId="75BDA518" w14:textId="77777777" w:rsidR="000D67C7" w:rsidRDefault="000D67C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7738C79" w14:textId="77777777" w:rsidR="000D67C7" w:rsidRDefault="000D67C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21395"/>
    <w:rsid w:val="000D67C7"/>
    <w:rsid w:val="001811E1"/>
    <w:rsid w:val="001A4EB4"/>
    <w:rsid w:val="00221395"/>
    <w:rsid w:val="00242D38"/>
    <w:rsid w:val="00441BD8"/>
    <w:rsid w:val="005A6096"/>
    <w:rsid w:val="00941BE9"/>
    <w:rsid w:val="00CD07BC"/>
    <w:rsid w:val="00DC1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42100ED8"/>
  <w15:chartTrackingRefBased/>
  <w15:docId w15:val="{41BBB5A0-D6AD-4597-928A-8ABC6D33C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4314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1/181</vt:lpstr>
    </vt:vector>
  </TitlesOfParts>
  <Company/>
  <LinksUpToDate>false</LinksUpToDate>
  <CharactersWithSpaces>982</CharactersWithSpaces>
  <SharedDoc>false</SharedDoc>
  <HLinks>
    <vt:vector size="18" baseType="variant"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8126479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http://www.nevo.co.il/Law_word/law06/TAK-4314.pdf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1/181</dc:title>
  <dc:subject/>
  <dc:creator>eli</dc:creator>
  <cp:keywords/>
  <dc:description/>
  <cp:lastModifiedBy>Shimon Doodkin</cp:lastModifiedBy>
  <cp:revision>2</cp:revision>
  <dcterms:created xsi:type="dcterms:W3CDTF">2023-06-05T19:12:00Z</dcterms:created>
  <dcterms:modified xsi:type="dcterms:W3CDTF">2023-06-05T19:12:00Z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p181m1</vt:lpwstr>
  </property>
  <property fmtid="{D5CDD505-2E9C-101B-9397-08002B2CF9AE}" pid="3" name="CHNAME">
    <vt:lpwstr>עידוד השקעות הון בחקלאות</vt:lpwstr>
  </property>
  <property fmtid="{D5CDD505-2E9C-101B-9397-08002B2CF9AE}" pid="4" name="LAWNAME">
    <vt:lpwstr>כללי עידוד השקעות הון בחקלאות (מענקים), תשמ"ב-1982</vt:lpwstr>
  </property>
  <property fmtid="{D5CDD505-2E9C-101B-9397-08002B2CF9AE}" pid="5" name="LAWNUMBER">
    <vt:lpwstr>0002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חקלאות</vt:lpwstr>
  </property>
  <property fmtid="{D5CDD505-2E9C-101B-9397-08002B2CF9AE}" pid="9" name="NOSE31">
    <vt:lpwstr>השקעות הון בחקלאות</vt:lpwstr>
  </property>
  <property fmtid="{D5CDD505-2E9C-101B-9397-08002B2CF9AE}" pid="10" name="NOSE41">
    <vt:lpwstr/>
  </property>
  <property fmtid="{D5CDD505-2E9C-101B-9397-08002B2CF9AE}" pid="11" name="NOSE12">
    <vt:lpwstr>משפט פרטי וכלכלה</vt:lpwstr>
  </property>
  <property fmtid="{D5CDD505-2E9C-101B-9397-08002B2CF9AE}" pid="12" name="NOSE22">
    <vt:lpwstr>כספים</vt:lpwstr>
  </property>
  <property fmtid="{D5CDD505-2E9C-101B-9397-08002B2CF9AE}" pid="13" name="NOSE32">
    <vt:lpwstr>השקעות </vt:lpwstr>
  </property>
  <property fmtid="{D5CDD505-2E9C-101B-9397-08002B2CF9AE}" pid="14" name="NOSE42">
    <vt:lpwstr>השקעות הון ועידודן</vt:lpwstr>
  </property>
  <property fmtid="{D5CDD505-2E9C-101B-9397-08002B2CF9AE}" pid="15" name="NOSE13">
    <vt:lpwstr>מסים</vt:lpwstr>
  </property>
  <property fmtid="{D5CDD505-2E9C-101B-9397-08002B2CF9AE}" pid="16" name="NOSE23">
    <vt:lpwstr>מס הכנסה</vt:lpwstr>
  </property>
  <property fmtid="{D5CDD505-2E9C-101B-9397-08002B2CF9AE}" pid="17" name="NOSE33">
    <vt:lpwstr>השקעות הון ועידודן</vt:lpwstr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לעידוד השקעות הון בחקלאות</vt:lpwstr>
  </property>
  <property fmtid="{D5CDD505-2E9C-101B-9397-08002B2CF9AE}" pid="48" name="MEKOR_SAIF1">
    <vt:lpwstr>29X</vt:lpwstr>
  </property>
</Properties>
</file>