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B7B8" w14:textId="77777777" w:rsidR="000A51DD" w:rsidRDefault="002004B8" w:rsidP="00B42B94">
      <w:pPr>
        <w:pStyle w:val="big-header"/>
        <w:ind w:left="0" w:right="1134"/>
        <w:rPr>
          <w:rFonts w:cs="FrankRuehl" w:hint="cs"/>
          <w:sz w:val="32"/>
          <w:rtl/>
        </w:rPr>
      </w:pPr>
      <w:r>
        <w:rPr>
          <w:rFonts w:cs="FrankRuehl" w:hint="cs"/>
          <w:sz w:val="32"/>
          <w:rtl/>
        </w:rPr>
        <w:t>כללי תאגידי מים וביוב (</w:t>
      </w:r>
      <w:r w:rsidR="00B42B94">
        <w:rPr>
          <w:rFonts w:cs="FrankRuehl" w:hint="cs"/>
          <w:sz w:val="32"/>
          <w:rtl/>
        </w:rPr>
        <w:t>חברות אזוריות), תשע"ד-2013</w:t>
      </w:r>
    </w:p>
    <w:p w14:paraId="1B9304D5" w14:textId="77777777" w:rsidR="00B42B94" w:rsidRPr="00B42B94" w:rsidRDefault="00B42B94" w:rsidP="00B42B94">
      <w:pPr>
        <w:spacing w:line="320" w:lineRule="auto"/>
        <w:rPr>
          <w:rFonts w:cs="FrankRuehl"/>
          <w:szCs w:val="26"/>
          <w:rtl/>
        </w:rPr>
      </w:pPr>
    </w:p>
    <w:p w14:paraId="722D23F0" w14:textId="77777777" w:rsidR="00B42B94" w:rsidRDefault="00B42B94" w:rsidP="00B42B94">
      <w:pPr>
        <w:spacing w:line="320" w:lineRule="auto"/>
        <w:rPr>
          <w:rtl/>
        </w:rPr>
      </w:pPr>
    </w:p>
    <w:p w14:paraId="48C88FBE" w14:textId="77777777"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אספקת מים</w:t>
      </w:r>
    </w:p>
    <w:p w14:paraId="513F590B" w14:textId="77777777"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תאגידי מים וביוב</w:t>
      </w:r>
    </w:p>
    <w:p w14:paraId="0647DFDA" w14:textId="77777777" w:rsidR="00B42B94" w:rsidRPr="00B42B94" w:rsidRDefault="00B42B94" w:rsidP="00B42B94">
      <w:pPr>
        <w:spacing w:line="320" w:lineRule="auto"/>
        <w:rPr>
          <w:rFonts w:cs="Miriam" w:hint="cs"/>
          <w:szCs w:val="22"/>
          <w:rtl/>
        </w:rPr>
      </w:pPr>
      <w:r w:rsidRPr="00B42B94">
        <w:rPr>
          <w:rFonts w:cs="Miriam"/>
          <w:szCs w:val="22"/>
          <w:rtl/>
        </w:rPr>
        <w:t>רשויות ומשפט מנהלי</w:t>
      </w:r>
      <w:r w:rsidRPr="00B42B94">
        <w:rPr>
          <w:rFonts w:cs="FrankRuehl"/>
          <w:szCs w:val="26"/>
          <w:rtl/>
        </w:rPr>
        <w:t xml:space="preserve"> – תשתיות – מים – אספקת מים ברשויות</w:t>
      </w:r>
    </w:p>
    <w:p w14:paraId="0E637468"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A23DF" w:rsidRPr="006A23DF" w14:paraId="6DE2C797" w14:textId="77777777">
        <w:tblPrEx>
          <w:tblCellMar>
            <w:top w:w="0" w:type="dxa"/>
            <w:bottom w:w="0" w:type="dxa"/>
          </w:tblCellMar>
        </w:tblPrEx>
        <w:tc>
          <w:tcPr>
            <w:tcW w:w="1247" w:type="dxa"/>
          </w:tcPr>
          <w:p w14:paraId="187574D4" w14:textId="77777777" w:rsidR="006A23DF" w:rsidRPr="006A23DF" w:rsidRDefault="006A23DF" w:rsidP="006A23DF">
            <w:pPr>
              <w:rPr>
                <w:rFonts w:cs="Frankruhel" w:hint="cs"/>
                <w:rtl/>
              </w:rPr>
            </w:pPr>
          </w:p>
        </w:tc>
        <w:tc>
          <w:tcPr>
            <w:tcW w:w="5669" w:type="dxa"/>
          </w:tcPr>
          <w:p w14:paraId="6D0FA196" w14:textId="77777777" w:rsidR="006A23DF" w:rsidRPr="006A23DF" w:rsidRDefault="006A23DF" w:rsidP="006A23DF">
            <w:pPr>
              <w:rPr>
                <w:rFonts w:cs="Frankruhel" w:hint="cs"/>
                <w:rtl/>
              </w:rPr>
            </w:pPr>
            <w:r>
              <w:rPr>
                <w:rtl/>
              </w:rPr>
              <w:t>פרק ראשון: פרשנות</w:t>
            </w:r>
          </w:p>
        </w:tc>
        <w:tc>
          <w:tcPr>
            <w:tcW w:w="567" w:type="dxa"/>
          </w:tcPr>
          <w:p w14:paraId="0BB6D6A8" w14:textId="77777777" w:rsidR="006A23DF" w:rsidRPr="006A23DF" w:rsidRDefault="006A23DF" w:rsidP="006A23DF">
            <w:pPr>
              <w:rPr>
                <w:rStyle w:val="Hyperlink"/>
                <w:rFonts w:hint="cs"/>
                <w:rtl/>
              </w:rPr>
            </w:pPr>
            <w:hyperlink w:anchor="med0" w:tooltip="פרק ראשון: פרשנות" w:history="1">
              <w:r w:rsidRPr="006A23DF">
                <w:rPr>
                  <w:rStyle w:val="Hyperlink"/>
                </w:rPr>
                <w:t>Go</w:t>
              </w:r>
            </w:hyperlink>
          </w:p>
        </w:tc>
        <w:tc>
          <w:tcPr>
            <w:tcW w:w="850" w:type="dxa"/>
          </w:tcPr>
          <w:p w14:paraId="00559286"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6A23DF" w:rsidRPr="006A23DF" w14:paraId="46138170" w14:textId="77777777">
        <w:tblPrEx>
          <w:tblCellMar>
            <w:top w:w="0" w:type="dxa"/>
            <w:bottom w:w="0" w:type="dxa"/>
          </w:tblCellMar>
        </w:tblPrEx>
        <w:tc>
          <w:tcPr>
            <w:tcW w:w="1247" w:type="dxa"/>
          </w:tcPr>
          <w:p w14:paraId="300FCC71" w14:textId="77777777" w:rsidR="006A23DF" w:rsidRPr="006A23DF" w:rsidRDefault="006A23DF" w:rsidP="006A23DF">
            <w:pPr>
              <w:rPr>
                <w:rFonts w:cs="Frankruhel" w:hint="cs"/>
                <w:rtl/>
              </w:rPr>
            </w:pPr>
            <w:r>
              <w:rPr>
                <w:rtl/>
              </w:rPr>
              <w:t xml:space="preserve">סעיף 1 </w:t>
            </w:r>
          </w:p>
        </w:tc>
        <w:tc>
          <w:tcPr>
            <w:tcW w:w="5669" w:type="dxa"/>
          </w:tcPr>
          <w:p w14:paraId="6922D228" w14:textId="77777777" w:rsidR="006A23DF" w:rsidRPr="006A23DF" w:rsidRDefault="006A23DF" w:rsidP="006A23DF">
            <w:pPr>
              <w:rPr>
                <w:rFonts w:cs="Frankruhel" w:hint="cs"/>
                <w:rtl/>
              </w:rPr>
            </w:pPr>
            <w:r>
              <w:rPr>
                <w:rtl/>
              </w:rPr>
              <w:t>הגדרות</w:t>
            </w:r>
          </w:p>
        </w:tc>
        <w:tc>
          <w:tcPr>
            <w:tcW w:w="567" w:type="dxa"/>
          </w:tcPr>
          <w:p w14:paraId="77E530D4" w14:textId="77777777" w:rsidR="006A23DF" w:rsidRPr="006A23DF" w:rsidRDefault="006A23DF" w:rsidP="006A23DF">
            <w:pPr>
              <w:rPr>
                <w:rStyle w:val="Hyperlink"/>
                <w:rFonts w:hint="cs"/>
                <w:rtl/>
              </w:rPr>
            </w:pPr>
            <w:hyperlink w:anchor="Seif1" w:tooltip="הגדרות" w:history="1">
              <w:r w:rsidRPr="006A23DF">
                <w:rPr>
                  <w:rStyle w:val="Hyperlink"/>
                </w:rPr>
                <w:t>Go</w:t>
              </w:r>
            </w:hyperlink>
          </w:p>
        </w:tc>
        <w:tc>
          <w:tcPr>
            <w:tcW w:w="850" w:type="dxa"/>
          </w:tcPr>
          <w:p w14:paraId="2E8F2F3A"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A23DF" w:rsidRPr="006A23DF" w14:paraId="19555B28" w14:textId="77777777">
        <w:tblPrEx>
          <w:tblCellMar>
            <w:top w:w="0" w:type="dxa"/>
            <w:bottom w:w="0" w:type="dxa"/>
          </w:tblCellMar>
        </w:tblPrEx>
        <w:tc>
          <w:tcPr>
            <w:tcW w:w="1247" w:type="dxa"/>
          </w:tcPr>
          <w:p w14:paraId="75597675" w14:textId="77777777" w:rsidR="006A23DF" w:rsidRPr="006A23DF" w:rsidRDefault="006A23DF" w:rsidP="006A23DF">
            <w:pPr>
              <w:rPr>
                <w:rFonts w:cs="Frankruhel" w:hint="cs"/>
                <w:rtl/>
              </w:rPr>
            </w:pPr>
          </w:p>
        </w:tc>
        <w:tc>
          <w:tcPr>
            <w:tcW w:w="5669" w:type="dxa"/>
          </w:tcPr>
          <w:p w14:paraId="04225F5E" w14:textId="77777777" w:rsidR="006A23DF" w:rsidRPr="006A23DF" w:rsidRDefault="006A23DF" w:rsidP="006A23DF">
            <w:pPr>
              <w:rPr>
                <w:rFonts w:cs="Frankruhel" w:hint="cs"/>
                <w:rtl/>
              </w:rPr>
            </w:pPr>
            <w:r>
              <w:rPr>
                <w:rtl/>
              </w:rPr>
              <w:t>פרק שני: מידע ומסמכים</w:t>
            </w:r>
          </w:p>
        </w:tc>
        <w:tc>
          <w:tcPr>
            <w:tcW w:w="567" w:type="dxa"/>
          </w:tcPr>
          <w:p w14:paraId="35B14C2D" w14:textId="77777777" w:rsidR="006A23DF" w:rsidRPr="006A23DF" w:rsidRDefault="006A23DF" w:rsidP="006A23DF">
            <w:pPr>
              <w:rPr>
                <w:rStyle w:val="Hyperlink"/>
                <w:rFonts w:hint="cs"/>
                <w:rtl/>
              </w:rPr>
            </w:pPr>
            <w:hyperlink w:anchor="med1" w:tooltip="פרק שני: מידע ומסמכים" w:history="1">
              <w:r w:rsidRPr="006A23DF">
                <w:rPr>
                  <w:rStyle w:val="Hyperlink"/>
                </w:rPr>
                <w:t>Go</w:t>
              </w:r>
            </w:hyperlink>
          </w:p>
        </w:tc>
        <w:tc>
          <w:tcPr>
            <w:tcW w:w="850" w:type="dxa"/>
          </w:tcPr>
          <w:p w14:paraId="6DC42892"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6A23DF" w:rsidRPr="006A23DF" w14:paraId="08F07425" w14:textId="77777777">
        <w:tblPrEx>
          <w:tblCellMar>
            <w:top w:w="0" w:type="dxa"/>
            <w:bottom w:w="0" w:type="dxa"/>
          </w:tblCellMar>
        </w:tblPrEx>
        <w:tc>
          <w:tcPr>
            <w:tcW w:w="1247" w:type="dxa"/>
          </w:tcPr>
          <w:p w14:paraId="7A96D995" w14:textId="77777777" w:rsidR="006A23DF" w:rsidRPr="006A23DF" w:rsidRDefault="006A23DF" w:rsidP="006A23DF">
            <w:pPr>
              <w:rPr>
                <w:rFonts w:cs="Frankruhel" w:hint="cs"/>
                <w:rtl/>
              </w:rPr>
            </w:pPr>
            <w:r>
              <w:rPr>
                <w:rtl/>
              </w:rPr>
              <w:t xml:space="preserve">סעיף 2 </w:t>
            </w:r>
          </w:p>
        </w:tc>
        <w:tc>
          <w:tcPr>
            <w:tcW w:w="5669" w:type="dxa"/>
          </w:tcPr>
          <w:p w14:paraId="082610FC" w14:textId="77777777" w:rsidR="006A23DF" w:rsidRPr="006A23DF" w:rsidRDefault="006A23DF" w:rsidP="006A23DF">
            <w:pPr>
              <w:rPr>
                <w:rFonts w:cs="Frankruhel" w:hint="cs"/>
                <w:rtl/>
              </w:rPr>
            </w:pPr>
            <w:r>
              <w:rPr>
                <w:rtl/>
              </w:rPr>
              <w:t>העברת מידע ומסמכים בהקמת חברה אזורית</w:t>
            </w:r>
          </w:p>
        </w:tc>
        <w:tc>
          <w:tcPr>
            <w:tcW w:w="567" w:type="dxa"/>
          </w:tcPr>
          <w:p w14:paraId="37663DBB" w14:textId="77777777" w:rsidR="006A23DF" w:rsidRPr="006A23DF" w:rsidRDefault="006A23DF" w:rsidP="006A23DF">
            <w:pPr>
              <w:rPr>
                <w:rStyle w:val="Hyperlink"/>
                <w:rFonts w:hint="cs"/>
                <w:rtl/>
              </w:rPr>
            </w:pPr>
            <w:hyperlink w:anchor="Seif2" w:tooltip="העברת מידע ומסמכים בהקמת חברה אזורית" w:history="1">
              <w:r w:rsidRPr="006A23DF">
                <w:rPr>
                  <w:rStyle w:val="Hyperlink"/>
                </w:rPr>
                <w:t>Go</w:t>
              </w:r>
            </w:hyperlink>
          </w:p>
        </w:tc>
        <w:tc>
          <w:tcPr>
            <w:tcW w:w="850" w:type="dxa"/>
          </w:tcPr>
          <w:p w14:paraId="685B12E3"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A23DF" w:rsidRPr="006A23DF" w14:paraId="12A71883" w14:textId="77777777">
        <w:tblPrEx>
          <w:tblCellMar>
            <w:top w:w="0" w:type="dxa"/>
            <w:bottom w:w="0" w:type="dxa"/>
          </w:tblCellMar>
        </w:tblPrEx>
        <w:tc>
          <w:tcPr>
            <w:tcW w:w="1247" w:type="dxa"/>
          </w:tcPr>
          <w:p w14:paraId="0BA47594" w14:textId="77777777" w:rsidR="006A23DF" w:rsidRPr="006A23DF" w:rsidRDefault="006A23DF" w:rsidP="006A23DF">
            <w:pPr>
              <w:rPr>
                <w:rFonts w:cs="Frankruhel" w:hint="cs"/>
                <w:rtl/>
              </w:rPr>
            </w:pPr>
            <w:r>
              <w:rPr>
                <w:rtl/>
              </w:rPr>
              <w:t xml:space="preserve">סעיף 3 </w:t>
            </w:r>
          </w:p>
        </w:tc>
        <w:tc>
          <w:tcPr>
            <w:tcW w:w="5669" w:type="dxa"/>
          </w:tcPr>
          <w:p w14:paraId="3F3F62D7" w14:textId="77777777" w:rsidR="006A23DF" w:rsidRPr="006A23DF" w:rsidRDefault="006A23DF" w:rsidP="006A23DF">
            <w:pPr>
              <w:rPr>
                <w:rFonts w:cs="Frankruhel" w:hint="cs"/>
                <w:rtl/>
              </w:rPr>
            </w:pPr>
            <w:r>
              <w:rPr>
                <w:rtl/>
              </w:rPr>
              <w:t>העברת מידע ומסמכים בהצטרפות לחברה אזורית</w:t>
            </w:r>
          </w:p>
        </w:tc>
        <w:tc>
          <w:tcPr>
            <w:tcW w:w="567" w:type="dxa"/>
          </w:tcPr>
          <w:p w14:paraId="7DBFB528" w14:textId="77777777" w:rsidR="006A23DF" w:rsidRPr="006A23DF" w:rsidRDefault="006A23DF" w:rsidP="006A23DF">
            <w:pPr>
              <w:rPr>
                <w:rStyle w:val="Hyperlink"/>
                <w:rFonts w:hint="cs"/>
                <w:rtl/>
              </w:rPr>
            </w:pPr>
            <w:hyperlink w:anchor="Seif3" w:tooltip="העברת מידע ומסמכים בהצטרפות לחברה אזורית" w:history="1">
              <w:r w:rsidRPr="006A23DF">
                <w:rPr>
                  <w:rStyle w:val="Hyperlink"/>
                </w:rPr>
                <w:t>Go</w:t>
              </w:r>
            </w:hyperlink>
          </w:p>
        </w:tc>
        <w:tc>
          <w:tcPr>
            <w:tcW w:w="850" w:type="dxa"/>
          </w:tcPr>
          <w:p w14:paraId="3E95C4AE"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6A23DF" w:rsidRPr="006A23DF" w14:paraId="64A74EB4" w14:textId="77777777">
        <w:tblPrEx>
          <w:tblCellMar>
            <w:top w:w="0" w:type="dxa"/>
            <w:bottom w:w="0" w:type="dxa"/>
          </w:tblCellMar>
        </w:tblPrEx>
        <w:tc>
          <w:tcPr>
            <w:tcW w:w="1247" w:type="dxa"/>
          </w:tcPr>
          <w:p w14:paraId="2F641024" w14:textId="77777777" w:rsidR="006A23DF" w:rsidRPr="006A23DF" w:rsidRDefault="006A23DF" w:rsidP="006A23DF">
            <w:pPr>
              <w:rPr>
                <w:rFonts w:cs="Frankruhel" w:hint="cs"/>
                <w:rtl/>
              </w:rPr>
            </w:pPr>
            <w:r>
              <w:rPr>
                <w:rtl/>
              </w:rPr>
              <w:t xml:space="preserve">סעיף 4 </w:t>
            </w:r>
          </w:p>
        </w:tc>
        <w:tc>
          <w:tcPr>
            <w:tcW w:w="5669" w:type="dxa"/>
          </w:tcPr>
          <w:p w14:paraId="2CCBF18C" w14:textId="77777777" w:rsidR="006A23DF" w:rsidRPr="006A23DF" w:rsidRDefault="006A23DF" w:rsidP="006A23DF">
            <w:pPr>
              <w:rPr>
                <w:rFonts w:cs="Frankruhel" w:hint="cs"/>
                <w:rtl/>
              </w:rPr>
            </w:pPr>
            <w:r>
              <w:rPr>
                <w:rtl/>
              </w:rPr>
              <w:t>העברת מידע ומסמכים לפי דרישת הממונה</w:t>
            </w:r>
          </w:p>
        </w:tc>
        <w:tc>
          <w:tcPr>
            <w:tcW w:w="567" w:type="dxa"/>
          </w:tcPr>
          <w:p w14:paraId="26FE51BE" w14:textId="77777777" w:rsidR="006A23DF" w:rsidRPr="006A23DF" w:rsidRDefault="006A23DF" w:rsidP="006A23DF">
            <w:pPr>
              <w:rPr>
                <w:rStyle w:val="Hyperlink"/>
                <w:rFonts w:hint="cs"/>
                <w:rtl/>
              </w:rPr>
            </w:pPr>
            <w:hyperlink w:anchor="Seif4" w:tooltip="העברת מידע ומסמכים לפי דרישת הממונה" w:history="1">
              <w:r w:rsidRPr="006A23DF">
                <w:rPr>
                  <w:rStyle w:val="Hyperlink"/>
                </w:rPr>
                <w:t>Go</w:t>
              </w:r>
            </w:hyperlink>
          </w:p>
        </w:tc>
        <w:tc>
          <w:tcPr>
            <w:tcW w:w="850" w:type="dxa"/>
          </w:tcPr>
          <w:p w14:paraId="05929D40"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A23DF" w:rsidRPr="006A23DF" w14:paraId="1F22C995" w14:textId="77777777">
        <w:tblPrEx>
          <w:tblCellMar>
            <w:top w:w="0" w:type="dxa"/>
            <w:bottom w:w="0" w:type="dxa"/>
          </w:tblCellMar>
        </w:tblPrEx>
        <w:tc>
          <w:tcPr>
            <w:tcW w:w="1247" w:type="dxa"/>
          </w:tcPr>
          <w:p w14:paraId="018340E9" w14:textId="77777777" w:rsidR="006A23DF" w:rsidRPr="006A23DF" w:rsidRDefault="006A23DF" w:rsidP="006A23DF">
            <w:pPr>
              <w:rPr>
                <w:rFonts w:cs="Frankruhel" w:hint="cs"/>
                <w:rtl/>
              </w:rPr>
            </w:pPr>
          </w:p>
        </w:tc>
        <w:tc>
          <w:tcPr>
            <w:tcW w:w="5669" w:type="dxa"/>
          </w:tcPr>
          <w:p w14:paraId="235DE53E" w14:textId="77777777" w:rsidR="006A23DF" w:rsidRPr="006A23DF" w:rsidRDefault="006A23DF" w:rsidP="006A23DF">
            <w:pPr>
              <w:rPr>
                <w:rFonts w:cs="Frankruhel" w:hint="cs"/>
                <w:rtl/>
              </w:rPr>
            </w:pPr>
            <w:r>
              <w:rPr>
                <w:rtl/>
              </w:rPr>
              <w:t>פרק שלישי: חלוקת הבעלות בחברה אזורית</w:t>
            </w:r>
          </w:p>
        </w:tc>
        <w:tc>
          <w:tcPr>
            <w:tcW w:w="567" w:type="dxa"/>
          </w:tcPr>
          <w:p w14:paraId="643030A6" w14:textId="77777777" w:rsidR="006A23DF" w:rsidRPr="006A23DF" w:rsidRDefault="006A23DF" w:rsidP="006A23DF">
            <w:pPr>
              <w:rPr>
                <w:rStyle w:val="Hyperlink"/>
                <w:rFonts w:hint="cs"/>
                <w:rtl/>
              </w:rPr>
            </w:pPr>
            <w:hyperlink w:anchor="med2" w:tooltip="פרק שלישי: חלוקת הבעלות בחברה אזורית" w:history="1">
              <w:r w:rsidRPr="006A23DF">
                <w:rPr>
                  <w:rStyle w:val="Hyperlink"/>
                </w:rPr>
                <w:t>Go</w:t>
              </w:r>
            </w:hyperlink>
          </w:p>
        </w:tc>
        <w:tc>
          <w:tcPr>
            <w:tcW w:w="850" w:type="dxa"/>
          </w:tcPr>
          <w:p w14:paraId="27C72D54"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6A23DF" w:rsidRPr="006A23DF" w14:paraId="0C7BFAF9" w14:textId="77777777">
        <w:tblPrEx>
          <w:tblCellMar>
            <w:top w:w="0" w:type="dxa"/>
            <w:bottom w:w="0" w:type="dxa"/>
          </w:tblCellMar>
        </w:tblPrEx>
        <w:tc>
          <w:tcPr>
            <w:tcW w:w="1247" w:type="dxa"/>
          </w:tcPr>
          <w:p w14:paraId="149C1958" w14:textId="77777777" w:rsidR="006A23DF" w:rsidRPr="006A23DF" w:rsidRDefault="006A23DF" w:rsidP="006A23DF">
            <w:pPr>
              <w:rPr>
                <w:rFonts w:cs="Frankruhel" w:hint="cs"/>
                <w:rtl/>
              </w:rPr>
            </w:pPr>
            <w:r>
              <w:rPr>
                <w:rtl/>
              </w:rPr>
              <w:t xml:space="preserve">סעיף 5 </w:t>
            </w:r>
          </w:p>
        </w:tc>
        <w:tc>
          <w:tcPr>
            <w:tcW w:w="5669" w:type="dxa"/>
          </w:tcPr>
          <w:p w14:paraId="438511FF" w14:textId="77777777" w:rsidR="006A23DF" w:rsidRPr="006A23DF" w:rsidRDefault="006A23DF" w:rsidP="006A23DF">
            <w:pPr>
              <w:rPr>
                <w:rFonts w:cs="Frankruhel" w:hint="cs"/>
                <w:rtl/>
              </w:rPr>
            </w:pPr>
            <w:r>
              <w:rPr>
                <w:rtl/>
              </w:rPr>
              <w:t>הגדרות</w:t>
            </w:r>
          </w:p>
        </w:tc>
        <w:tc>
          <w:tcPr>
            <w:tcW w:w="567" w:type="dxa"/>
          </w:tcPr>
          <w:p w14:paraId="631032FC" w14:textId="77777777" w:rsidR="006A23DF" w:rsidRPr="006A23DF" w:rsidRDefault="006A23DF" w:rsidP="006A23DF">
            <w:pPr>
              <w:rPr>
                <w:rStyle w:val="Hyperlink"/>
                <w:rFonts w:hint="cs"/>
                <w:rtl/>
              </w:rPr>
            </w:pPr>
            <w:hyperlink w:anchor="Seif5" w:tooltip="הגדרות" w:history="1">
              <w:r w:rsidRPr="006A23DF">
                <w:rPr>
                  <w:rStyle w:val="Hyperlink"/>
                </w:rPr>
                <w:t>Go</w:t>
              </w:r>
            </w:hyperlink>
          </w:p>
        </w:tc>
        <w:tc>
          <w:tcPr>
            <w:tcW w:w="850" w:type="dxa"/>
          </w:tcPr>
          <w:p w14:paraId="7F80D518"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A23DF" w:rsidRPr="006A23DF" w14:paraId="3E4C248C" w14:textId="77777777">
        <w:tblPrEx>
          <w:tblCellMar>
            <w:top w:w="0" w:type="dxa"/>
            <w:bottom w:w="0" w:type="dxa"/>
          </w:tblCellMar>
        </w:tblPrEx>
        <w:tc>
          <w:tcPr>
            <w:tcW w:w="1247" w:type="dxa"/>
          </w:tcPr>
          <w:p w14:paraId="0B57E2AD" w14:textId="77777777" w:rsidR="006A23DF" w:rsidRPr="006A23DF" w:rsidRDefault="006A23DF" w:rsidP="006A23DF">
            <w:pPr>
              <w:rPr>
                <w:rFonts w:cs="Frankruhel" w:hint="cs"/>
                <w:rtl/>
              </w:rPr>
            </w:pPr>
            <w:r>
              <w:rPr>
                <w:rtl/>
              </w:rPr>
              <w:t xml:space="preserve">סעיף 6 </w:t>
            </w:r>
          </w:p>
        </w:tc>
        <w:tc>
          <w:tcPr>
            <w:tcW w:w="5669" w:type="dxa"/>
          </w:tcPr>
          <w:p w14:paraId="459FAD83" w14:textId="77777777" w:rsidR="006A23DF" w:rsidRPr="006A23DF" w:rsidRDefault="006A23DF" w:rsidP="006A23DF">
            <w:pPr>
              <w:rPr>
                <w:rFonts w:cs="Frankruhel" w:hint="cs"/>
                <w:rtl/>
              </w:rPr>
            </w:pPr>
            <w:r>
              <w:rPr>
                <w:rtl/>
              </w:rPr>
              <w:t>הון עצמי</w:t>
            </w:r>
          </w:p>
        </w:tc>
        <w:tc>
          <w:tcPr>
            <w:tcW w:w="567" w:type="dxa"/>
          </w:tcPr>
          <w:p w14:paraId="19D049F1" w14:textId="77777777" w:rsidR="006A23DF" w:rsidRPr="006A23DF" w:rsidRDefault="006A23DF" w:rsidP="006A23DF">
            <w:pPr>
              <w:rPr>
                <w:rStyle w:val="Hyperlink"/>
                <w:rFonts w:hint="cs"/>
                <w:rtl/>
              </w:rPr>
            </w:pPr>
            <w:hyperlink w:anchor="Seif6" w:tooltip="הון עצמי" w:history="1">
              <w:r w:rsidRPr="006A23DF">
                <w:rPr>
                  <w:rStyle w:val="Hyperlink"/>
                </w:rPr>
                <w:t>Go</w:t>
              </w:r>
            </w:hyperlink>
          </w:p>
        </w:tc>
        <w:tc>
          <w:tcPr>
            <w:tcW w:w="850" w:type="dxa"/>
          </w:tcPr>
          <w:p w14:paraId="66B163BD"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6A23DF" w:rsidRPr="006A23DF" w14:paraId="0A883B04" w14:textId="77777777">
        <w:tblPrEx>
          <w:tblCellMar>
            <w:top w:w="0" w:type="dxa"/>
            <w:bottom w:w="0" w:type="dxa"/>
          </w:tblCellMar>
        </w:tblPrEx>
        <w:tc>
          <w:tcPr>
            <w:tcW w:w="1247" w:type="dxa"/>
          </w:tcPr>
          <w:p w14:paraId="0A22F55D" w14:textId="77777777" w:rsidR="006A23DF" w:rsidRPr="006A23DF" w:rsidRDefault="006A23DF" w:rsidP="006A23DF">
            <w:pPr>
              <w:rPr>
                <w:rFonts w:cs="Frankruhel" w:hint="cs"/>
                <w:rtl/>
              </w:rPr>
            </w:pPr>
            <w:r>
              <w:rPr>
                <w:rtl/>
              </w:rPr>
              <w:t xml:space="preserve">סעיף 7 </w:t>
            </w:r>
          </w:p>
        </w:tc>
        <w:tc>
          <w:tcPr>
            <w:tcW w:w="5669" w:type="dxa"/>
          </w:tcPr>
          <w:p w14:paraId="7A2BB6D7" w14:textId="77777777" w:rsidR="006A23DF" w:rsidRPr="006A23DF" w:rsidRDefault="006A23DF" w:rsidP="006A23DF">
            <w:pPr>
              <w:rPr>
                <w:rFonts w:cs="Frankruhel" w:hint="cs"/>
                <w:rtl/>
              </w:rPr>
            </w:pPr>
            <w:r>
              <w:rPr>
                <w:rtl/>
              </w:rPr>
              <w:t>הכנסה שנתית מתוקננת</w:t>
            </w:r>
          </w:p>
        </w:tc>
        <w:tc>
          <w:tcPr>
            <w:tcW w:w="567" w:type="dxa"/>
          </w:tcPr>
          <w:p w14:paraId="7A124FF0" w14:textId="77777777" w:rsidR="006A23DF" w:rsidRPr="006A23DF" w:rsidRDefault="006A23DF" w:rsidP="006A23DF">
            <w:pPr>
              <w:rPr>
                <w:rStyle w:val="Hyperlink"/>
                <w:rFonts w:hint="cs"/>
                <w:rtl/>
              </w:rPr>
            </w:pPr>
            <w:hyperlink w:anchor="Seif7" w:tooltip="הכנסה שנתית מתוקננת" w:history="1">
              <w:r w:rsidRPr="006A23DF">
                <w:rPr>
                  <w:rStyle w:val="Hyperlink"/>
                </w:rPr>
                <w:t>Go</w:t>
              </w:r>
            </w:hyperlink>
          </w:p>
        </w:tc>
        <w:tc>
          <w:tcPr>
            <w:tcW w:w="850" w:type="dxa"/>
          </w:tcPr>
          <w:p w14:paraId="2B919184"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6A23DF" w:rsidRPr="006A23DF" w14:paraId="26EEFBA4" w14:textId="77777777">
        <w:tblPrEx>
          <w:tblCellMar>
            <w:top w:w="0" w:type="dxa"/>
            <w:bottom w:w="0" w:type="dxa"/>
          </w:tblCellMar>
        </w:tblPrEx>
        <w:tc>
          <w:tcPr>
            <w:tcW w:w="1247" w:type="dxa"/>
          </w:tcPr>
          <w:p w14:paraId="274CB590" w14:textId="77777777" w:rsidR="006A23DF" w:rsidRPr="006A23DF" w:rsidRDefault="006A23DF" w:rsidP="006A23DF">
            <w:pPr>
              <w:rPr>
                <w:rFonts w:cs="Frankruhel" w:hint="cs"/>
                <w:rtl/>
              </w:rPr>
            </w:pPr>
            <w:r>
              <w:rPr>
                <w:rtl/>
              </w:rPr>
              <w:t xml:space="preserve">סעיף 8 </w:t>
            </w:r>
          </w:p>
        </w:tc>
        <w:tc>
          <w:tcPr>
            <w:tcW w:w="5669" w:type="dxa"/>
          </w:tcPr>
          <w:p w14:paraId="44DE1620" w14:textId="77777777" w:rsidR="006A23DF" w:rsidRPr="006A23DF" w:rsidRDefault="006A23DF" w:rsidP="006A23DF">
            <w:pPr>
              <w:rPr>
                <w:rFonts w:cs="Frankruhel" w:hint="cs"/>
                <w:rtl/>
              </w:rPr>
            </w:pPr>
            <w:r>
              <w:rPr>
                <w:rtl/>
              </w:rPr>
              <w:t>הקצאת מניות בהקמת חברה אזורית</w:t>
            </w:r>
          </w:p>
        </w:tc>
        <w:tc>
          <w:tcPr>
            <w:tcW w:w="567" w:type="dxa"/>
          </w:tcPr>
          <w:p w14:paraId="1703A80A" w14:textId="77777777" w:rsidR="006A23DF" w:rsidRPr="006A23DF" w:rsidRDefault="006A23DF" w:rsidP="006A23DF">
            <w:pPr>
              <w:rPr>
                <w:rStyle w:val="Hyperlink"/>
                <w:rFonts w:hint="cs"/>
                <w:rtl/>
              </w:rPr>
            </w:pPr>
            <w:hyperlink w:anchor="Seif8" w:tooltip="הקצאת מניות בהקמת חברה אזורית" w:history="1">
              <w:r w:rsidRPr="006A23DF">
                <w:rPr>
                  <w:rStyle w:val="Hyperlink"/>
                </w:rPr>
                <w:t>Go</w:t>
              </w:r>
            </w:hyperlink>
          </w:p>
        </w:tc>
        <w:tc>
          <w:tcPr>
            <w:tcW w:w="850" w:type="dxa"/>
          </w:tcPr>
          <w:p w14:paraId="02523604"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6A23DF" w:rsidRPr="006A23DF" w14:paraId="7E6EB1CC" w14:textId="77777777">
        <w:tblPrEx>
          <w:tblCellMar>
            <w:top w:w="0" w:type="dxa"/>
            <w:bottom w:w="0" w:type="dxa"/>
          </w:tblCellMar>
        </w:tblPrEx>
        <w:tc>
          <w:tcPr>
            <w:tcW w:w="1247" w:type="dxa"/>
          </w:tcPr>
          <w:p w14:paraId="3938814C" w14:textId="77777777" w:rsidR="006A23DF" w:rsidRPr="006A23DF" w:rsidRDefault="006A23DF" w:rsidP="006A23DF">
            <w:pPr>
              <w:rPr>
                <w:rFonts w:cs="Frankruhel" w:hint="cs"/>
                <w:rtl/>
              </w:rPr>
            </w:pPr>
            <w:r>
              <w:rPr>
                <w:rtl/>
              </w:rPr>
              <w:t xml:space="preserve">סעיף 9 </w:t>
            </w:r>
          </w:p>
        </w:tc>
        <w:tc>
          <w:tcPr>
            <w:tcW w:w="5669" w:type="dxa"/>
          </w:tcPr>
          <w:p w14:paraId="47C50C5D" w14:textId="77777777" w:rsidR="006A23DF" w:rsidRPr="006A23DF" w:rsidRDefault="006A23DF" w:rsidP="006A23DF">
            <w:pPr>
              <w:rPr>
                <w:rFonts w:cs="Frankruhel" w:hint="cs"/>
                <w:rtl/>
              </w:rPr>
            </w:pPr>
            <w:r>
              <w:rPr>
                <w:rtl/>
              </w:rPr>
              <w:t>הקצאת מניות בהצטרפות לחברה אזורית</w:t>
            </w:r>
          </w:p>
        </w:tc>
        <w:tc>
          <w:tcPr>
            <w:tcW w:w="567" w:type="dxa"/>
          </w:tcPr>
          <w:p w14:paraId="6D7817C3" w14:textId="77777777" w:rsidR="006A23DF" w:rsidRPr="006A23DF" w:rsidRDefault="006A23DF" w:rsidP="006A23DF">
            <w:pPr>
              <w:rPr>
                <w:rStyle w:val="Hyperlink"/>
                <w:rFonts w:hint="cs"/>
                <w:rtl/>
              </w:rPr>
            </w:pPr>
            <w:hyperlink w:anchor="Seif9" w:tooltip="הקצאת מניות בהצטרפות לחברה אזורית" w:history="1">
              <w:r w:rsidRPr="006A23DF">
                <w:rPr>
                  <w:rStyle w:val="Hyperlink"/>
                </w:rPr>
                <w:t>Go</w:t>
              </w:r>
            </w:hyperlink>
          </w:p>
        </w:tc>
        <w:tc>
          <w:tcPr>
            <w:tcW w:w="850" w:type="dxa"/>
          </w:tcPr>
          <w:p w14:paraId="333474B9"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6A23DF" w:rsidRPr="006A23DF" w14:paraId="50C3396C" w14:textId="77777777">
        <w:tblPrEx>
          <w:tblCellMar>
            <w:top w:w="0" w:type="dxa"/>
            <w:bottom w:w="0" w:type="dxa"/>
          </w:tblCellMar>
        </w:tblPrEx>
        <w:tc>
          <w:tcPr>
            <w:tcW w:w="1247" w:type="dxa"/>
          </w:tcPr>
          <w:p w14:paraId="77A7E215" w14:textId="77777777" w:rsidR="006A23DF" w:rsidRPr="006A23DF" w:rsidRDefault="006A23DF" w:rsidP="006A23DF">
            <w:pPr>
              <w:rPr>
                <w:rFonts w:cs="Frankruhel" w:hint="cs"/>
                <w:rtl/>
              </w:rPr>
            </w:pPr>
            <w:r>
              <w:rPr>
                <w:rtl/>
              </w:rPr>
              <w:t xml:space="preserve">סעיף 10 </w:t>
            </w:r>
          </w:p>
        </w:tc>
        <w:tc>
          <w:tcPr>
            <w:tcW w:w="5669" w:type="dxa"/>
          </w:tcPr>
          <w:p w14:paraId="7E992CF2" w14:textId="77777777" w:rsidR="006A23DF" w:rsidRPr="006A23DF" w:rsidRDefault="006A23DF" w:rsidP="006A23DF">
            <w:pPr>
              <w:rPr>
                <w:rFonts w:cs="Frankruhel" w:hint="cs"/>
                <w:rtl/>
              </w:rPr>
            </w:pPr>
            <w:r>
              <w:rPr>
                <w:rtl/>
              </w:rPr>
              <w:t>הקצאת מניות בהסכמה</w:t>
            </w:r>
          </w:p>
        </w:tc>
        <w:tc>
          <w:tcPr>
            <w:tcW w:w="567" w:type="dxa"/>
          </w:tcPr>
          <w:p w14:paraId="555E40B7" w14:textId="77777777" w:rsidR="006A23DF" w:rsidRPr="006A23DF" w:rsidRDefault="006A23DF" w:rsidP="006A23DF">
            <w:pPr>
              <w:rPr>
                <w:rStyle w:val="Hyperlink"/>
                <w:rFonts w:hint="cs"/>
                <w:rtl/>
              </w:rPr>
            </w:pPr>
            <w:hyperlink w:anchor="Seif10" w:tooltip="הקצאת מניות בהסכמה" w:history="1">
              <w:r w:rsidRPr="006A23DF">
                <w:rPr>
                  <w:rStyle w:val="Hyperlink"/>
                </w:rPr>
                <w:t>Go</w:t>
              </w:r>
            </w:hyperlink>
          </w:p>
        </w:tc>
        <w:tc>
          <w:tcPr>
            <w:tcW w:w="850" w:type="dxa"/>
          </w:tcPr>
          <w:p w14:paraId="1BE58F9D"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6A23DF" w:rsidRPr="006A23DF" w14:paraId="2106D969" w14:textId="77777777">
        <w:tblPrEx>
          <w:tblCellMar>
            <w:top w:w="0" w:type="dxa"/>
            <w:bottom w:w="0" w:type="dxa"/>
          </w:tblCellMar>
        </w:tblPrEx>
        <w:tc>
          <w:tcPr>
            <w:tcW w:w="1247" w:type="dxa"/>
          </w:tcPr>
          <w:p w14:paraId="6C7ED7B2" w14:textId="77777777" w:rsidR="006A23DF" w:rsidRPr="006A23DF" w:rsidRDefault="006A23DF" w:rsidP="006A23DF">
            <w:pPr>
              <w:rPr>
                <w:rFonts w:cs="Frankruhel" w:hint="cs"/>
                <w:rtl/>
              </w:rPr>
            </w:pPr>
          </w:p>
        </w:tc>
        <w:tc>
          <w:tcPr>
            <w:tcW w:w="5669" w:type="dxa"/>
          </w:tcPr>
          <w:p w14:paraId="5925C458" w14:textId="77777777" w:rsidR="006A23DF" w:rsidRPr="006A23DF" w:rsidRDefault="006A23DF" w:rsidP="006A23DF">
            <w:pPr>
              <w:rPr>
                <w:rFonts w:cs="Frankruhel" w:hint="cs"/>
                <w:rtl/>
              </w:rPr>
            </w:pPr>
            <w:r>
              <w:rPr>
                <w:rtl/>
              </w:rPr>
              <w:t>פרק רביעי: התחייבויות והגבלות</w:t>
            </w:r>
          </w:p>
        </w:tc>
        <w:tc>
          <w:tcPr>
            <w:tcW w:w="567" w:type="dxa"/>
          </w:tcPr>
          <w:p w14:paraId="18EA4767" w14:textId="77777777" w:rsidR="006A23DF" w:rsidRPr="006A23DF" w:rsidRDefault="006A23DF" w:rsidP="006A23DF">
            <w:pPr>
              <w:rPr>
                <w:rStyle w:val="Hyperlink"/>
                <w:rFonts w:hint="cs"/>
                <w:rtl/>
              </w:rPr>
            </w:pPr>
            <w:hyperlink w:anchor="med3" w:tooltip="פרק רביעי: התחייבויות והגבלות" w:history="1">
              <w:r w:rsidRPr="006A23DF">
                <w:rPr>
                  <w:rStyle w:val="Hyperlink"/>
                </w:rPr>
                <w:t>Go</w:t>
              </w:r>
            </w:hyperlink>
          </w:p>
        </w:tc>
        <w:tc>
          <w:tcPr>
            <w:tcW w:w="850" w:type="dxa"/>
          </w:tcPr>
          <w:p w14:paraId="6EC1EF51"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6A23DF" w:rsidRPr="006A23DF" w14:paraId="4B316DEA" w14:textId="77777777">
        <w:tblPrEx>
          <w:tblCellMar>
            <w:top w:w="0" w:type="dxa"/>
            <w:bottom w:w="0" w:type="dxa"/>
          </w:tblCellMar>
        </w:tblPrEx>
        <w:tc>
          <w:tcPr>
            <w:tcW w:w="1247" w:type="dxa"/>
          </w:tcPr>
          <w:p w14:paraId="1ECF42AD" w14:textId="77777777" w:rsidR="006A23DF" w:rsidRPr="006A23DF" w:rsidRDefault="006A23DF" w:rsidP="006A23DF">
            <w:pPr>
              <w:rPr>
                <w:rFonts w:cs="Frankruhel" w:hint="cs"/>
                <w:rtl/>
              </w:rPr>
            </w:pPr>
            <w:r>
              <w:rPr>
                <w:rtl/>
              </w:rPr>
              <w:t xml:space="preserve">סעיף 11 </w:t>
            </w:r>
          </w:p>
        </w:tc>
        <w:tc>
          <w:tcPr>
            <w:tcW w:w="5669" w:type="dxa"/>
          </w:tcPr>
          <w:p w14:paraId="103D9CCD" w14:textId="77777777" w:rsidR="006A23DF" w:rsidRPr="006A23DF" w:rsidRDefault="006A23DF" w:rsidP="006A23DF">
            <w:pPr>
              <w:rPr>
                <w:rFonts w:cs="Frankruhel" w:hint="cs"/>
                <w:rtl/>
              </w:rPr>
            </w:pPr>
            <w:r>
              <w:rPr>
                <w:rtl/>
              </w:rPr>
              <w:t>התחייבות בהקמה</w:t>
            </w:r>
          </w:p>
        </w:tc>
        <w:tc>
          <w:tcPr>
            <w:tcW w:w="567" w:type="dxa"/>
          </w:tcPr>
          <w:p w14:paraId="26B50F8F" w14:textId="77777777" w:rsidR="006A23DF" w:rsidRPr="006A23DF" w:rsidRDefault="006A23DF" w:rsidP="006A23DF">
            <w:pPr>
              <w:rPr>
                <w:rStyle w:val="Hyperlink"/>
                <w:rFonts w:hint="cs"/>
                <w:rtl/>
              </w:rPr>
            </w:pPr>
            <w:hyperlink w:anchor="Seif11" w:tooltip="התחייבות בהקמה" w:history="1">
              <w:r w:rsidRPr="006A23DF">
                <w:rPr>
                  <w:rStyle w:val="Hyperlink"/>
                </w:rPr>
                <w:t>Go</w:t>
              </w:r>
            </w:hyperlink>
          </w:p>
        </w:tc>
        <w:tc>
          <w:tcPr>
            <w:tcW w:w="850" w:type="dxa"/>
          </w:tcPr>
          <w:p w14:paraId="0B22A570"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6A23DF" w:rsidRPr="006A23DF" w14:paraId="76D939C4" w14:textId="77777777">
        <w:tblPrEx>
          <w:tblCellMar>
            <w:top w:w="0" w:type="dxa"/>
            <w:bottom w:w="0" w:type="dxa"/>
          </w:tblCellMar>
        </w:tblPrEx>
        <w:tc>
          <w:tcPr>
            <w:tcW w:w="1247" w:type="dxa"/>
          </w:tcPr>
          <w:p w14:paraId="425274A3" w14:textId="77777777" w:rsidR="006A23DF" w:rsidRPr="006A23DF" w:rsidRDefault="006A23DF" w:rsidP="006A23DF">
            <w:pPr>
              <w:rPr>
                <w:rFonts w:cs="Frankruhel" w:hint="cs"/>
                <w:rtl/>
              </w:rPr>
            </w:pPr>
            <w:r>
              <w:rPr>
                <w:rtl/>
              </w:rPr>
              <w:t xml:space="preserve">סעיף 12 </w:t>
            </w:r>
          </w:p>
        </w:tc>
        <w:tc>
          <w:tcPr>
            <w:tcW w:w="5669" w:type="dxa"/>
          </w:tcPr>
          <w:p w14:paraId="705167C1" w14:textId="77777777" w:rsidR="006A23DF" w:rsidRPr="006A23DF" w:rsidRDefault="006A23DF" w:rsidP="006A23DF">
            <w:pPr>
              <w:rPr>
                <w:rFonts w:cs="Frankruhel" w:hint="cs"/>
                <w:rtl/>
              </w:rPr>
            </w:pPr>
            <w:r>
              <w:rPr>
                <w:rtl/>
              </w:rPr>
              <w:t>הגבלה על התקשרויות</w:t>
            </w:r>
          </w:p>
        </w:tc>
        <w:tc>
          <w:tcPr>
            <w:tcW w:w="567" w:type="dxa"/>
          </w:tcPr>
          <w:p w14:paraId="7E064F72" w14:textId="77777777" w:rsidR="006A23DF" w:rsidRPr="006A23DF" w:rsidRDefault="006A23DF" w:rsidP="006A23DF">
            <w:pPr>
              <w:rPr>
                <w:rStyle w:val="Hyperlink"/>
                <w:rFonts w:hint="cs"/>
                <w:rtl/>
              </w:rPr>
            </w:pPr>
            <w:hyperlink w:anchor="Seif12" w:tooltip="הגבלה על התקשרויות" w:history="1">
              <w:r w:rsidRPr="006A23DF">
                <w:rPr>
                  <w:rStyle w:val="Hyperlink"/>
                </w:rPr>
                <w:t>Go</w:t>
              </w:r>
            </w:hyperlink>
          </w:p>
        </w:tc>
        <w:tc>
          <w:tcPr>
            <w:tcW w:w="850" w:type="dxa"/>
          </w:tcPr>
          <w:p w14:paraId="5322BDD3"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6A23DF" w:rsidRPr="006A23DF" w14:paraId="42A78C90" w14:textId="77777777">
        <w:tblPrEx>
          <w:tblCellMar>
            <w:top w:w="0" w:type="dxa"/>
            <w:bottom w:w="0" w:type="dxa"/>
          </w:tblCellMar>
        </w:tblPrEx>
        <w:tc>
          <w:tcPr>
            <w:tcW w:w="1247" w:type="dxa"/>
          </w:tcPr>
          <w:p w14:paraId="068A068C" w14:textId="77777777" w:rsidR="006A23DF" w:rsidRPr="006A23DF" w:rsidRDefault="006A23DF" w:rsidP="006A23DF">
            <w:pPr>
              <w:rPr>
                <w:rFonts w:cs="Frankruhel" w:hint="cs"/>
                <w:rtl/>
              </w:rPr>
            </w:pPr>
            <w:r>
              <w:rPr>
                <w:rtl/>
              </w:rPr>
              <w:t xml:space="preserve">סעיף 13 </w:t>
            </w:r>
          </w:p>
        </w:tc>
        <w:tc>
          <w:tcPr>
            <w:tcW w:w="5669" w:type="dxa"/>
          </w:tcPr>
          <w:p w14:paraId="7829E386" w14:textId="77777777" w:rsidR="006A23DF" w:rsidRPr="006A23DF" w:rsidRDefault="006A23DF" w:rsidP="006A23DF">
            <w:pPr>
              <w:rPr>
                <w:rFonts w:cs="Frankruhel" w:hint="cs"/>
                <w:rtl/>
              </w:rPr>
            </w:pPr>
            <w:r>
              <w:rPr>
                <w:rtl/>
              </w:rPr>
              <w:t>הגבלות על חלוקה ונטילת אשראי</w:t>
            </w:r>
          </w:p>
        </w:tc>
        <w:tc>
          <w:tcPr>
            <w:tcW w:w="567" w:type="dxa"/>
          </w:tcPr>
          <w:p w14:paraId="7A0A947F" w14:textId="77777777" w:rsidR="006A23DF" w:rsidRPr="006A23DF" w:rsidRDefault="006A23DF" w:rsidP="006A23DF">
            <w:pPr>
              <w:rPr>
                <w:rStyle w:val="Hyperlink"/>
                <w:rFonts w:hint="cs"/>
                <w:rtl/>
              </w:rPr>
            </w:pPr>
            <w:hyperlink w:anchor="Seif13" w:tooltip="הגבלות על חלוקה ונטילת אשראי" w:history="1">
              <w:r w:rsidRPr="006A23DF">
                <w:rPr>
                  <w:rStyle w:val="Hyperlink"/>
                </w:rPr>
                <w:t>Go</w:t>
              </w:r>
            </w:hyperlink>
          </w:p>
        </w:tc>
        <w:tc>
          <w:tcPr>
            <w:tcW w:w="850" w:type="dxa"/>
          </w:tcPr>
          <w:p w14:paraId="02EFC00E"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6A23DF" w:rsidRPr="006A23DF" w14:paraId="2C170491" w14:textId="77777777">
        <w:tblPrEx>
          <w:tblCellMar>
            <w:top w:w="0" w:type="dxa"/>
            <w:bottom w:w="0" w:type="dxa"/>
          </w:tblCellMar>
        </w:tblPrEx>
        <w:tc>
          <w:tcPr>
            <w:tcW w:w="1247" w:type="dxa"/>
          </w:tcPr>
          <w:p w14:paraId="30C841FD" w14:textId="77777777" w:rsidR="006A23DF" w:rsidRPr="006A23DF" w:rsidRDefault="006A23DF" w:rsidP="006A23DF">
            <w:pPr>
              <w:rPr>
                <w:rFonts w:cs="Frankruhel" w:hint="cs"/>
                <w:rtl/>
              </w:rPr>
            </w:pPr>
            <w:r>
              <w:rPr>
                <w:rtl/>
              </w:rPr>
              <w:t xml:space="preserve">סעיף 14 </w:t>
            </w:r>
          </w:p>
        </w:tc>
        <w:tc>
          <w:tcPr>
            <w:tcW w:w="5669" w:type="dxa"/>
          </w:tcPr>
          <w:p w14:paraId="0D9850F1" w14:textId="77777777" w:rsidR="006A23DF" w:rsidRPr="006A23DF" w:rsidRDefault="006A23DF" w:rsidP="006A23DF">
            <w:pPr>
              <w:rPr>
                <w:rFonts w:cs="Frankruhel" w:hint="cs"/>
                <w:rtl/>
              </w:rPr>
            </w:pPr>
            <w:r>
              <w:rPr>
                <w:rtl/>
              </w:rPr>
              <w:t>תחילה</w:t>
            </w:r>
          </w:p>
        </w:tc>
        <w:tc>
          <w:tcPr>
            <w:tcW w:w="567" w:type="dxa"/>
          </w:tcPr>
          <w:p w14:paraId="2765F2B6" w14:textId="77777777" w:rsidR="006A23DF" w:rsidRPr="006A23DF" w:rsidRDefault="006A23DF" w:rsidP="006A23DF">
            <w:pPr>
              <w:rPr>
                <w:rStyle w:val="Hyperlink"/>
                <w:rFonts w:hint="cs"/>
                <w:rtl/>
              </w:rPr>
            </w:pPr>
            <w:hyperlink w:anchor="Seif14" w:tooltip="תחילה" w:history="1">
              <w:r w:rsidRPr="006A23DF">
                <w:rPr>
                  <w:rStyle w:val="Hyperlink"/>
                </w:rPr>
                <w:t>Go</w:t>
              </w:r>
            </w:hyperlink>
          </w:p>
        </w:tc>
        <w:tc>
          <w:tcPr>
            <w:tcW w:w="850" w:type="dxa"/>
          </w:tcPr>
          <w:p w14:paraId="0D1CFCB3" w14:textId="77777777" w:rsidR="006A23DF" w:rsidRPr="006A23DF" w:rsidRDefault="006A23DF" w:rsidP="006A23D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bl>
    <w:p w14:paraId="0A170898" w14:textId="77777777" w:rsidR="000A51DD" w:rsidRDefault="000A51DD">
      <w:pPr>
        <w:pStyle w:val="big-header"/>
        <w:ind w:left="0" w:right="1134"/>
        <w:rPr>
          <w:rFonts w:cs="FrankRuehl" w:hint="cs"/>
          <w:sz w:val="32"/>
          <w:rtl/>
        </w:rPr>
      </w:pPr>
    </w:p>
    <w:p w14:paraId="30B1617F" w14:textId="77777777" w:rsidR="000A51DD" w:rsidRDefault="000A51DD" w:rsidP="00B42B94">
      <w:pPr>
        <w:pStyle w:val="big-header"/>
        <w:ind w:left="0" w:right="1134"/>
        <w:rPr>
          <w:rStyle w:val="default"/>
          <w:rFonts w:hint="cs"/>
          <w:sz w:val="22"/>
          <w:szCs w:val="22"/>
          <w:rtl/>
        </w:rPr>
      </w:pPr>
      <w:r>
        <w:rPr>
          <w:rFonts w:cs="FrankRuehl"/>
          <w:sz w:val="32"/>
          <w:rtl/>
        </w:rPr>
        <w:br w:type="page"/>
      </w:r>
      <w:r w:rsidR="00B42B94">
        <w:rPr>
          <w:rFonts w:cs="FrankRuehl" w:hint="cs"/>
          <w:sz w:val="32"/>
          <w:rtl/>
        </w:rPr>
        <w:lastRenderedPageBreak/>
        <w:t>כללי תאגידי מים וביוב (חברות אזוריות), תשע"ד-2013</w:t>
      </w:r>
      <w:r>
        <w:rPr>
          <w:rStyle w:val="default"/>
          <w:sz w:val="22"/>
          <w:szCs w:val="22"/>
          <w:rtl/>
        </w:rPr>
        <w:footnoteReference w:customMarkFollows="1" w:id="1"/>
        <w:t>*</w:t>
      </w:r>
    </w:p>
    <w:p w14:paraId="1FF61A68" w14:textId="77777777" w:rsidR="00CB37A5" w:rsidRDefault="00CB37A5" w:rsidP="00B42B94">
      <w:pPr>
        <w:pStyle w:val="P00"/>
        <w:spacing w:before="72"/>
        <w:ind w:left="0" w:right="1134"/>
        <w:rPr>
          <w:rStyle w:val="default"/>
          <w:rFonts w:cs="FrankRuehl" w:hint="cs"/>
          <w:rtl/>
        </w:rPr>
      </w:pPr>
      <w:r>
        <w:rPr>
          <w:rStyle w:val="default"/>
          <w:rFonts w:cs="FrankRuehl" w:hint="cs"/>
          <w:rtl/>
        </w:rPr>
        <w:tab/>
        <w:t xml:space="preserve">בתוקף סמכותה לפי </w:t>
      </w:r>
      <w:r w:rsidR="00B42B94">
        <w:rPr>
          <w:rStyle w:val="default"/>
          <w:rFonts w:cs="FrankRuehl" w:hint="cs"/>
          <w:rtl/>
        </w:rPr>
        <w:t>סעיפים 6ג(ג), 6ד(א), 6ט, 63(א)(5) ו-73(ב)</w:t>
      </w:r>
      <w:r>
        <w:rPr>
          <w:rStyle w:val="default"/>
          <w:rFonts w:cs="FrankRuehl" w:hint="cs"/>
          <w:rtl/>
        </w:rPr>
        <w:t xml:space="preserve"> לחוק תאגידי מים וביוב, התשס"א-2001 (להלן </w:t>
      </w:r>
      <w:r>
        <w:rPr>
          <w:rStyle w:val="default"/>
          <w:rFonts w:cs="FrankRuehl"/>
          <w:rtl/>
        </w:rPr>
        <w:t>–</w:t>
      </w:r>
      <w:r>
        <w:rPr>
          <w:rStyle w:val="default"/>
          <w:rFonts w:cs="FrankRuehl" w:hint="cs"/>
          <w:rtl/>
        </w:rPr>
        <w:t xml:space="preserve"> החוק),</w:t>
      </w:r>
      <w:r w:rsidR="00B42B94">
        <w:rPr>
          <w:rStyle w:val="default"/>
          <w:rFonts w:cs="FrankRuehl" w:hint="cs"/>
          <w:rtl/>
        </w:rPr>
        <w:t xml:space="preserve"> לפי המלצת הממונה על תאגידי המים והביוב (להלן </w:t>
      </w:r>
      <w:r w:rsidR="00B42B94">
        <w:rPr>
          <w:rStyle w:val="default"/>
          <w:rFonts w:cs="FrankRuehl"/>
          <w:rtl/>
        </w:rPr>
        <w:t>–</w:t>
      </w:r>
      <w:r w:rsidR="00B42B94">
        <w:rPr>
          <w:rStyle w:val="default"/>
          <w:rFonts w:cs="FrankRuehl" w:hint="cs"/>
          <w:rtl/>
        </w:rPr>
        <w:t xml:space="preserve"> הממונה), לעניין פרק שני ובהתייעצות עם הממונה לעניין פרקים שלישי ורביעי</w:t>
      </w:r>
      <w:r>
        <w:rPr>
          <w:rStyle w:val="default"/>
          <w:rFonts w:cs="FrankRuehl" w:hint="cs"/>
          <w:rtl/>
        </w:rPr>
        <w:t>, קובעת מועצת הרשות הממשלתית למים ולביוב כללים אלה:</w:t>
      </w:r>
    </w:p>
    <w:p w14:paraId="3F5FD662" w14:textId="77777777" w:rsidR="002D32AC" w:rsidRPr="002D32AC" w:rsidRDefault="002D32AC" w:rsidP="002D32AC">
      <w:pPr>
        <w:pStyle w:val="medium2-header"/>
        <w:keepLines w:val="0"/>
        <w:spacing w:before="72"/>
        <w:ind w:left="0" w:right="1134"/>
        <w:rPr>
          <w:rFonts w:cs="FrankRuehl" w:hint="cs"/>
          <w:noProof/>
          <w:sz w:val="20"/>
          <w:rtl/>
        </w:rPr>
      </w:pPr>
      <w:bookmarkStart w:id="0" w:name="med0"/>
      <w:bookmarkEnd w:id="0"/>
      <w:r w:rsidRPr="002D32AC">
        <w:rPr>
          <w:rFonts w:cs="FrankRuehl" w:hint="cs"/>
          <w:noProof/>
          <w:sz w:val="20"/>
          <w:rtl/>
        </w:rPr>
        <w:t>פרק ראשון: פרשנות</w:t>
      </w:r>
    </w:p>
    <w:p w14:paraId="5AB035D5" w14:textId="77777777" w:rsidR="000A51DD" w:rsidRDefault="000A51DD" w:rsidP="00CB37A5">
      <w:pPr>
        <w:pStyle w:val="P00"/>
        <w:spacing w:before="72"/>
        <w:ind w:left="0" w:right="1134"/>
        <w:rPr>
          <w:rStyle w:val="default"/>
          <w:rFonts w:cs="FrankRuehl" w:hint="cs"/>
          <w:rtl/>
        </w:rPr>
      </w:pPr>
      <w:bookmarkStart w:id="1" w:name="Seif1"/>
      <w:bookmarkEnd w:id="1"/>
      <w:r>
        <w:rPr>
          <w:rFonts w:cs="Miriam"/>
          <w:lang w:val="he-IL"/>
        </w:rPr>
        <w:pict w14:anchorId="388B9617">
          <v:rect id="_x0000_s1026" style="position:absolute;left:0;text-align:left;margin-left:464.35pt;margin-top:7.1pt;width:75.05pt;height:16.95pt;z-index:251649536" o:allowincell="f" filled="f" stroked="f" strokecolor="lime" strokeweight=".25pt">
            <v:textbox style="mso-next-textbox:#_x0000_s1026" inset="0,0,0,0">
              <w:txbxContent>
                <w:p w14:paraId="20D8119B" w14:textId="77777777" w:rsidR="00EC10AF" w:rsidRDefault="00EC10A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B37A5">
        <w:rPr>
          <w:rStyle w:val="default"/>
          <w:rFonts w:cs="FrankRuehl" w:hint="cs"/>
          <w:rtl/>
        </w:rPr>
        <w:t>בכללים אלה</w:t>
      </w:r>
      <w:r w:rsidR="00731689">
        <w:rPr>
          <w:rStyle w:val="default"/>
          <w:rFonts w:cs="FrankRuehl" w:hint="cs"/>
          <w:rtl/>
        </w:rPr>
        <w:t xml:space="preserve"> </w:t>
      </w:r>
      <w:r w:rsidR="00731689">
        <w:rPr>
          <w:rStyle w:val="default"/>
          <w:rFonts w:cs="FrankRuehl"/>
          <w:rtl/>
        </w:rPr>
        <w:t>–</w:t>
      </w:r>
    </w:p>
    <w:p w14:paraId="350E0A1D" w14:textId="77777777" w:rsidR="002D32AC" w:rsidRDefault="002D32AC" w:rsidP="00CB37A5">
      <w:pPr>
        <w:pStyle w:val="P00"/>
        <w:spacing w:before="72"/>
        <w:ind w:left="0" w:right="1134"/>
        <w:rPr>
          <w:rStyle w:val="default"/>
          <w:rFonts w:cs="FrankRuehl" w:hint="cs"/>
          <w:rtl/>
        </w:rPr>
      </w:pPr>
      <w:r>
        <w:rPr>
          <w:rStyle w:val="default"/>
          <w:rFonts w:cs="FrankRuehl" w:hint="cs"/>
          <w:rtl/>
        </w:rPr>
        <w:tab/>
        <w:t xml:space="preserve">"דוח שנתי" </w:t>
      </w:r>
      <w:r>
        <w:rPr>
          <w:rStyle w:val="default"/>
          <w:rFonts w:cs="FrankRuehl"/>
          <w:rtl/>
        </w:rPr>
        <w:t>–</w:t>
      </w:r>
      <w:r>
        <w:rPr>
          <w:rStyle w:val="default"/>
          <w:rFonts w:cs="FrankRuehl" w:hint="cs"/>
          <w:rtl/>
        </w:rPr>
        <w:t xml:space="preserve"> כמשמעותו בסעיף 54(א) לחוק;</w:t>
      </w:r>
    </w:p>
    <w:p w14:paraId="76A6DD4A" w14:textId="77777777" w:rsidR="002D32AC" w:rsidRDefault="002D32AC" w:rsidP="00CB37A5">
      <w:pPr>
        <w:pStyle w:val="P00"/>
        <w:spacing w:before="72"/>
        <w:ind w:left="0" w:right="1134"/>
        <w:rPr>
          <w:rStyle w:val="default"/>
          <w:rFonts w:cs="FrankRuehl" w:hint="cs"/>
          <w:rtl/>
        </w:rPr>
      </w:pPr>
      <w:r>
        <w:rPr>
          <w:rStyle w:val="default"/>
          <w:rFonts w:cs="FrankRuehl" w:hint="cs"/>
          <w:rtl/>
        </w:rPr>
        <w:tab/>
        <w:t xml:space="preserve">"המועד הקובע להקמה" </w:t>
      </w:r>
      <w:r>
        <w:rPr>
          <w:rStyle w:val="default"/>
          <w:rFonts w:cs="FrankRuehl"/>
          <w:rtl/>
        </w:rPr>
        <w:t>–</w:t>
      </w:r>
      <w:r>
        <w:rPr>
          <w:rStyle w:val="default"/>
          <w:rFonts w:cs="FrankRuehl" w:hint="cs"/>
          <w:rtl/>
        </w:rPr>
        <w:t xml:space="preserve"> מועד תחילת התקופות לביצוע שלבי ההקמה לפי סעיף 6ז(ב) לחוק;</w:t>
      </w:r>
    </w:p>
    <w:p w14:paraId="7A844927" w14:textId="77777777" w:rsidR="002D32AC" w:rsidRDefault="002D32AC" w:rsidP="00CB37A5">
      <w:pPr>
        <w:pStyle w:val="P00"/>
        <w:spacing w:before="72"/>
        <w:ind w:left="0" w:right="1134"/>
        <w:rPr>
          <w:rStyle w:val="default"/>
          <w:rFonts w:cs="FrankRuehl" w:hint="cs"/>
          <w:rtl/>
        </w:rPr>
      </w:pPr>
      <w:r>
        <w:rPr>
          <w:rStyle w:val="default"/>
          <w:rFonts w:cs="FrankRuehl" w:hint="cs"/>
          <w:rtl/>
        </w:rPr>
        <w:tab/>
        <w:t xml:space="preserve">"השנה הקובעת" </w:t>
      </w:r>
      <w:r>
        <w:rPr>
          <w:rStyle w:val="default"/>
          <w:rFonts w:cs="FrankRuehl"/>
          <w:rtl/>
        </w:rPr>
        <w:t>–</w:t>
      </w:r>
      <w:r>
        <w:rPr>
          <w:rStyle w:val="default"/>
          <w:rFonts w:cs="FrankRuehl" w:hint="cs"/>
          <w:rtl/>
        </w:rPr>
        <w:t xml:space="preserve"> השנה שהסתיימה לפני המועד הקובע להקמה;</w:t>
      </w:r>
    </w:p>
    <w:p w14:paraId="3FF76550" w14:textId="77777777" w:rsidR="002D32AC" w:rsidRDefault="002D32AC" w:rsidP="00CB37A5">
      <w:pPr>
        <w:pStyle w:val="P00"/>
        <w:spacing w:before="72"/>
        <w:ind w:left="0" w:right="1134"/>
        <w:rPr>
          <w:rStyle w:val="default"/>
          <w:rFonts w:cs="FrankRuehl" w:hint="cs"/>
          <w:rtl/>
        </w:rPr>
      </w:pPr>
      <w:r>
        <w:rPr>
          <w:rStyle w:val="default"/>
          <w:rFonts w:cs="FrankRuehl" w:hint="cs"/>
          <w:rtl/>
        </w:rPr>
        <w:tab/>
        <w:t xml:space="preserve">"חברות קבוצה" </w:t>
      </w:r>
      <w:r>
        <w:rPr>
          <w:rStyle w:val="default"/>
          <w:rFonts w:cs="FrankRuehl"/>
          <w:rtl/>
        </w:rPr>
        <w:t>–</w:t>
      </w:r>
      <w:r>
        <w:rPr>
          <w:rStyle w:val="default"/>
          <w:rFonts w:cs="FrankRuehl" w:hint="cs"/>
          <w:rtl/>
        </w:rPr>
        <w:t xml:space="preserve"> כמשמעותן בסעיף 6ג(ב) לחוק;</w:t>
      </w:r>
    </w:p>
    <w:p w14:paraId="10F6898E" w14:textId="77777777" w:rsidR="002D32AC" w:rsidRDefault="002D32AC" w:rsidP="00CB37A5">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14:paraId="5D07B7BE" w14:textId="77777777" w:rsidR="002D32AC" w:rsidRDefault="002D32AC" w:rsidP="00CB37A5">
      <w:pPr>
        <w:pStyle w:val="P00"/>
        <w:spacing w:before="72"/>
        <w:ind w:left="0" w:right="1134"/>
        <w:rPr>
          <w:rStyle w:val="default"/>
          <w:rFonts w:cs="FrankRuehl" w:hint="cs"/>
          <w:rtl/>
        </w:rPr>
      </w:pP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14:paraId="0C20E5D8" w14:textId="77777777" w:rsidR="002D32AC" w:rsidRDefault="002D32AC" w:rsidP="00CB37A5">
      <w:pPr>
        <w:pStyle w:val="P00"/>
        <w:spacing w:before="72"/>
        <w:ind w:left="0" w:right="1134"/>
        <w:rPr>
          <w:rStyle w:val="default"/>
          <w:rFonts w:cs="FrankRuehl" w:hint="cs"/>
          <w:rtl/>
        </w:rPr>
      </w:pPr>
      <w:r>
        <w:rPr>
          <w:rStyle w:val="default"/>
          <w:rFonts w:cs="FrankRuehl" w:hint="cs"/>
          <w:rtl/>
        </w:rPr>
        <w:tab/>
        <w:t xml:space="preserve">"כללי חישוב עלות" </w:t>
      </w:r>
      <w:r w:rsidR="00BA240C">
        <w:rPr>
          <w:rStyle w:val="default"/>
          <w:rFonts w:cs="FrankRuehl"/>
          <w:rtl/>
        </w:rPr>
        <w:t>–</w:t>
      </w:r>
      <w:r>
        <w:rPr>
          <w:rStyle w:val="default"/>
          <w:rFonts w:cs="FrankRuehl" w:hint="cs"/>
          <w:rtl/>
        </w:rPr>
        <w:t xml:space="preserve"> </w:t>
      </w:r>
      <w:r w:rsidR="00BA240C">
        <w:rPr>
          <w:rStyle w:val="default"/>
          <w:rFonts w:cs="FrankRuehl" w:hint="cs"/>
          <w:rtl/>
        </w:rPr>
        <w:t>כללי תאגידי מים וביוב (חישוב עלות שירותי מים וביוב והקמת מערכת מים או ביוב), התש"ע-2009;</w:t>
      </w:r>
    </w:p>
    <w:p w14:paraId="651E3F92" w14:textId="77777777" w:rsidR="00BA240C" w:rsidRDefault="00BA240C" w:rsidP="00CB37A5">
      <w:pPr>
        <w:pStyle w:val="P00"/>
        <w:spacing w:before="72"/>
        <w:ind w:left="0" w:right="1134"/>
        <w:rPr>
          <w:rStyle w:val="default"/>
          <w:rFonts w:cs="FrankRuehl" w:hint="cs"/>
          <w:rtl/>
        </w:rPr>
      </w:pPr>
      <w:r>
        <w:rPr>
          <w:rStyle w:val="default"/>
          <w:rFonts w:cs="FrankRuehl" w:hint="cs"/>
          <w:rtl/>
        </w:rPr>
        <w:tab/>
        <w:t xml:space="preserve">"מפקד הנכסים" </w:t>
      </w:r>
      <w:r>
        <w:rPr>
          <w:rStyle w:val="default"/>
          <w:rFonts w:cs="FrankRuehl"/>
          <w:rtl/>
        </w:rPr>
        <w:t>–</w:t>
      </w:r>
      <w:r>
        <w:rPr>
          <w:rStyle w:val="default"/>
          <w:rFonts w:cs="FrankRuehl" w:hint="cs"/>
          <w:rtl/>
        </w:rPr>
        <w:t xml:space="preserve"> מפקד נכסים המיועדים להעברה מאת הרשות המקומית לחברה, שאישר הממונה לפני יום כ"ד באב התשע"ג (31 ביולי 2013);</w:t>
      </w:r>
    </w:p>
    <w:p w14:paraId="5479B568" w14:textId="77777777" w:rsidR="00BA240C" w:rsidRDefault="00BA240C" w:rsidP="00CB37A5">
      <w:pPr>
        <w:pStyle w:val="P00"/>
        <w:spacing w:before="72"/>
        <w:ind w:left="0" w:right="1134"/>
        <w:rPr>
          <w:rStyle w:val="default"/>
          <w:rFonts w:cs="FrankRuehl" w:hint="cs"/>
          <w:rtl/>
        </w:rPr>
      </w:pPr>
      <w:r>
        <w:rPr>
          <w:rStyle w:val="default"/>
          <w:rFonts w:cs="FrankRuehl" w:hint="cs"/>
          <w:rtl/>
        </w:rPr>
        <w:tab/>
        <w:t xml:space="preserve">"נכסים המיועדים להעברה" </w:t>
      </w:r>
      <w:r w:rsidR="009812D0">
        <w:rPr>
          <w:rStyle w:val="default"/>
          <w:rFonts w:cs="FrankRuehl"/>
          <w:rtl/>
        </w:rPr>
        <w:t>–</w:t>
      </w:r>
      <w:r>
        <w:rPr>
          <w:rStyle w:val="default"/>
          <w:rFonts w:cs="FrankRuehl" w:hint="cs"/>
          <w:rtl/>
        </w:rPr>
        <w:t xml:space="preserve"> </w:t>
      </w:r>
      <w:r w:rsidR="009812D0">
        <w:rPr>
          <w:rStyle w:val="default"/>
          <w:rFonts w:cs="FrankRuehl" w:hint="cs"/>
          <w:rtl/>
        </w:rPr>
        <w:t xml:space="preserve">נכסים, זכויות וחובות המיועדים להעברה לחברה </w:t>
      </w:r>
      <w:r w:rsidR="007C4F37">
        <w:rPr>
          <w:rStyle w:val="default"/>
          <w:rFonts w:cs="FrankRuehl" w:hint="cs"/>
          <w:rtl/>
        </w:rPr>
        <w:t>אזורית לפי סעיפים 9 ו-10 לחוק;</w:t>
      </w:r>
    </w:p>
    <w:p w14:paraId="5C3129CD" w14:textId="77777777" w:rsidR="007C4F37" w:rsidRDefault="007C4F37" w:rsidP="007C4F37">
      <w:pPr>
        <w:pStyle w:val="P00"/>
        <w:spacing w:before="72"/>
        <w:ind w:left="0" w:right="1134"/>
        <w:rPr>
          <w:rStyle w:val="default"/>
          <w:rFonts w:cs="FrankRuehl" w:hint="cs"/>
          <w:rtl/>
        </w:rPr>
      </w:pPr>
      <w:r>
        <w:rPr>
          <w:rStyle w:val="default"/>
          <w:rFonts w:cs="FrankRuehl" w:hint="cs"/>
          <w:rtl/>
        </w:rPr>
        <w:tab/>
        <w:t xml:space="preserve">"פחת גבייה" ו"פחת מים" </w:t>
      </w:r>
      <w:r>
        <w:rPr>
          <w:rStyle w:val="default"/>
          <w:rFonts w:cs="FrankRuehl"/>
          <w:rtl/>
        </w:rPr>
        <w:t>–</w:t>
      </w:r>
      <w:r>
        <w:rPr>
          <w:rStyle w:val="default"/>
          <w:rFonts w:cs="FrankRuehl" w:hint="cs"/>
          <w:rtl/>
        </w:rPr>
        <w:t xml:space="preserve"> כהגדרתם בכללי חישוב עלות, ויראו, לעניין זה, רשות מקומית בלא חברה כחברה;</w:t>
      </w:r>
    </w:p>
    <w:p w14:paraId="651D8133" w14:textId="77777777" w:rsidR="007C4F37" w:rsidRDefault="007C4F37" w:rsidP="007C4F37">
      <w:pPr>
        <w:pStyle w:val="P00"/>
        <w:spacing w:before="72"/>
        <w:ind w:left="0" w:right="1134"/>
        <w:rPr>
          <w:rStyle w:val="default"/>
          <w:rFonts w:cs="FrankRuehl" w:hint="cs"/>
          <w:rtl/>
        </w:rPr>
      </w:pPr>
      <w:r>
        <w:rPr>
          <w:rStyle w:val="default"/>
          <w:rFonts w:cs="FrankRuehl" w:hint="cs"/>
          <w:rtl/>
        </w:rPr>
        <w:tab/>
        <w:t xml:space="preserve">"תכנית עסקית" </w:t>
      </w:r>
      <w:r>
        <w:rPr>
          <w:rStyle w:val="default"/>
          <w:rFonts w:cs="FrankRuehl"/>
          <w:rtl/>
        </w:rPr>
        <w:t>–</w:t>
      </w:r>
      <w:r>
        <w:rPr>
          <w:rStyle w:val="default"/>
          <w:rFonts w:cs="FrankRuehl" w:hint="cs"/>
          <w:rtl/>
        </w:rPr>
        <w:t xml:space="preserve"> תכנית חמש-שנתית לפעילות החברה, שהגישה חברה לממונה לפי הוראות שנתן לה ושהממונה אישר.</w:t>
      </w:r>
    </w:p>
    <w:p w14:paraId="37F278AA" w14:textId="77777777" w:rsidR="007C4F37" w:rsidRPr="007C4F37" w:rsidRDefault="007C4F37" w:rsidP="007C4F37">
      <w:pPr>
        <w:pStyle w:val="medium2-header"/>
        <w:keepLines w:val="0"/>
        <w:spacing w:before="72"/>
        <w:ind w:left="0" w:right="1134"/>
        <w:rPr>
          <w:rFonts w:cs="FrankRuehl" w:hint="cs"/>
          <w:noProof/>
          <w:sz w:val="20"/>
          <w:rtl/>
        </w:rPr>
      </w:pPr>
      <w:bookmarkStart w:id="2" w:name="med1"/>
      <w:bookmarkEnd w:id="2"/>
      <w:r w:rsidRPr="007C4F37">
        <w:rPr>
          <w:rFonts w:cs="FrankRuehl" w:hint="cs"/>
          <w:noProof/>
          <w:sz w:val="20"/>
          <w:rtl/>
        </w:rPr>
        <w:t>פרק שני: מידע ומסמכים</w:t>
      </w:r>
    </w:p>
    <w:p w14:paraId="6C0BE440" w14:textId="77777777" w:rsidR="000A51DD" w:rsidRDefault="000A51DD" w:rsidP="007C4F37">
      <w:pPr>
        <w:pStyle w:val="P00"/>
        <w:spacing w:before="72"/>
        <w:ind w:left="0" w:right="1134"/>
        <w:rPr>
          <w:rStyle w:val="default"/>
          <w:rFonts w:cs="FrankRuehl" w:hint="cs"/>
          <w:rtl/>
        </w:rPr>
      </w:pPr>
      <w:bookmarkStart w:id="3" w:name="Seif2"/>
      <w:bookmarkEnd w:id="3"/>
      <w:r>
        <w:rPr>
          <w:rFonts w:cs="Miriam"/>
          <w:lang w:val="he-IL"/>
        </w:rPr>
        <w:pict w14:anchorId="5E09D056">
          <v:rect id="_x0000_s1250" style="position:absolute;left:0;text-align:left;margin-left:464.35pt;margin-top:7.1pt;width:75.05pt;height:25.6pt;z-index:251650560" o:allowincell="f" filled="f" stroked="f" strokecolor="lime" strokeweight=".25pt">
            <v:textbox style="mso-next-textbox:#_x0000_s1250" inset="0,0,0,0">
              <w:txbxContent>
                <w:p w14:paraId="5254A929" w14:textId="77777777" w:rsidR="00EC10AF" w:rsidRDefault="007C4F37">
                  <w:pPr>
                    <w:spacing w:line="160" w:lineRule="exact"/>
                    <w:rPr>
                      <w:rFonts w:cs="Miriam" w:hint="cs"/>
                      <w:noProof/>
                      <w:sz w:val="18"/>
                      <w:szCs w:val="18"/>
                      <w:rtl/>
                    </w:rPr>
                  </w:pPr>
                  <w:r>
                    <w:rPr>
                      <w:rFonts w:cs="Miriam" w:hint="cs"/>
                      <w:sz w:val="18"/>
                      <w:szCs w:val="18"/>
                      <w:rtl/>
                    </w:rPr>
                    <w:t>העברת מידע ומסמכים בהקמת חברה אזורית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C4F37">
        <w:rPr>
          <w:rStyle w:val="default"/>
          <w:rFonts w:cs="FrankRuehl" w:hint="cs"/>
          <w:rtl/>
        </w:rPr>
        <w:t>(א)</w:t>
      </w:r>
      <w:r w:rsidR="007C4F37">
        <w:rPr>
          <w:rStyle w:val="default"/>
          <w:rFonts w:cs="FrankRuehl" w:hint="cs"/>
          <w:rtl/>
        </w:rPr>
        <w:tab/>
        <w:t>רשות מקומית בלא חברה המקימה חברה אזורית תעביר לממונה את כל אלה:</w:t>
      </w:r>
    </w:p>
    <w:p w14:paraId="1F406AEE" w14:textId="77777777" w:rsidR="007C4F37" w:rsidRDefault="007C4F37" w:rsidP="007C4F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בתוך 20 ימים מהמועד הקובע להקמה </w:t>
      </w:r>
      <w:r>
        <w:rPr>
          <w:rStyle w:val="default"/>
          <w:rFonts w:cs="FrankRuehl"/>
          <w:rtl/>
        </w:rPr>
        <w:t>–</w:t>
      </w:r>
    </w:p>
    <w:p w14:paraId="0552F3B9" w14:textId="77777777" w:rsidR="007C4F37" w:rsidRDefault="007C4F37" w:rsidP="007C4F3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מפקד נכסים ותחשיב של שווי הנכסים המיועדים להעברה;</w:t>
      </w:r>
    </w:p>
    <w:p w14:paraId="5A5CA9B7" w14:textId="77777777" w:rsidR="007C4F37" w:rsidRDefault="007C4F37" w:rsidP="007C4F3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פחת המים שלה בשנה הקובעת;</w:t>
      </w:r>
    </w:p>
    <w:p w14:paraId="2FE7C373" w14:textId="77777777" w:rsidR="007C4F37" w:rsidRDefault="007C4F37" w:rsidP="007C4F3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פחת הגבייה שלה בשנה הקובעת;</w:t>
      </w:r>
    </w:p>
    <w:p w14:paraId="6941D0D1" w14:textId="77777777" w:rsidR="007C4F37" w:rsidRDefault="007C4F37" w:rsidP="007C4F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בתוך 50 ימים מהמועד הקובע להקמה </w:t>
      </w:r>
      <w:r>
        <w:rPr>
          <w:rStyle w:val="default"/>
          <w:rFonts w:cs="FrankRuehl"/>
          <w:rtl/>
        </w:rPr>
        <w:t>–</w:t>
      </w:r>
      <w:r>
        <w:rPr>
          <w:rStyle w:val="default"/>
          <w:rFonts w:cs="FrankRuehl" w:hint="cs"/>
          <w:rtl/>
        </w:rPr>
        <w:t xml:space="preserve"> הסכם לפי סעיף 11(ב) לחוק בינה ובין החברה האזורית בדבר הנכסים, הזכויות והחובות שתעביר לחברה האזורית;</w:t>
      </w:r>
    </w:p>
    <w:p w14:paraId="1CF4CB0D" w14:textId="77777777" w:rsidR="007C4F37" w:rsidRDefault="007C4F37" w:rsidP="007C4F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בתוך 80 ימים מהמועד הקובע להקמה </w:t>
      </w:r>
      <w:r>
        <w:rPr>
          <w:rStyle w:val="default"/>
          <w:rFonts w:cs="FrankRuehl"/>
          <w:rtl/>
        </w:rPr>
        <w:t>–</w:t>
      </w:r>
    </w:p>
    <w:p w14:paraId="761E857D" w14:textId="77777777" w:rsidR="007C4F37" w:rsidRDefault="007C4F37" w:rsidP="007C4F3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תקנון החברה האזורית;</w:t>
      </w:r>
    </w:p>
    <w:p w14:paraId="0BF40F77" w14:textId="77777777" w:rsidR="007C4F37" w:rsidRDefault="007C4F37" w:rsidP="007C4F3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כל הסכם אחר בינה לבין החברה האזורית ובינה לבין חברות הקבוצה האחרות.</w:t>
      </w:r>
    </w:p>
    <w:p w14:paraId="2D01EFDE" w14:textId="77777777" w:rsidR="007C4F37" w:rsidRDefault="007C4F37" w:rsidP="007C4F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חברה המקימה </w:t>
      </w:r>
      <w:r w:rsidR="007A43DA">
        <w:rPr>
          <w:rStyle w:val="default"/>
          <w:rFonts w:cs="FrankRuehl" w:hint="cs"/>
          <w:rtl/>
        </w:rPr>
        <w:t>חברה אזורית תעביר לממונה את כל אלה:</w:t>
      </w:r>
    </w:p>
    <w:p w14:paraId="3E5BF4DC" w14:textId="77777777" w:rsidR="007A43DA" w:rsidRDefault="007A43DA" w:rsidP="007A43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בתוך 20 ימים מהמועד הקובע להקמה או עד ליום 30 באפריל, לפי המאוחר </w:t>
      </w:r>
      <w:r>
        <w:rPr>
          <w:rStyle w:val="default"/>
          <w:rFonts w:cs="FrankRuehl"/>
          <w:rtl/>
        </w:rPr>
        <w:t>–</w:t>
      </w:r>
      <w:r>
        <w:rPr>
          <w:rStyle w:val="default"/>
          <w:rFonts w:cs="FrankRuehl" w:hint="cs"/>
          <w:rtl/>
        </w:rPr>
        <w:t xml:space="preserve"> דוח שנתי לשנה הקובעת;</w:t>
      </w:r>
    </w:p>
    <w:p w14:paraId="68CD7443" w14:textId="77777777" w:rsidR="007A43DA" w:rsidRDefault="007A43DA" w:rsidP="007A43DA">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 xml:space="preserve">בתוך 50 ימים מהמועד הקובע להקמה </w:t>
      </w:r>
      <w:r>
        <w:rPr>
          <w:rStyle w:val="default"/>
          <w:rFonts w:cs="FrankRuehl"/>
          <w:rtl/>
        </w:rPr>
        <w:t>–</w:t>
      </w:r>
      <w:r>
        <w:rPr>
          <w:rStyle w:val="default"/>
          <w:rFonts w:cs="FrankRuehl" w:hint="cs"/>
          <w:rtl/>
        </w:rPr>
        <w:t xml:space="preserve"> הסכם מיזוג לפי סעיף 11(ב) לחוק בינה לבין החברה האזורית בדבר הנכסים, הזכויות והחובות שתעביר לחברה האזורית;</w:t>
      </w:r>
    </w:p>
    <w:p w14:paraId="2CF20E1A" w14:textId="77777777" w:rsidR="007A43DA" w:rsidRDefault="007A43DA" w:rsidP="007A43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בתוך 80 ימים מהמועד הקובע להקמה </w:t>
      </w:r>
      <w:r>
        <w:rPr>
          <w:rStyle w:val="default"/>
          <w:rFonts w:cs="FrankRuehl"/>
          <w:rtl/>
        </w:rPr>
        <w:t>–</w:t>
      </w:r>
    </w:p>
    <w:p w14:paraId="5D13B42A" w14:textId="77777777" w:rsidR="007A43DA" w:rsidRDefault="007A43DA" w:rsidP="0084615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תקנון החברה האזורית;</w:t>
      </w:r>
    </w:p>
    <w:p w14:paraId="57F39C5A" w14:textId="77777777" w:rsidR="007A43DA" w:rsidRDefault="007A43DA" w:rsidP="0084615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846159">
        <w:rPr>
          <w:rStyle w:val="default"/>
          <w:rFonts w:cs="FrankRuehl" w:hint="cs"/>
          <w:rtl/>
        </w:rPr>
        <w:t>הצעת מיזוג לפי סעיף 316 לחוק החברות;</w:t>
      </w:r>
    </w:p>
    <w:p w14:paraId="37C21485" w14:textId="77777777" w:rsidR="00846159" w:rsidRDefault="00846159" w:rsidP="0084615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כל הסכם אחר בינה לבין החברה האזורית ובינה לבין חברות הקבוצה האחרות.</w:t>
      </w:r>
    </w:p>
    <w:p w14:paraId="2B99F468" w14:textId="77777777" w:rsidR="00550567" w:rsidRDefault="00550567" w:rsidP="00846159">
      <w:pPr>
        <w:pStyle w:val="P00"/>
        <w:spacing w:before="72"/>
        <w:ind w:left="0" w:right="1134"/>
        <w:rPr>
          <w:rStyle w:val="default"/>
          <w:rFonts w:cs="FrankRuehl" w:hint="cs"/>
          <w:rtl/>
        </w:rPr>
      </w:pPr>
      <w:bookmarkStart w:id="4" w:name="Seif3"/>
      <w:bookmarkEnd w:id="4"/>
      <w:r>
        <w:rPr>
          <w:rFonts w:cs="Miriam"/>
          <w:lang w:val="he-IL"/>
        </w:rPr>
        <w:pict w14:anchorId="398A673B">
          <v:rect id="_x0000_s1357" style="position:absolute;left:0;text-align:left;margin-left:464.35pt;margin-top:7.1pt;width:75.05pt;height:24.9pt;z-index:251651584" o:allowincell="f" filled="f" stroked="f" strokecolor="lime" strokeweight=".25pt">
            <v:textbox style="mso-next-textbox:#_x0000_s1357" inset="0,0,0,0">
              <w:txbxContent>
                <w:p w14:paraId="2689768F" w14:textId="77777777" w:rsidR="00EC10AF" w:rsidRDefault="00846159" w:rsidP="00550567">
                  <w:pPr>
                    <w:spacing w:line="160" w:lineRule="exact"/>
                    <w:rPr>
                      <w:rFonts w:cs="Miriam" w:hint="cs"/>
                      <w:noProof/>
                      <w:sz w:val="18"/>
                      <w:szCs w:val="18"/>
                      <w:rtl/>
                    </w:rPr>
                  </w:pPr>
                  <w:r>
                    <w:rPr>
                      <w:rFonts w:cs="Miriam" w:hint="cs"/>
                      <w:sz w:val="18"/>
                      <w:szCs w:val="18"/>
                      <w:rtl/>
                    </w:rPr>
                    <w:t>העברת מידע ומסמכים בהצטרפות לחברה אזורית</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9B5EC6">
        <w:rPr>
          <w:rStyle w:val="default"/>
          <w:rFonts w:cs="FrankRuehl" w:hint="cs"/>
          <w:rtl/>
        </w:rPr>
        <w:t>(א)</w:t>
      </w:r>
      <w:r w:rsidR="009B5EC6">
        <w:rPr>
          <w:rStyle w:val="default"/>
          <w:rFonts w:cs="FrankRuehl" w:hint="cs"/>
          <w:rtl/>
        </w:rPr>
        <w:tab/>
      </w:r>
      <w:r w:rsidR="00846159">
        <w:rPr>
          <w:rStyle w:val="default"/>
          <w:rFonts w:cs="FrankRuehl" w:hint="cs"/>
          <w:rtl/>
        </w:rPr>
        <w:t>רשות מקומית בלא חברה המצטרפת לחברה אזורית תעביר לממונה את המסמכים המפורטים בסעיף 2(א) באותם מועדים, למעט תקנון החברה האזורית.</w:t>
      </w:r>
    </w:p>
    <w:p w14:paraId="4C41F533" w14:textId="77777777" w:rsidR="00846159" w:rsidRDefault="00846159" w:rsidP="008461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המצטרפת לחברה אזורית תעביר לממונה את המסמכים המפורטים בסעיף 2(ב) באותם מועדים, למעט תקנון החברה האזורית.</w:t>
      </w:r>
    </w:p>
    <w:p w14:paraId="196880F1" w14:textId="77777777" w:rsidR="00846159" w:rsidRDefault="00846159" w:rsidP="008461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אזורית שחברה בקבוצה מצטרפת אליה תעביר לממונה את כל אלה:</w:t>
      </w:r>
    </w:p>
    <w:p w14:paraId="5927681A" w14:textId="77777777" w:rsidR="00846159" w:rsidRDefault="00846159" w:rsidP="008461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בתוך 20 ימים מהמועד הקובע להקמה של חברת הקבוצה המצטרפת או עד יום 30 באפריל, לפי המאוחר </w:t>
      </w:r>
      <w:r>
        <w:rPr>
          <w:rStyle w:val="default"/>
          <w:rFonts w:cs="FrankRuehl"/>
          <w:rtl/>
        </w:rPr>
        <w:t>–</w:t>
      </w:r>
      <w:r>
        <w:rPr>
          <w:rStyle w:val="default"/>
          <w:rFonts w:cs="FrankRuehl" w:hint="cs"/>
          <w:rtl/>
        </w:rPr>
        <w:t xml:space="preserve"> דוח שנתי לשנה הקובעת; סעיף קטן זה לא יחול על חברה אזורית שהחלה לפעול לאחר תום השנה הקובעת;</w:t>
      </w:r>
    </w:p>
    <w:p w14:paraId="57D1A362" w14:textId="77777777" w:rsidR="00846159" w:rsidRDefault="00846159" w:rsidP="008461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בתוך 80 ימים מהמועד הקובע להקמה של חברת הקבוצה המצטרפת </w:t>
      </w:r>
      <w:r>
        <w:rPr>
          <w:rStyle w:val="default"/>
          <w:rFonts w:cs="FrankRuehl"/>
          <w:rtl/>
        </w:rPr>
        <w:t>–</w:t>
      </w:r>
      <w:r>
        <w:rPr>
          <w:rStyle w:val="default"/>
          <w:rFonts w:cs="FrankRuehl" w:hint="cs"/>
          <w:rtl/>
        </w:rPr>
        <w:t xml:space="preserve"> תיקונים בתקנונה, אם יש.</w:t>
      </w:r>
    </w:p>
    <w:p w14:paraId="2075BCB2" w14:textId="77777777" w:rsidR="00550567" w:rsidRDefault="00550567" w:rsidP="00846159">
      <w:pPr>
        <w:pStyle w:val="P00"/>
        <w:spacing w:before="72"/>
        <w:ind w:left="0" w:right="1134"/>
        <w:rPr>
          <w:rStyle w:val="default"/>
          <w:rFonts w:cs="FrankRuehl" w:hint="cs"/>
          <w:rtl/>
        </w:rPr>
      </w:pPr>
      <w:bookmarkStart w:id="5" w:name="Seif4"/>
      <w:bookmarkEnd w:id="5"/>
      <w:r>
        <w:rPr>
          <w:rFonts w:cs="Miriam"/>
          <w:lang w:val="he-IL"/>
        </w:rPr>
        <w:pict w14:anchorId="0DA7232B">
          <v:rect id="_x0000_s1358" style="position:absolute;left:0;text-align:left;margin-left:467.1pt;margin-top:7.1pt;width:72.3pt;height:23.65pt;z-index:251652608" o:allowincell="f" filled="f" stroked="f" strokecolor="lime" strokeweight=".25pt">
            <v:textbox style="mso-next-textbox:#_x0000_s1358" inset="0,0,0,0">
              <w:txbxContent>
                <w:p w14:paraId="365F2858" w14:textId="77777777" w:rsidR="00EC10AF" w:rsidRDefault="00846159" w:rsidP="00550567">
                  <w:pPr>
                    <w:spacing w:line="160" w:lineRule="exact"/>
                    <w:rPr>
                      <w:rFonts w:cs="Miriam" w:hint="cs"/>
                      <w:noProof/>
                      <w:sz w:val="18"/>
                      <w:szCs w:val="18"/>
                      <w:rtl/>
                    </w:rPr>
                  </w:pPr>
                  <w:r>
                    <w:rPr>
                      <w:rFonts w:cs="Miriam" w:hint="cs"/>
                      <w:sz w:val="18"/>
                      <w:szCs w:val="18"/>
                      <w:rtl/>
                    </w:rPr>
                    <w:t>העברת מידע ומסמכים לפי דרישת הממונה</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846159">
        <w:rPr>
          <w:rStyle w:val="default"/>
          <w:rFonts w:cs="FrankRuehl" w:hint="cs"/>
          <w:rtl/>
        </w:rPr>
        <w:t>סבר הממונה, לאחר המועד הקובע להקמה, כי דרושים לו מסמכים נוספים לצורך בחינת אישור הקמה של חברה אזורית או הצטרפות אליה, רשאי הוא להורות לרשות מקומית בלא חברה, לחברה, לרשויות המקומיות המחזיקות במניותיה ולחברה האזורית להעבירם לעיונו, לבדיקתו או לאישורו, בתוך תקופה שיורה.</w:t>
      </w:r>
    </w:p>
    <w:p w14:paraId="5FD4C730" w14:textId="77777777" w:rsidR="00846159" w:rsidRPr="00846159" w:rsidRDefault="00846159" w:rsidP="00846159">
      <w:pPr>
        <w:pStyle w:val="medium2-header"/>
        <w:keepLines w:val="0"/>
        <w:spacing w:before="72"/>
        <w:ind w:left="0" w:right="1134"/>
        <w:rPr>
          <w:rFonts w:cs="FrankRuehl" w:hint="cs"/>
          <w:noProof/>
          <w:sz w:val="20"/>
          <w:rtl/>
        </w:rPr>
      </w:pPr>
      <w:bookmarkStart w:id="6" w:name="med2"/>
      <w:bookmarkEnd w:id="6"/>
      <w:r w:rsidRPr="00846159">
        <w:rPr>
          <w:rFonts w:cs="FrankRuehl" w:hint="cs"/>
          <w:noProof/>
          <w:sz w:val="20"/>
          <w:rtl/>
        </w:rPr>
        <w:t>פרק שלישי: חלוקת הבעלות בחברה אזורית</w:t>
      </w:r>
    </w:p>
    <w:p w14:paraId="00EA6411" w14:textId="77777777" w:rsidR="00550567" w:rsidRDefault="00550567" w:rsidP="00846159">
      <w:pPr>
        <w:pStyle w:val="P00"/>
        <w:spacing w:before="72"/>
        <w:ind w:left="0" w:right="1134"/>
        <w:rPr>
          <w:rStyle w:val="default"/>
          <w:rFonts w:cs="FrankRuehl" w:hint="cs"/>
          <w:rtl/>
        </w:rPr>
      </w:pPr>
      <w:bookmarkStart w:id="7" w:name="Seif5"/>
      <w:bookmarkEnd w:id="7"/>
      <w:r>
        <w:rPr>
          <w:rFonts w:cs="Miriam"/>
          <w:lang w:val="he-IL"/>
        </w:rPr>
        <w:pict w14:anchorId="5FFCEF34">
          <v:rect id="_x0000_s1359" style="position:absolute;left:0;text-align:left;margin-left:464.35pt;margin-top:7.1pt;width:75.05pt;height:10pt;z-index:251653632" o:allowincell="f" filled="f" stroked="f" strokecolor="lime" strokeweight=".25pt">
            <v:textbox style="mso-next-textbox:#_x0000_s1359" inset="0,0,0,0">
              <w:txbxContent>
                <w:p w14:paraId="51777861" w14:textId="77777777" w:rsidR="00EC10AF" w:rsidRDefault="00846159" w:rsidP="00550567">
                  <w:pPr>
                    <w:spacing w:line="160" w:lineRule="exact"/>
                    <w:rPr>
                      <w:rFonts w:cs="Miriam" w:hint="cs"/>
                      <w:noProof/>
                      <w:sz w:val="18"/>
                      <w:szCs w:val="18"/>
                      <w:rtl/>
                    </w:rPr>
                  </w:pPr>
                  <w:r>
                    <w:rPr>
                      <w:rFonts w:cs="Miriam" w:hint="cs"/>
                      <w:sz w:val="18"/>
                      <w:szCs w:val="18"/>
                      <w:rtl/>
                    </w:rPr>
                    <w:t>הגדרות</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846159">
        <w:rPr>
          <w:rStyle w:val="default"/>
          <w:rFonts w:cs="FrankRuehl" w:hint="cs"/>
          <w:rtl/>
        </w:rPr>
        <w:t xml:space="preserve">בפרק זה </w:t>
      </w:r>
      <w:r w:rsidR="00846159">
        <w:rPr>
          <w:rStyle w:val="default"/>
          <w:rFonts w:cs="FrankRuehl"/>
          <w:rtl/>
        </w:rPr>
        <w:t>–</w:t>
      </w:r>
    </w:p>
    <w:p w14:paraId="3B0D9BAB" w14:textId="77777777" w:rsidR="00846159" w:rsidRPr="00846159" w:rsidRDefault="00846159" w:rsidP="00846159">
      <w:pPr>
        <w:pStyle w:val="P00"/>
        <w:spacing w:before="72"/>
        <w:ind w:left="0" w:right="1134"/>
        <w:rPr>
          <w:rStyle w:val="default"/>
          <w:rFonts w:cs="FrankRuehl" w:hint="cs"/>
          <w:sz w:val="20"/>
          <w:rtl/>
        </w:rPr>
      </w:pPr>
      <w:r w:rsidRPr="00846159">
        <w:rPr>
          <w:rStyle w:val="default"/>
          <w:rFonts w:cs="FrankRuehl" w:hint="cs"/>
          <w:sz w:val="20"/>
          <w:rtl/>
        </w:rPr>
        <w:tab/>
        <w:t xml:space="preserve">"הון עצמי" </w:t>
      </w:r>
      <w:r w:rsidRPr="00846159">
        <w:rPr>
          <w:rStyle w:val="default"/>
          <w:rFonts w:cs="FrankRuehl"/>
          <w:sz w:val="20"/>
          <w:rtl/>
        </w:rPr>
        <w:t>–</w:t>
      </w:r>
      <w:r w:rsidRPr="00846159">
        <w:rPr>
          <w:rStyle w:val="default"/>
          <w:rFonts w:cs="FrankRuehl" w:hint="cs"/>
          <w:sz w:val="20"/>
          <w:rtl/>
        </w:rPr>
        <w:t xml:space="preserve"> כמשמעותו בסעיף 6;</w:t>
      </w:r>
    </w:p>
    <w:p w14:paraId="1419D182" w14:textId="77777777" w:rsidR="00846159" w:rsidRPr="00846159" w:rsidRDefault="00846159" w:rsidP="00846159">
      <w:pPr>
        <w:pStyle w:val="P00"/>
        <w:spacing w:before="72"/>
        <w:ind w:left="0" w:right="1134"/>
        <w:rPr>
          <w:rStyle w:val="default"/>
          <w:rFonts w:cs="FrankRuehl" w:hint="cs"/>
          <w:sz w:val="20"/>
          <w:rtl/>
        </w:rPr>
      </w:pPr>
      <w:r w:rsidRPr="00846159">
        <w:rPr>
          <w:rStyle w:val="default"/>
          <w:rFonts w:cs="FrankRuehl" w:hint="cs"/>
          <w:sz w:val="20"/>
          <w:rtl/>
        </w:rPr>
        <w:tab/>
        <w:t xml:space="preserve">"הכנסה שנתית מתוקננת" </w:t>
      </w:r>
      <w:r w:rsidRPr="00846159">
        <w:rPr>
          <w:rStyle w:val="default"/>
          <w:rFonts w:cs="FrankRuehl"/>
          <w:sz w:val="20"/>
          <w:rtl/>
        </w:rPr>
        <w:t>–</w:t>
      </w:r>
      <w:r w:rsidRPr="00846159">
        <w:rPr>
          <w:rStyle w:val="default"/>
          <w:rFonts w:cs="FrankRuehl" w:hint="cs"/>
          <w:sz w:val="20"/>
          <w:rtl/>
        </w:rPr>
        <w:t xml:space="preserve"> כמשמעותה בסעיף 7;</w:t>
      </w:r>
    </w:p>
    <w:p w14:paraId="3D8713C3" w14:textId="77777777" w:rsidR="00846159" w:rsidRDefault="006B7F9D" w:rsidP="006B7F9D">
      <w:pPr>
        <w:pStyle w:val="P00"/>
        <w:spacing w:before="72"/>
        <w:ind w:left="0" w:right="1134"/>
        <w:rPr>
          <w:rStyle w:val="default"/>
          <w:rFonts w:cs="FrankRuehl" w:hint="cs"/>
          <w:sz w:val="20"/>
          <w:rtl/>
        </w:rPr>
      </w:pPr>
      <w:r>
        <w:rPr>
          <w:rFonts w:cs="FrankRuehl" w:hint="cs"/>
          <w:rtl/>
          <w:lang w:eastAsia="en-US"/>
        </w:rPr>
        <w:pict w14:anchorId="05717BC8">
          <v:shapetype id="_x0000_t202" coordsize="21600,21600" o:spt="202" path="m,l,21600r21600,l21600,xe">
            <v:stroke joinstyle="miter"/>
            <v:path gradientshapeok="t" o:connecttype="rect"/>
          </v:shapetype>
          <v:shape id="_x0000_s1386" type="#_x0000_t202" style="position:absolute;left:0;text-align:left;margin-left:467.1pt;margin-top:7.1pt;width:75.25pt;height:11.95pt;z-index:251663872" filled="f" stroked="f">
            <v:textbox inset="1mm,0,1mm,0">
              <w:txbxContent>
                <w:p w14:paraId="6635F78A" w14:textId="77777777" w:rsidR="006B7F9D" w:rsidRDefault="006B7F9D" w:rsidP="006B7F9D">
                  <w:pPr>
                    <w:spacing w:line="160" w:lineRule="exact"/>
                    <w:rPr>
                      <w:rFonts w:cs="Miriam" w:hint="cs"/>
                      <w:noProof/>
                      <w:sz w:val="18"/>
                      <w:szCs w:val="18"/>
                      <w:rtl/>
                    </w:rPr>
                  </w:pPr>
                  <w:r>
                    <w:rPr>
                      <w:rFonts w:cs="Miriam" w:hint="cs"/>
                      <w:sz w:val="18"/>
                      <w:szCs w:val="18"/>
                      <w:rtl/>
                    </w:rPr>
                    <w:t>כללים תשע"ה-2015</w:t>
                  </w:r>
                </w:p>
              </w:txbxContent>
            </v:textbox>
          </v:shape>
        </w:pict>
      </w:r>
      <w:r w:rsidR="00846159" w:rsidRPr="00846159">
        <w:rPr>
          <w:rStyle w:val="default"/>
          <w:rFonts w:cs="FrankRuehl" w:hint="cs"/>
          <w:sz w:val="20"/>
          <w:rtl/>
        </w:rPr>
        <w:tab/>
        <w:t xml:space="preserve">"הפחתה </w:t>
      </w:r>
      <w:r>
        <w:rPr>
          <w:rStyle w:val="default"/>
          <w:rFonts w:cs="FrankRuehl" w:hint="cs"/>
          <w:sz w:val="20"/>
          <w:rtl/>
        </w:rPr>
        <w:t>בשל דמי הקמה</w:t>
      </w:r>
      <w:r w:rsidR="00846159" w:rsidRPr="00846159">
        <w:rPr>
          <w:rStyle w:val="default"/>
          <w:rFonts w:cs="FrankRuehl" w:hint="cs"/>
          <w:sz w:val="20"/>
          <w:rtl/>
        </w:rPr>
        <w:t xml:space="preserve"> למ"ק", "פחת ערך כינון של מערכת ביוב למ"ק", "פחת ערך כינון של מערכת מים למ"ק", "תשואה מוכר</w:t>
      </w:r>
      <w:r>
        <w:rPr>
          <w:rStyle w:val="default"/>
          <w:rFonts w:cs="FrankRuehl" w:hint="cs"/>
          <w:sz w:val="20"/>
          <w:rtl/>
        </w:rPr>
        <w:t>ת על הון עצמי של מערכת מים למ"ק</w:t>
      </w:r>
      <w:r w:rsidR="00846159" w:rsidRPr="00846159">
        <w:rPr>
          <w:rStyle w:val="default"/>
          <w:rFonts w:cs="FrankRuehl" w:hint="cs"/>
          <w:sz w:val="20"/>
          <w:rtl/>
        </w:rPr>
        <w:t>", "תשואה מוכ</w:t>
      </w:r>
      <w:r>
        <w:rPr>
          <w:rStyle w:val="default"/>
          <w:rFonts w:cs="FrankRuehl" w:hint="cs"/>
          <w:sz w:val="20"/>
          <w:rtl/>
        </w:rPr>
        <w:t>רת על הון זר של מערכת ביוב למ"ק</w:t>
      </w:r>
      <w:r w:rsidR="00846159" w:rsidRPr="00846159">
        <w:rPr>
          <w:rStyle w:val="default"/>
          <w:rFonts w:cs="FrankRuehl" w:hint="cs"/>
          <w:sz w:val="20"/>
          <w:rtl/>
        </w:rPr>
        <w:t>" ו"תשואה מוכרת</w:t>
      </w:r>
      <w:r>
        <w:rPr>
          <w:rStyle w:val="default"/>
          <w:rFonts w:cs="FrankRuehl" w:hint="cs"/>
          <w:sz w:val="20"/>
          <w:rtl/>
        </w:rPr>
        <w:t xml:space="preserve"> על הון עצמי של מערכת ביוב למ"ק</w:t>
      </w:r>
      <w:r w:rsidR="00846159" w:rsidRPr="00846159">
        <w:rPr>
          <w:rStyle w:val="default"/>
          <w:rFonts w:cs="FrankRuehl" w:hint="cs"/>
          <w:sz w:val="20"/>
          <w:rtl/>
        </w:rPr>
        <w:t xml:space="preserve">" </w:t>
      </w:r>
      <w:r w:rsidR="00846159" w:rsidRPr="00846159">
        <w:rPr>
          <w:rStyle w:val="default"/>
          <w:rFonts w:cs="FrankRuehl"/>
          <w:sz w:val="20"/>
          <w:rtl/>
        </w:rPr>
        <w:t>–</w:t>
      </w:r>
      <w:r w:rsidR="00846159" w:rsidRPr="00846159">
        <w:rPr>
          <w:rStyle w:val="default"/>
          <w:rFonts w:cs="FrankRuehl" w:hint="cs"/>
          <w:sz w:val="20"/>
          <w:rtl/>
        </w:rPr>
        <w:t xml:space="preserve"> כהגדרתם בכללי חישוב עלות, ויראו, לעניין זה, רשות מקומית בלא חברה כחברה הפועלת בתחומה;</w:t>
      </w:r>
    </w:p>
    <w:p w14:paraId="020DE7C6" w14:textId="77777777" w:rsidR="006B7F9D" w:rsidRPr="006B7F9D" w:rsidRDefault="006B7F9D" w:rsidP="006B7F9D">
      <w:pPr>
        <w:pStyle w:val="P00"/>
        <w:spacing w:before="0"/>
        <w:ind w:left="0" w:right="1134"/>
        <w:rPr>
          <w:rStyle w:val="default"/>
          <w:rFonts w:cs="FrankRuehl" w:hint="cs"/>
          <w:vanish/>
          <w:color w:val="FF0000"/>
          <w:sz w:val="20"/>
          <w:szCs w:val="20"/>
          <w:shd w:val="clear" w:color="auto" w:fill="FFFF99"/>
          <w:rtl/>
        </w:rPr>
      </w:pPr>
      <w:bookmarkStart w:id="8" w:name="Rov19"/>
      <w:r w:rsidRPr="006B7F9D">
        <w:rPr>
          <w:rStyle w:val="default"/>
          <w:rFonts w:cs="FrankRuehl" w:hint="cs"/>
          <w:vanish/>
          <w:color w:val="FF0000"/>
          <w:sz w:val="20"/>
          <w:szCs w:val="20"/>
          <w:shd w:val="clear" w:color="auto" w:fill="FFFF99"/>
          <w:rtl/>
        </w:rPr>
        <w:t>מיום 1.5.2015</w:t>
      </w:r>
    </w:p>
    <w:p w14:paraId="6A8158CA" w14:textId="77777777" w:rsidR="006B7F9D" w:rsidRPr="006B7F9D" w:rsidRDefault="006B7F9D" w:rsidP="006B7F9D">
      <w:pPr>
        <w:pStyle w:val="P00"/>
        <w:spacing w:before="0"/>
        <w:ind w:left="0" w:right="1134"/>
        <w:rPr>
          <w:rStyle w:val="default"/>
          <w:rFonts w:cs="FrankRuehl" w:hint="cs"/>
          <w:vanish/>
          <w:sz w:val="20"/>
          <w:szCs w:val="20"/>
          <w:shd w:val="clear" w:color="auto" w:fill="FFFF99"/>
          <w:rtl/>
        </w:rPr>
      </w:pPr>
      <w:r w:rsidRPr="006B7F9D">
        <w:rPr>
          <w:rStyle w:val="default"/>
          <w:rFonts w:cs="FrankRuehl" w:hint="cs"/>
          <w:b/>
          <w:bCs/>
          <w:vanish/>
          <w:sz w:val="20"/>
          <w:szCs w:val="20"/>
          <w:shd w:val="clear" w:color="auto" w:fill="FFFF99"/>
          <w:rtl/>
        </w:rPr>
        <w:t>כללים תשע"ה-2015</w:t>
      </w:r>
    </w:p>
    <w:p w14:paraId="7F38309F" w14:textId="77777777" w:rsidR="006B7F9D" w:rsidRPr="006B7F9D" w:rsidRDefault="006B7F9D" w:rsidP="006B7F9D">
      <w:pPr>
        <w:pStyle w:val="P00"/>
        <w:spacing w:before="0"/>
        <w:ind w:left="0" w:right="1134"/>
        <w:rPr>
          <w:rStyle w:val="default"/>
          <w:rFonts w:cs="FrankRuehl" w:hint="cs"/>
          <w:vanish/>
          <w:sz w:val="20"/>
          <w:szCs w:val="20"/>
          <w:shd w:val="clear" w:color="auto" w:fill="FFFF99"/>
          <w:rtl/>
        </w:rPr>
      </w:pPr>
      <w:hyperlink r:id="rId7" w:history="1">
        <w:r w:rsidRPr="006B7F9D">
          <w:rPr>
            <w:rStyle w:val="Hyperlink"/>
            <w:rFonts w:cs="FrankRuehl" w:hint="cs"/>
            <w:vanish/>
            <w:szCs w:val="20"/>
            <w:shd w:val="clear" w:color="auto" w:fill="FFFF99"/>
            <w:rtl/>
          </w:rPr>
          <w:t>ק"ת תשע"ה מס' 7505</w:t>
        </w:r>
      </w:hyperlink>
      <w:r w:rsidRPr="006B7F9D">
        <w:rPr>
          <w:rStyle w:val="default"/>
          <w:rFonts w:cs="FrankRuehl" w:hint="cs"/>
          <w:vanish/>
          <w:sz w:val="20"/>
          <w:szCs w:val="20"/>
          <w:shd w:val="clear" w:color="auto" w:fill="FFFF99"/>
          <w:rtl/>
        </w:rPr>
        <w:t xml:space="preserve"> מיום 31.3.2015 עמ' 1134</w:t>
      </w:r>
    </w:p>
    <w:p w14:paraId="29AE428B" w14:textId="77777777" w:rsidR="006B7F9D" w:rsidRPr="006B7F9D" w:rsidRDefault="006B7F9D" w:rsidP="006B7F9D">
      <w:pPr>
        <w:pStyle w:val="P00"/>
        <w:spacing w:before="0"/>
        <w:ind w:left="0" w:right="1134"/>
        <w:rPr>
          <w:rStyle w:val="default"/>
          <w:rFonts w:cs="FrankRuehl" w:hint="cs"/>
          <w:vanish/>
          <w:sz w:val="20"/>
          <w:szCs w:val="20"/>
          <w:shd w:val="clear" w:color="auto" w:fill="FFFF99"/>
          <w:rtl/>
        </w:rPr>
      </w:pPr>
      <w:r w:rsidRPr="006B7F9D">
        <w:rPr>
          <w:rStyle w:val="default"/>
          <w:rFonts w:cs="FrankRuehl" w:hint="cs"/>
          <w:b/>
          <w:bCs/>
          <w:vanish/>
          <w:sz w:val="20"/>
          <w:szCs w:val="20"/>
          <w:shd w:val="clear" w:color="auto" w:fill="FFFF99"/>
          <w:rtl/>
        </w:rPr>
        <w:t>החלפת הגדרת ""הפחתה מוכרת לנכס ותיק למ"ק", "פחת ערך כינון של מערכת ביוב למ"ק", "פחת ערך כינון של מערכת מים למ"ק", "תשואה מוכרת על הון עצמי של מערכת מים למ"ק לגבי נכס ותיק", "תשואה מוכרת על הון זר של מערכת ביוב למ"ק לגבי נכס ותיק" ו"תשואה מוכרת על הון עצמי של מערכת ביוב למ"ק לגבי נכס ותיק"" בהגדרת ""הפחתה בשל דמי הקמה למ"ק", "פחת ערך כינון של מערכת ביוב למ"ק", "פחת ערך כינון של מערכת מים למ"ק", "תשואה מוכרת על הון עצמי של מערכת מים למ"ק", "תשואה מוכרת על הון זר של מערכת ביוב למ"ק" ו"תשואה מוכרת על הון עצמי של מערכת ביוב למ"ק""</w:t>
      </w:r>
    </w:p>
    <w:p w14:paraId="1D3B8EDD" w14:textId="77777777" w:rsidR="006B7F9D" w:rsidRPr="006B7F9D" w:rsidRDefault="006B7F9D" w:rsidP="006B7F9D">
      <w:pPr>
        <w:pStyle w:val="P00"/>
        <w:ind w:left="0" w:right="1134"/>
        <w:rPr>
          <w:rStyle w:val="default"/>
          <w:rFonts w:cs="FrankRuehl" w:hint="cs"/>
          <w:vanish/>
          <w:sz w:val="20"/>
          <w:szCs w:val="20"/>
          <w:shd w:val="clear" w:color="auto" w:fill="FFFF99"/>
          <w:rtl/>
        </w:rPr>
      </w:pPr>
      <w:r w:rsidRPr="006B7F9D">
        <w:rPr>
          <w:rStyle w:val="default"/>
          <w:rFonts w:cs="FrankRuehl" w:hint="cs"/>
          <w:vanish/>
          <w:sz w:val="20"/>
          <w:szCs w:val="20"/>
          <w:shd w:val="clear" w:color="auto" w:fill="FFFF99"/>
          <w:rtl/>
        </w:rPr>
        <w:t>הנוסח הקודם:</w:t>
      </w:r>
    </w:p>
    <w:p w14:paraId="10E468E3" w14:textId="77777777" w:rsidR="006B7F9D" w:rsidRPr="006B7F9D" w:rsidRDefault="006B7F9D" w:rsidP="006B7F9D">
      <w:pPr>
        <w:pStyle w:val="P00"/>
        <w:spacing w:before="0"/>
        <w:ind w:left="0" w:right="1134"/>
        <w:rPr>
          <w:rStyle w:val="default"/>
          <w:rFonts w:cs="FrankRuehl" w:hint="cs"/>
          <w:strike/>
          <w:sz w:val="2"/>
          <w:szCs w:val="2"/>
          <w:rtl/>
        </w:rPr>
      </w:pPr>
      <w:r w:rsidRPr="006B7F9D">
        <w:rPr>
          <w:rStyle w:val="default"/>
          <w:rFonts w:cs="FrankRuehl" w:hint="cs"/>
          <w:vanish/>
          <w:sz w:val="22"/>
          <w:szCs w:val="22"/>
          <w:shd w:val="clear" w:color="auto" w:fill="FFFF99"/>
          <w:rtl/>
        </w:rPr>
        <w:tab/>
      </w:r>
      <w:r w:rsidRPr="006B7F9D">
        <w:rPr>
          <w:rStyle w:val="default"/>
          <w:rFonts w:cs="FrankRuehl" w:hint="cs"/>
          <w:strike/>
          <w:vanish/>
          <w:sz w:val="22"/>
          <w:szCs w:val="22"/>
          <w:shd w:val="clear" w:color="auto" w:fill="FFFF99"/>
          <w:rtl/>
        </w:rPr>
        <w:t xml:space="preserve">"הפחתה מוכרת לנכס ותיק למ"ק", "פחת ערך כינון של מערכת ביוב למ"ק", "פחת ערך כינון של מערכת מים למ"ק", "תשואה מוכרת על הון עצמי של מערכת מים למ"ק לגבי נכס ותיק", "תשואה מוכרת על הון זר של מערכת ביוב למ"ק לגבי נכס ותיק" ו"תשואה מוכרת על הון עצמי של מערכת ביוב למ"ק לגבי נכס ותיק" </w:t>
      </w:r>
      <w:r w:rsidRPr="006B7F9D">
        <w:rPr>
          <w:rStyle w:val="default"/>
          <w:rFonts w:cs="FrankRuehl"/>
          <w:strike/>
          <w:vanish/>
          <w:sz w:val="22"/>
          <w:szCs w:val="22"/>
          <w:shd w:val="clear" w:color="auto" w:fill="FFFF99"/>
          <w:rtl/>
        </w:rPr>
        <w:t>–</w:t>
      </w:r>
      <w:r w:rsidRPr="006B7F9D">
        <w:rPr>
          <w:rStyle w:val="default"/>
          <w:rFonts w:cs="FrankRuehl" w:hint="cs"/>
          <w:strike/>
          <w:vanish/>
          <w:sz w:val="22"/>
          <w:szCs w:val="22"/>
          <w:shd w:val="clear" w:color="auto" w:fill="FFFF99"/>
          <w:rtl/>
        </w:rPr>
        <w:t xml:space="preserve"> כהגדרתם בכללי חישוב עלות, ויראו, לעניין זה, רשות מקומית בלא חברה כחברה הפועלת בתחומה;</w:t>
      </w:r>
      <w:bookmarkEnd w:id="8"/>
    </w:p>
    <w:p w14:paraId="25989393" w14:textId="77777777" w:rsidR="00846159" w:rsidRDefault="00846159" w:rsidP="00846159">
      <w:pPr>
        <w:pStyle w:val="P00"/>
        <w:spacing w:before="72"/>
        <w:ind w:left="0" w:right="1134"/>
        <w:rPr>
          <w:rStyle w:val="default"/>
          <w:rFonts w:cs="FrankRuehl" w:hint="cs"/>
          <w:sz w:val="20"/>
          <w:rtl/>
        </w:rPr>
      </w:pPr>
      <w:r w:rsidRPr="00846159">
        <w:rPr>
          <w:rStyle w:val="default"/>
          <w:rFonts w:cs="FrankRuehl" w:hint="cs"/>
          <w:sz w:val="20"/>
          <w:rtl/>
        </w:rPr>
        <w:tab/>
        <w:t>"</w:t>
      </w:r>
      <w:r>
        <w:rPr>
          <w:rStyle w:val="default"/>
          <w:rFonts w:cs="FrankRuehl"/>
          <w:sz w:val="20"/>
        </w:rPr>
        <w:t>b</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הגבייה </w:t>
      </w:r>
      <w:r w:rsidR="00352E33">
        <w:rPr>
          <w:rStyle w:val="default"/>
          <w:rFonts w:cs="FrankRuehl" w:hint="cs"/>
          <w:sz w:val="20"/>
          <w:rtl/>
        </w:rPr>
        <w:t>בפועל לגבי חיובים שהוציאה חברה לצרכניה בעד שירותי מים וביוב שניתנו על ידיה בשנתיים שהסתיימו קודם למועד הקובע להקמה;</w:t>
      </w:r>
    </w:p>
    <w:p w14:paraId="69623056" w14:textId="77777777" w:rsidR="00352E33" w:rsidRDefault="00352E33" w:rsidP="00C7635D">
      <w:pPr>
        <w:pStyle w:val="P00"/>
        <w:spacing w:before="72"/>
        <w:ind w:left="0" w:right="1134"/>
        <w:rPr>
          <w:rStyle w:val="default"/>
          <w:rFonts w:cs="FrankRuehl" w:hint="cs"/>
          <w:sz w:val="20"/>
          <w:rtl/>
        </w:rPr>
      </w:pPr>
      <w:r>
        <w:rPr>
          <w:rStyle w:val="default"/>
          <w:rFonts w:cs="FrankRuehl" w:hint="cs"/>
          <w:sz w:val="20"/>
          <w:rtl/>
        </w:rPr>
        <w:tab/>
        <w:t>"</w:t>
      </w:r>
      <w:r w:rsidR="00C7635D">
        <w:rPr>
          <w:rStyle w:val="default"/>
          <w:rFonts w:cs="FrankRuehl"/>
          <w:sz w:val="20"/>
        </w:rPr>
        <w:t>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סך כל אלה, בשנה הקובעת:</w:t>
      </w:r>
    </w:p>
    <w:p w14:paraId="76E54D72" w14:textId="77777777" w:rsidR="00352E33" w:rsidRDefault="00352E33" w:rsidP="00352E3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סך עלויות אספקת מים, בלא פחת;</w:t>
      </w:r>
    </w:p>
    <w:p w14:paraId="55D9186E" w14:textId="77777777" w:rsidR="00352E33" w:rsidRDefault="00352E33" w:rsidP="00352E3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עלויות הפקה ורכישה של מים;</w:t>
      </w:r>
    </w:p>
    <w:p w14:paraId="048B2448" w14:textId="77777777" w:rsidR="00352E33" w:rsidRDefault="00352E33" w:rsidP="00352E3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עלויות איסוף והולכת שפכים, בלא פחת;</w:t>
      </w:r>
    </w:p>
    <w:p w14:paraId="68FB9C58" w14:textId="77777777" w:rsidR="00352E33" w:rsidRDefault="00352E33" w:rsidP="00352E3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עלויות טיהור שפכים;</w:t>
      </w:r>
    </w:p>
    <w:p w14:paraId="17A9D308" w14:textId="77777777" w:rsidR="00352E33" w:rsidRDefault="00352E33" w:rsidP="00352E3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עלויות גבייה, בלא חובות מסופקים;</w:t>
      </w:r>
    </w:p>
    <w:p w14:paraId="6911A56F" w14:textId="77777777" w:rsidR="00352E33" w:rsidRDefault="00352E33" w:rsidP="00352E33">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הוצאות הנהלה וכלליות;</w:t>
      </w:r>
    </w:p>
    <w:p w14:paraId="650470C2" w14:textId="77777777" w:rsidR="00352E33" w:rsidRDefault="00352E33" w:rsidP="00352E33">
      <w:pPr>
        <w:pStyle w:val="P00"/>
        <w:spacing w:before="72"/>
        <w:ind w:left="1021" w:right="1134"/>
        <w:rPr>
          <w:rStyle w:val="default"/>
          <w:rFonts w:cs="FrankRuehl" w:hint="cs"/>
          <w:sz w:val="20"/>
          <w:rtl/>
        </w:rPr>
      </w:pPr>
      <w:r>
        <w:rPr>
          <w:rStyle w:val="default"/>
          <w:rFonts w:cs="FrankRuehl" w:hint="cs"/>
          <w:sz w:val="20"/>
          <w:rtl/>
        </w:rPr>
        <w:t>בניכוי רווח גולמי מפעילויות אחרות באותה שנה;</w:t>
      </w:r>
    </w:p>
    <w:p w14:paraId="7666AFB8" w14:textId="77777777" w:rsidR="00352E33" w:rsidRDefault="00352E33" w:rsidP="00846159">
      <w:pPr>
        <w:pStyle w:val="P00"/>
        <w:spacing w:before="72"/>
        <w:ind w:left="0" w:right="1134"/>
        <w:rPr>
          <w:rStyle w:val="default"/>
          <w:rFonts w:cs="FrankRuehl" w:hint="cs"/>
          <w:sz w:val="20"/>
          <w:rtl/>
        </w:rPr>
      </w:pPr>
      <w:r>
        <w:rPr>
          <w:rStyle w:val="default"/>
          <w:rFonts w:cs="FrankRuehl" w:hint="cs"/>
          <w:sz w:val="20"/>
          <w:rtl/>
        </w:rPr>
        <w:tab/>
        <w:t>"</w:t>
      </w:r>
      <w:r>
        <w:rPr>
          <w:rStyle w:val="default"/>
          <w:rFonts w:cs="FrankRuehl"/>
          <w:sz w:val="20"/>
        </w:rPr>
        <w:t>d1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ההפרש בין פחת המים </w:t>
      </w:r>
      <w:r w:rsidR="006F0DED">
        <w:rPr>
          <w:rStyle w:val="default"/>
          <w:rFonts w:cs="FrankRuehl" w:hint="cs"/>
          <w:sz w:val="20"/>
          <w:rtl/>
        </w:rPr>
        <w:t>שהיה מוכר לרשות המקומית לפי כללי חישוב עלות, לו היתה חברה, לבין פחת המים בפועל של הרשות המקומית בשנה הקובעת, אם הוא חיובי;</w:t>
      </w:r>
    </w:p>
    <w:p w14:paraId="5C701F9A" w14:textId="77777777" w:rsidR="006F0DED" w:rsidRDefault="006F0DED" w:rsidP="00846159">
      <w:pPr>
        <w:pStyle w:val="P00"/>
        <w:spacing w:before="72"/>
        <w:ind w:left="0" w:right="1134"/>
        <w:rPr>
          <w:rStyle w:val="default"/>
          <w:rFonts w:cs="FrankRuehl" w:hint="cs"/>
          <w:sz w:val="20"/>
          <w:rtl/>
        </w:rPr>
      </w:pPr>
      <w:r>
        <w:rPr>
          <w:rStyle w:val="default"/>
          <w:rFonts w:cs="FrankRuehl" w:hint="cs"/>
          <w:sz w:val="20"/>
          <w:rtl/>
        </w:rPr>
        <w:tab/>
        <w:t>"</w:t>
      </w:r>
      <w:r>
        <w:rPr>
          <w:rStyle w:val="default"/>
          <w:rFonts w:cs="FrankRuehl"/>
          <w:sz w:val="20"/>
        </w:rPr>
        <w:t>d2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ההפרש בין פחת הגבייה שהיה מוכר לרשות המקומית לפי כללי חישוב עלות, לו היתה חברה, לבין פחת הגבייה בפועל של הרשות המקומית בשנה הקובעת, אם הוא חיובי;</w:t>
      </w:r>
    </w:p>
    <w:p w14:paraId="5479373A" w14:textId="77777777" w:rsidR="006F0DED" w:rsidRDefault="006B7F9D" w:rsidP="006B7F9D">
      <w:pPr>
        <w:pStyle w:val="P00"/>
        <w:spacing w:before="72"/>
        <w:ind w:left="0" w:right="1134"/>
        <w:rPr>
          <w:rStyle w:val="default"/>
          <w:rFonts w:cs="FrankRuehl" w:hint="cs"/>
          <w:sz w:val="20"/>
          <w:rtl/>
        </w:rPr>
      </w:pPr>
      <w:r>
        <w:rPr>
          <w:rFonts w:cs="FrankRuehl" w:hint="cs"/>
          <w:rtl/>
          <w:lang w:eastAsia="en-US"/>
        </w:rPr>
        <w:pict w14:anchorId="6DA64B9F">
          <v:shape id="_x0000_s1389" type="#_x0000_t202" style="position:absolute;left:0;text-align:left;margin-left:467.1pt;margin-top:7.1pt;width:75.25pt;height:9.3pt;z-index:251664896" filled="f" stroked="f">
            <v:textbox inset="1mm,0,1mm,0">
              <w:txbxContent>
                <w:p w14:paraId="6C07DE66" w14:textId="77777777" w:rsidR="006B7F9D" w:rsidRDefault="006B7F9D" w:rsidP="006B7F9D">
                  <w:pPr>
                    <w:spacing w:line="160" w:lineRule="exact"/>
                    <w:rPr>
                      <w:rFonts w:cs="Miriam" w:hint="cs"/>
                      <w:noProof/>
                      <w:sz w:val="18"/>
                      <w:szCs w:val="18"/>
                      <w:rtl/>
                    </w:rPr>
                  </w:pPr>
                  <w:r>
                    <w:rPr>
                      <w:rFonts w:cs="Miriam" w:hint="cs"/>
                      <w:sz w:val="18"/>
                      <w:szCs w:val="18"/>
                      <w:rtl/>
                    </w:rPr>
                    <w:t>כללים תשע"ה-2015</w:t>
                  </w:r>
                </w:p>
              </w:txbxContent>
            </v:textbox>
          </v:shape>
        </w:pict>
      </w:r>
      <w:r w:rsidR="006F0DED">
        <w:rPr>
          <w:rStyle w:val="default"/>
          <w:rFonts w:cs="FrankRuehl" w:hint="cs"/>
          <w:sz w:val="20"/>
          <w:rtl/>
        </w:rPr>
        <w:tab/>
        <w:t>"</w:t>
      </w:r>
      <w:r w:rsidR="006F0DED">
        <w:rPr>
          <w:rStyle w:val="default"/>
          <w:rFonts w:cs="FrankRuehl"/>
          <w:sz w:val="20"/>
        </w:rPr>
        <w:t>P</w:t>
      </w:r>
      <w:r w:rsidR="006F0DED">
        <w:rPr>
          <w:rStyle w:val="default"/>
          <w:rFonts w:cs="FrankRuehl" w:hint="cs"/>
          <w:sz w:val="20"/>
          <w:rtl/>
        </w:rPr>
        <w:t xml:space="preserve">" </w:t>
      </w:r>
      <w:r w:rsidR="006F0DED">
        <w:rPr>
          <w:rStyle w:val="default"/>
          <w:rFonts w:cs="FrankRuehl"/>
          <w:sz w:val="20"/>
          <w:rtl/>
        </w:rPr>
        <w:t>–</w:t>
      </w:r>
      <w:r w:rsidR="006F0DED">
        <w:rPr>
          <w:rStyle w:val="default"/>
          <w:rFonts w:cs="FrankRuehl" w:hint="cs"/>
          <w:sz w:val="20"/>
          <w:rtl/>
        </w:rPr>
        <w:t xml:space="preserve"> ממוצע משוקלל של התעריפים הקבועים לכל סוג צריכה בסעיף 3 לכללי תאגידי מים וביוב (תעריפים לשירותי מים וביוב והקמת מערכות מים או ביוב), התש"ע-2009, לפי כמות המים השפירים מאותו סוג צריכה שצרכו הצרכנים של הרשות המקומית או החברה, לפי העניין;</w:t>
      </w:r>
    </w:p>
    <w:p w14:paraId="49489592" w14:textId="77777777" w:rsidR="006B7F9D" w:rsidRPr="006B7F9D" w:rsidRDefault="006B7F9D" w:rsidP="006B7F9D">
      <w:pPr>
        <w:pStyle w:val="P00"/>
        <w:spacing w:before="0"/>
        <w:ind w:left="0" w:right="1134"/>
        <w:rPr>
          <w:rStyle w:val="default"/>
          <w:rFonts w:cs="FrankRuehl" w:hint="cs"/>
          <w:vanish/>
          <w:color w:val="FF0000"/>
          <w:sz w:val="20"/>
          <w:szCs w:val="20"/>
          <w:shd w:val="clear" w:color="auto" w:fill="FFFF99"/>
          <w:rtl/>
        </w:rPr>
      </w:pPr>
      <w:bookmarkStart w:id="9" w:name="Rov20"/>
      <w:r w:rsidRPr="006B7F9D">
        <w:rPr>
          <w:rStyle w:val="default"/>
          <w:rFonts w:cs="FrankRuehl" w:hint="cs"/>
          <w:vanish/>
          <w:color w:val="FF0000"/>
          <w:sz w:val="20"/>
          <w:szCs w:val="20"/>
          <w:shd w:val="clear" w:color="auto" w:fill="FFFF99"/>
          <w:rtl/>
        </w:rPr>
        <w:t>מיום 1.5.2015</w:t>
      </w:r>
    </w:p>
    <w:p w14:paraId="009ED24B" w14:textId="77777777" w:rsidR="006B7F9D" w:rsidRPr="006B7F9D" w:rsidRDefault="006B7F9D" w:rsidP="006B7F9D">
      <w:pPr>
        <w:pStyle w:val="P00"/>
        <w:spacing w:before="0"/>
        <w:ind w:left="0" w:right="1134"/>
        <w:rPr>
          <w:rStyle w:val="default"/>
          <w:rFonts w:cs="FrankRuehl" w:hint="cs"/>
          <w:vanish/>
          <w:sz w:val="20"/>
          <w:szCs w:val="20"/>
          <w:shd w:val="clear" w:color="auto" w:fill="FFFF99"/>
          <w:rtl/>
        </w:rPr>
      </w:pPr>
      <w:r w:rsidRPr="006B7F9D">
        <w:rPr>
          <w:rStyle w:val="default"/>
          <w:rFonts w:cs="FrankRuehl" w:hint="cs"/>
          <w:b/>
          <w:bCs/>
          <w:vanish/>
          <w:sz w:val="20"/>
          <w:szCs w:val="20"/>
          <w:shd w:val="clear" w:color="auto" w:fill="FFFF99"/>
          <w:rtl/>
        </w:rPr>
        <w:t>כללים תשע"ה-2015</w:t>
      </w:r>
    </w:p>
    <w:p w14:paraId="67F628F6" w14:textId="77777777" w:rsidR="006B7F9D" w:rsidRPr="006B7F9D" w:rsidRDefault="006B7F9D" w:rsidP="006B7F9D">
      <w:pPr>
        <w:pStyle w:val="P00"/>
        <w:spacing w:before="0"/>
        <w:ind w:left="0" w:right="1134"/>
        <w:rPr>
          <w:rStyle w:val="default"/>
          <w:rFonts w:cs="FrankRuehl" w:hint="cs"/>
          <w:vanish/>
          <w:sz w:val="20"/>
          <w:szCs w:val="20"/>
          <w:shd w:val="clear" w:color="auto" w:fill="FFFF99"/>
          <w:rtl/>
        </w:rPr>
      </w:pPr>
      <w:hyperlink r:id="rId8" w:history="1">
        <w:r w:rsidRPr="006B7F9D">
          <w:rPr>
            <w:rStyle w:val="Hyperlink"/>
            <w:rFonts w:cs="FrankRuehl" w:hint="cs"/>
            <w:vanish/>
            <w:szCs w:val="20"/>
            <w:shd w:val="clear" w:color="auto" w:fill="FFFF99"/>
            <w:rtl/>
          </w:rPr>
          <w:t>ק"ת תשע"ה מס' 7505</w:t>
        </w:r>
      </w:hyperlink>
      <w:r w:rsidRPr="006B7F9D">
        <w:rPr>
          <w:rStyle w:val="default"/>
          <w:rFonts w:cs="FrankRuehl" w:hint="cs"/>
          <w:vanish/>
          <w:sz w:val="20"/>
          <w:szCs w:val="20"/>
          <w:shd w:val="clear" w:color="auto" w:fill="FFFF99"/>
          <w:rtl/>
        </w:rPr>
        <w:t xml:space="preserve"> מיום 31.3.2015 עמ' 1134</w:t>
      </w:r>
    </w:p>
    <w:p w14:paraId="698E5B87" w14:textId="77777777" w:rsidR="006B7F9D" w:rsidRPr="006B7F9D" w:rsidRDefault="006B7F9D" w:rsidP="006B7F9D">
      <w:pPr>
        <w:pStyle w:val="P00"/>
        <w:ind w:left="0" w:right="1134"/>
        <w:rPr>
          <w:rStyle w:val="default"/>
          <w:rFonts w:cs="FrankRuehl" w:hint="cs"/>
          <w:sz w:val="2"/>
          <w:szCs w:val="2"/>
          <w:rtl/>
        </w:rPr>
      </w:pPr>
      <w:r w:rsidRPr="006B7F9D">
        <w:rPr>
          <w:rStyle w:val="default"/>
          <w:rFonts w:cs="FrankRuehl" w:hint="cs"/>
          <w:vanish/>
          <w:sz w:val="18"/>
          <w:szCs w:val="22"/>
          <w:shd w:val="clear" w:color="auto" w:fill="FFFF99"/>
          <w:rtl/>
        </w:rPr>
        <w:tab/>
        <w:t>"</w:t>
      </w:r>
      <w:r w:rsidRPr="006B7F9D">
        <w:rPr>
          <w:rStyle w:val="default"/>
          <w:rFonts w:cs="FrankRuehl"/>
          <w:vanish/>
          <w:sz w:val="18"/>
          <w:szCs w:val="22"/>
          <w:shd w:val="clear" w:color="auto" w:fill="FFFF99"/>
        </w:rPr>
        <w:t>P</w:t>
      </w:r>
      <w:r w:rsidRPr="006B7F9D">
        <w:rPr>
          <w:rStyle w:val="default"/>
          <w:rFonts w:cs="FrankRuehl" w:hint="cs"/>
          <w:vanish/>
          <w:sz w:val="18"/>
          <w:szCs w:val="22"/>
          <w:shd w:val="clear" w:color="auto" w:fill="FFFF99"/>
          <w:rtl/>
        </w:rPr>
        <w:t xml:space="preserve">" </w:t>
      </w:r>
      <w:r w:rsidRPr="006B7F9D">
        <w:rPr>
          <w:rStyle w:val="default"/>
          <w:rFonts w:cs="FrankRuehl"/>
          <w:vanish/>
          <w:sz w:val="18"/>
          <w:szCs w:val="22"/>
          <w:shd w:val="clear" w:color="auto" w:fill="FFFF99"/>
          <w:rtl/>
        </w:rPr>
        <w:t>–</w:t>
      </w:r>
      <w:r w:rsidRPr="006B7F9D">
        <w:rPr>
          <w:rStyle w:val="default"/>
          <w:rFonts w:cs="FrankRuehl" w:hint="cs"/>
          <w:vanish/>
          <w:sz w:val="18"/>
          <w:szCs w:val="22"/>
          <w:shd w:val="clear" w:color="auto" w:fill="FFFF99"/>
          <w:rtl/>
        </w:rPr>
        <w:t xml:space="preserve"> ממוצע משוקלל של התעריפים </w:t>
      </w:r>
      <w:r w:rsidRPr="006B7F9D">
        <w:rPr>
          <w:rStyle w:val="default"/>
          <w:rFonts w:cs="FrankRuehl" w:hint="cs"/>
          <w:strike/>
          <w:vanish/>
          <w:sz w:val="18"/>
          <w:szCs w:val="22"/>
          <w:shd w:val="clear" w:color="auto" w:fill="FFFF99"/>
          <w:rtl/>
        </w:rPr>
        <w:t>בעד נכס ותיק</w:t>
      </w:r>
      <w:r w:rsidRPr="006B7F9D">
        <w:rPr>
          <w:rStyle w:val="default"/>
          <w:rFonts w:cs="FrankRuehl" w:hint="cs"/>
          <w:vanish/>
          <w:sz w:val="18"/>
          <w:szCs w:val="22"/>
          <w:shd w:val="clear" w:color="auto" w:fill="FFFF99"/>
          <w:rtl/>
        </w:rPr>
        <w:t xml:space="preserve"> הקבועים לכל סוג צריכה בסעיף 3 לכללי תאגידי מים וביוב (תעריפים לשירותי מים וביוב והקמת מערכות מים או ביוב), התש"ע-2009, לפי כמות המים השפירים מאותו סוג צריכה שצרכו הצרכנים של הרשות המקומית או החברה, לפי העניין;</w:t>
      </w:r>
      <w:bookmarkEnd w:id="9"/>
    </w:p>
    <w:p w14:paraId="155A4082" w14:textId="77777777" w:rsidR="006F0DED" w:rsidRDefault="006F0DED" w:rsidP="006F0DED">
      <w:pPr>
        <w:pStyle w:val="P00"/>
        <w:spacing w:before="72"/>
        <w:ind w:left="0" w:right="1134"/>
        <w:rPr>
          <w:rStyle w:val="default"/>
          <w:rFonts w:cs="FrankRuehl" w:hint="cs"/>
          <w:sz w:val="20"/>
          <w:rtl/>
        </w:rPr>
      </w:pPr>
      <w:r>
        <w:rPr>
          <w:rStyle w:val="default"/>
          <w:rFonts w:cs="FrankRuehl" w:hint="cs"/>
          <w:sz w:val="20"/>
          <w:rtl/>
        </w:rPr>
        <w:tab/>
        <w:t>"</w:t>
      </w:r>
      <w:r>
        <w:rPr>
          <w:rStyle w:val="default"/>
          <w:rFonts w:cs="FrankRuehl"/>
          <w:sz w:val="20"/>
        </w:rPr>
        <w:t>Q</w:t>
      </w:r>
      <w:r>
        <w:rPr>
          <w:rStyle w:val="default"/>
          <w:rFonts w:cs="FrankRuehl" w:hint="cs"/>
          <w:sz w:val="20"/>
          <w:rtl/>
        </w:rPr>
        <w:t xml:space="preserve">" </w:t>
      </w:r>
      <w:r w:rsidR="00C7635D">
        <w:rPr>
          <w:rStyle w:val="default"/>
          <w:rFonts w:cs="FrankRuehl"/>
          <w:sz w:val="20"/>
          <w:rtl/>
        </w:rPr>
        <w:t>–</w:t>
      </w:r>
      <w:r>
        <w:rPr>
          <w:rStyle w:val="default"/>
          <w:rFonts w:cs="FrankRuehl" w:hint="cs"/>
          <w:sz w:val="20"/>
          <w:rtl/>
        </w:rPr>
        <w:t xml:space="preserve"> </w:t>
      </w:r>
      <w:r w:rsidR="00C7635D">
        <w:rPr>
          <w:rStyle w:val="default"/>
          <w:rFonts w:cs="FrankRuehl" w:hint="cs"/>
          <w:sz w:val="20"/>
          <w:rtl/>
        </w:rPr>
        <w:t xml:space="preserve">כמות המים השפירים שצרכו הצרכנים של רשות מקומית או חברה, לפי העניין, </w:t>
      </w:r>
      <w:r w:rsidR="001B10F6">
        <w:rPr>
          <w:rStyle w:val="default"/>
          <w:rFonts w:cs="FrankRuehl" w:hint="cs"/>
          <w:sz w:val="20"/>
          <w:rtl/>
        </w:rPr>
        <w:t>למטרת צורכי בית, תעשייה, מלאכה, מסחר, שירותים ושירותים ציבוריים, בשנה הקובעת;</w:t>
      </w:r>
    </w:p>
    <w:p w14:paraId="4269755F" w14:textId="77777777" w:rsidR="001B10F6" w:rsidRDefault="006B7F9D" w:rsidP="006F0DED">
      <w:pPr>
        <w:pStyle w:val="P00"/>
        <w:spacing w:before="72"/>
        <w:ind w:left="0" w:right="1134"/>
        <w:rPr>
          <w:rStyle w:val="default"/>
          <w:rFonts w:cs="FrankRuehl" w:hint="cs"/>
          <w:sz w:val="20"/>
          <w:rtl/>
        </w:rPr>
      </w:pPr>
      <w:r>
        <w:rPr>
          <w:rFonts w:cs="FrankRuehl" w:hint="cs"/>
          <w:rtl/>
          <w:lang w:eastAsia="en-US"/>
        </w:rPr>
        <w:pict w14:anchorId="1FAFF3CC">
          <v:shape id="_x0000_s1392" type="#_x0000_t202" style="position:absolute;left:0;text-align:left;margin-left:467.1pt;margin-top:7.1pt;width:75.25pt;height:11.5pt;z-index:251665920" filled="f" stroked="f">
            <v:textbox inset="1mm,0,1mm,0">
              <w:txbxContent>
                <w:p w14:paraId="4DA09A34" w14:textId="77777777" w:rsidR="006B7F9D" w:rsidRDefault="006B7F9D" w:rsidP="006B7F9D">
                  <w:pPr>
                    <w:spacing w:line="160" w:lineRule="exact"/>
                    <w:rPr>
                      <w:rFonts w:cs="Miriam" w:hint="cs"/>
                      <w:noProof/>
                      <w:sz w:val="18"/>
                      <w:szCs w:val="18"/>
                      <w:rtl/>
                    </w:rPr>
                  </w:pPr>
                  <w:r>
                    <w:rPr>
                      <w:rFonts w:cs="Miriam" w:hint="cs"/>
                      <w:sz w:val="18"/>
                      <w:szCs w:val="18"/>
                      <w:rtl/>
                    </w:rPr>
                    <w:t>כללים תשע"ה-2015</w:t>
                  </w:r>
                </w:p>
              </w:txbxContent>
            </v:textbox>
          </v:shape>
        </w:pict>
      </w:r>
      <w:r w:rsidR="001B10F6">
        <w:rPr>
          <w:rStyle w:val="default"/>
          <w:rFonts w:cs="FrankRuehl" w:hint="cs"/>
          <w:sz w:val="20"/>
          <w:rtl/>
        </w:rPr>
        <w:tab/>
        <w:t>"</w:t>
      </w:r>
      <w:r w:rsidR="001B10F6">
        <w:rPr>
          <w:rStyle w:val="default"/>
          <w:rFonts w:cs="FrankRuehl"/>
          <w:sz w:val="20"/>
        </w:rPr>
        <w:t>R</w:t>
      </w:r>
      <w:r w:rsidR="001B10F6">
        <w:rPr>
          <w:rStyle w:val="default"/>
          <w:rFonts w:cs="FrankRuehl" w:hint="cs"/>
          <w:sz w:val="20"/>
          <w:rtl/>
        </w:rPr>
        <w:t xml:space="preserve">" </w:t>
      </w:r>
      <w:r w:rsidR="001B10F6">
        <w:rPr>
          <w:rStyle w:val="default"/>
          <w:rFonts w:cs="FrankRuehl"/>
          <w:sz w:val="20"/>
          <w:rtl/>
        </w:rPr>
        <w:t>–</w:t>
      </w:r>
      <w:r w:rsidR="001B10F6">
        <w:rPr>
          <w:rStyle w:val="default"/>
          <w:rFonts w:cs="FrankRuehl" w:hint="cs"/>
          <w:sz w:val="20"/>
          <w:rtl/>
        </w:rPr>
        <w:t xml:space="preserve"> סך כל אלה:</w:t>
      </w:r>
    </w:p>
    <w:p w14:paraId="62C8958D" w14:textId="77777777" w:rsidR="001B10F6" w:rsidRDefault="001B10F6" w:rsidP="002D26F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פחת ערך כינון של מערכת מים למ"ק;</w:t>
      </w:r>
    </w:p>
    <w:p w14:paraId="441E2C79" w14:textId="77777777" w:rsidR="001B10F6" w:rsidRDefault="001B10F6" w:rsidP="006B7F9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תשואה מוכרת על הון עצמי של מערכת מים למ"ק;</w:t>
      </w:r>
    </w:p>
    <w:p w14:paraId="549CE729" w14:textId="77777777" w:rsidR="001B10F6" w:rsidRDefault="001B10F6" w:rsidP="006B7F9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תשואה מוכרת על הון זר של מערכת מים למ"ק;</w:t>
      </w:r>
    </w:p>
    <w:p w14:paraId="225CFB7E" w14:textId="77777777" w:rsidR="002D26F7" w:rsidRDefault="001B10F6" w:rsidP="002D26F7">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2D26F7">
        <w:rPr>
          <w:rStyle w:val="default"/>
          <w:rFonts w:cs="FrankRuehl" w:hint="cs"/>
          <w:sz w:val="20"/>
          <w:rtl/>
        </w:rPr>
        <w:t>פחת ערך כינון של מערכת ביוב למ"ק;</w:t>
      </w:r>
    </w:p>
    <w:p w14:paraId="6428E451" w14:textId="77777777" w:rsidR="002D26F7" w:rsidRDefault="002D26F7" w:rsidP="006B7F9D">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תשואה מוכרת על הון עצמי של מערכת ביוב למ"ק;</w:t>
      </w:r>
    </w:p>
    <w:p w14:paraId="0FCBE593" w14:textId="77777777" w:rsidR="002D26F7" w:rsidRDefault="002D26F7" w:rsidP="006B7F9D">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תשואה מוכרת על הון זר של מערכת ביוב למ"ק;</w:t>
      </w:r>
    </w:p>
    <w:p w14:paraId="1C32EC55" w14:textId="77777777" w:rsidR="002D26F7" w:rsidRDefault="002D26F7" w:rsidP="006B7F9D">
      <w:pPr>
        <w:pStyle w:val="P00"/>
        <w:spacing w:before="72"/>
        <w:ind w:left="1021" w:right="1134"/>
        <w:rPr>
          <w:rStyle w:val="default"/>
          <w:rFonts w:cs="FrankRuehl" w:hint="cs"/>
          <w:sz w:val="20"/>
          <w:rtl/>
        </w:rPr>
      </w:pPr>
      <w:r>
        <w:rPr>
          <w:rStyle w:val="default"/>
          <w:rFonts w:cs="FrankRuehl" w:hint="cs"/>
          <w:sz w:val="20"/>
          <w:rtl/>
        </w:rPr>
        <w:t xml:space="preserve">בניכוי הפחתה </w:t>
      </w:r>
      <w:r w:rsidR="006B7F9D">
        <w:rPr>
          <w:rStyle w:val="default"/>
          <w:rFonts w:cs="FrankRuehl" w:hint="cs"/>
          <w:sz w:val="20"/>
          <w:rtl/>
        </w:rPr>
        <w:t>בשל דמי הקמה</w:t>
      </w:r>
      <w:r>
        <w:rPr>
          <w:rStyle w:val="default"/>
          <w:rFonts w:cs="FrankRuehl" w:hint="cs"/>
          <w:sz w:val="20"/>
          <w:rtl/>
        </w:rPr>
        <w:t xml:space="preserve"> למ"ק.</w:t>
      </w:r>
    </w:p>
    <w:p w14:paraId="68A127A2" w14:textId="77777777" w:rsidR="006B7F9D" w:rsidRPr="006B7F9D" w:rsidRDefault="006B7F9D" w:rsidP="006B7F9D">
      <w:pPr>
        <w:pStyle w:val="P00"/>
        <w:spacing w:before="0"/>
        <w:ind w:left="0" w:right="1134"/>
        <w:rPr>
          <w:rStyle w:val="default"/>
          <w:rFonts w:cs="FrankRuehl" w:hint="cs"/>
          <w:vanish/>
          <w:color w:val="FF0000"/>
          <w:sz w:val="20"/>
          <w:szCs w:val="20"/>
          <w:shd w:val="clear" w:color="auto" w:fill="FFFF99"/>
          <w:rtl/>
        </w:rPr>
      </w:pPr>
      <w:bookmarkStart w:id="10" w:name="Rov21"/>
      <w:r w:rsidRPr="006B7F9D">
        <w:rPr>
          <w:rStyle w:val="default"/>
          <w:rFonts w:cs="FrankRuehl" w:hint="cs"/>
          <w:vanish/>
          <w:color w:val="FF0000"/>
          <w:sz w:val="20"/>
          <w:szCs w:val="20"/>
          <w:shd w:val="clear" w:color="auto" w:fill="FFFF99"/>
          <w:rtl/>
        </w:rPr>
        <w:t>מיום 1.5.2015</w:t>
      </w:r>
    </w:p>
    <w:p w14:paraId="097A58E2" w14:textId="77777777" w:rsidR="006B7F9D" w:rsidRPr="006B7F9D" w:rsidRDefault="006B7F9D" w:rsidP="006B7F9D">
      <w:pPr>
        <w:pStyle w:val="P00"/>
        <w:spacing w:before="0"/>
        <w:ind w:left="0" w:right="1134"/>
        <w:rPr>
          <w:rStyle w:val="default"/>
          <w:rFonts w:cs="FrankRuehl" w:hint="cs"/>
          <w:vanish/>
          <w:sz w:val="20"/>
          <w:szCs w:val="20"/>
          <w:shd w:val="clear" w:color="auto" w:fill="FFFF99"/>
          <w:rtl/>
        </w:rPr>
      </w:pPr>
      <w:r w:rsidRPr="006B7F9D">
        <w:rPr>
          <w:rStyle w:val="default"/>
          <w:rFonts w:cs="FrankRuehl" w:hint="cs"/>
          <w:b/>
          <w:bCs/>
          <w:vanish/>
          <w:sz w:val="20"/>
          <w:szCs w:val="20"/>
          <w:shd w:val="clear" w:color="auto" w:fill="FFFF99"/>
          <w:rtl/>
        </w:rPr>
        <w:t>כללים תשע"ה-2015</w:t>
      </w:r>
    </w:p>
    <w:p w14:paraId="35B08036" w14:textId="77777777" w:rsidR="006B7F9D" w:rsidRPr="006B7F9D" w:rsidRDefault="006B7F9D" w:rsidP="006B7F9D">
      <w:pPr>
        <w:pStyle w:val="P00"/>
        <w:spacing w:before="0"/>
        <w:ind w:left="0" w:right="1134"/>
        <w:rPr>
          <w:rStyle w:val="default"/>
          <w:rFonts w:cs="FrankRuehl" w:hint="cs"/>
          <w:vanish/>
          <w:sz w:val="20"/>
          <w:szCs w:val="20"/>
          <w:shd w:val="clear" w:color="auto" w:fill="FFFF99"/>
          <w:rtl/>
        </w:rPr>
      </w:pPr>
      <w:hyperlink r:id="rId9" w:history="1">
        <w:r w:rsidRPr="006B7F9D">
          <w:rPr>
            <w:rStyle w:val="Hyperlink"/>
            <w:rFonts w:cs="FrankRuehl" w:hint="cs"/>
            <w:vanish/>
            <w:szCs w:val="20"/>
            <w:shd w:val="clear" w:color="auto" w:fill="FFFF99"/>
            <w:rtl/>
          </w:rPr>
          <w:t>ק"ת תשע"ה מס' 7505</w:t>
        </w:r>
      </w:hyperlink>
      <w:r w:rsidRPr="006B7F9D">
        <w:rPr>
          <w:rStyle w:val="default"/>
          <w:rFonts w:cs="FrankRuehl" w:hint="cs"/>
          <w:vanish/>
          <w:sz w:val="20"/>
          <w:szCs w:val="20"/>
          <w:shd w:val="clear" w:color="auto" w:fill="FFFF99"/>
          <w:rtl/>
        </w:rPr>
        <w:t xml:space="preserve"> מיום 31.3.2015 עמ' 1134</w:t>
      </w:r>
    </w:p>
    <w:p w14:paraId="4F33749A" w14:textId="77777777" w:rsidR="006B7F9D" w:rsidRPr="006B7F9D" w:rsidRDefault="006B7F9D" w:rsidP="006B7F9D">
      <w:pPr>
        <w:pStyle w:val="P00"/>
        <w:ind w:left="0" w:right="1134"/>
        <w:rPr>
          <w:rStyle w:val="default"/>
          <w:rFonts w:cs="FrankRuehl" w:hint="cs"/>
          <w:vanish/>
          <w:sz w:val="18"/>
          <w:szCs w:val="22"/>
          <w:shd w:val="clear" w:color="auto" w:fill="FFFF99"/>
          <w:rtl/>
        </w:rPr>
      </w:pPr>
      <w:r w:rsidRPr="006B7F9D">
        <w:rPr>
          <w:rStyle w:val="default"/>
          <w:rFonts w:cs="FrankRuehl" w:hint="cs"/>
          <w:vanish/>
          <w:sz w:val="18"/>
          <w:szCs w:val="22"/>
          <w:shd w:val="clear" w:color="auto" w:fill="FFFF99"/>
          <w:rtl/>
        </w:rPr>
        <w:tab/>
        <w:t>"</w:t>
      </w:r>
      <w:r w:rsidRPr="006B7F9D">
        <w:rPr>
          <w:rStyle w:val="default"/>
          <w:rFonts w:cs="FrankRuehl"/>
          <w:vanish/>
          <w:sz w:val="18"/>
          <w:szCs w:val="22"/>
          <w:shd w:val="clear" w:color="auto" w:fill="FFFF99"/>
        </w:rPr>
        <w:t>R</w:t>
      </w:r>
      <w:r w:rsidRPr="006B7F9D">
        <w:rPr>
          <w:rStyle w:val="default"/>
          <w:rFonts w:cs="FrankRuehl" w:hint="cs"/>
          <w:vanish/>
          <w:sz w:val="18"/>
          <w:szCs w:val="22"/>
          <w:shd w:val="clear" w:color="auto" w:fill="FFFF99"/>
          <w:rtl/>
        </w:rPr>
        <w:t xml:space="preserve">" </w:t>
      </w:r>
      <w:r w:rsidRPr="006B7F9D">
        <w:rPr>
          <w:rStyle w:val="default"/>
          <w:rFonts w:cs="FrankRuehl"/>
          <w:vanish/>
          <w:sz w:val="18"/>
          <w:szCs w:val="22"/>
          <w:shd w:val="clear" w:color="auto" w:fill="FFFF99"/>
          <w:rtl/>
        </w:rPr>
        <w:t>–</w:t>
      </w:r>
      <w:r w:rsidRPr="006B7F9D">
        <w:rPr>
          <w:rStyle w:val="default"/>
          <w:rFonts w:cs="FrankRuehl" w:hint="cs"/>
          <w:vanish/>
          <w:sz w:val="18"/>
          <w:szCs w:val="22"/>
          <w:shd w:val="clear" w:color="auto" w:fill="FFFF99"/>
          <w:rtl/>
        </w:rPr>
        <w:t xml:space="preserve"> סך כל אלה:</w:t>
      </w:r>
    </w:p>
    <w:p w14:paraId="040D21BF" w14:textId="77777777" w:rsidR="006B7F9D" w:rsidRPr="006B7F9D" w:rsidRDefault="006B7F9D" w:rsidP="006B7F9D">
      <w:pPr>
        <w:pStyle w:val="P00"/>
        <w:spacing w:before="0"/>
        <w:ind w:left="1021" w:right="1134"/>
        <w:rPr>
          <w:rStyle w:val="default"/>
          <w:rFonts w:cs="FrankRuehl" w:hint="cs"/>
          <w:vanish/>
          <w:sz w:val="18"/>
          <w:szCs w:val="22"/>
          <w:shd w:val="clear" w:color="auto" w:fill="FFFF99"/>
          <w:rtl/>
        </w:rPr>
      </w:pPr>
      <w:r w:rsidRPr="006B7F9D">
        <w:rPr>
          <w:rStyle w:val="default"/>
          <w:rFonts w:cs="FrankRuehl" w:hint="cs"/>
          <w:vanish/>
          <w:sz w:val="18"/>
          <w:szCs w:val="22"/>
          <w:shd w:val="clear" w:color="auto" w:fill="FFFF99"/>
          <w:rtl/>
        </w:rPr>
        <w:t>(1)</w:t>
      </w:r>
      <w:r w:rsidRPr="006B7F9D">
        <w:rPr>
          <w:rStyle w:val="default"/>
          <w:rFonts w:cs="FrankRuehl" w:hint="cs"/>
          <w:vanish/>
          <w:sz w:val="18"/>
          <w:szCs w:val="22"/>
          <w:shd w:val="clear" w:color="auto" w:fill="FFFF99"/>
          <w:rtl/>
        </w:rPr>
        <w:tab/>
        <w:t>פחת ערך כינון של מערכת מים למ"ק;</w:t>
      </w:r>
    </w:p>
    <w:p w14:paraId="06D46226" w14:textId="77777777" w:rsidR="006B7F9D" w:rsidRPr="006B7F9D" w:rsidRDefault="006B7F9D" w:rsidP="006B7F9D">
      <w:pPr>
        <w:pStyle w:val="P00"/>
        <w:spacing w:before="0"/>
        <w:ind w:left="1021" w:right="1134"/>
        <w:rPr>
          <w:rStyle w:val="default"/>
          <w:rFonts w:cs="FrankRuehl" w:hint="cs"/>
          <w:vanish/>
          <w:sz w:val="18"/>
          <w:szCs w:val="22"/>
          <w:shd w:val="clear" w:color="auto" w:fill="FFFF99"/>
          <w:rtl/>
        </w:rPr>
      </w:pPr>
      <w:r w:rsidRPr="006B7F9D">
        <w:rPr>
          <w:rStyle w:val="default"/>
          <w:rFonts w:cs="FrankRuehl" w:hint="cs"/>
          <w:vanish/>
          <w:sz w:val="18"/>
          <w:szCs w:val="22"/>
          <w:shd w:val="clear" w:color="auto" w:fill="FFFF99"/>
          <w:rtl/>
        </w:rPr>
        <w:t>(2)</w:t>
      </w:r>
      <w:r w:rsidRPr="006B7F9D">
        <w:rPr>
          <w:rStyle w:val="default"/>
          <w:rFonts w:cs="FrankRuehl" w:hint="cs"/>
          <w:vanish/>
          <w:sz w:val="18"/>
          <w:szCs w:val="22"/>
          <w:shd w:val="clear" w:color="auto" w:fill="FFFF99"/>
          <w:rtl/>
        </w:rPr>
        <w:tab/>
        <w:t xml:space="preserve">תשואה מוכרת על הון עצמי של מערכת מים למ"ק </w:t>
      </w:r>
      <w:r w:rsidRPr="006B7F9D">
        <w:rPr>
          <w:rStyle w:val="default"/>
          <w:rFonts w:cs="FrankRuehl" w:hint="cs"/>
          <w:strike/>
          <w:vanish/>
          <w:sz w:val="18"/>
          <w:szCs w:val="22"/>
          <w:shd w:val="clear" w:color="auto" w:fill="FFFF99"/>
          <w:rtl/>
        </w:rPr>
        <w:t>לגבי נכס ותיק</w:t>
      </w:r>
      <w:r w:rsidRPr="006B7F9D">
        <w:rPr>
          <w:rStyle w:val="default"/>
          <w:rFonts w:cs="FrankRuehl" w:hint="cs"/>
          <w:vanish/>
          <w:sz w:val="18"/>
          <w:szCs w:val="22"/>
          <w:shd w:val="clear" w:color="auto" w:fill="FFFF99"/>
          <w:rtl/>
        </w:rPr>
        <w:t>;</w:t>
      </w:r>
    </w:p>
    <w:p w14:paraId="1CC60367" w14:textId="77777777" w:rsidR="006B7F9D" w:rsidRPr="006B7F9D" w:rsidRDefault="006B7F9D" w:rsidP="006B7F9D">
      <w:pPr>
        <w:pStyle w:val="P00"/>
        <w:spacing w:before="0"/>
        <w:ind w:left="1021" w:right="1134"/>
        <w:rPr>
          <w:rStyle w:val="default"/>
          <w:rFonts w:cs="FrankRuehl" w:hint="cs"/>
          <w:vanish/>
          <w:sz w:val="18"/>
          <w:szCs w:val="22"/>
          <w:shd w:val="clear" w:color="auto" w:fill="FFFF99"/>
          <w:rtl/>
        </w:rPr>
      </w:pPr>
      <w:r w:rsidRPr="006B7F9D">
        <w:rPr>
          <w:rStyle w:val="default"/>
          <w:rFonts w:cs="FrankRuehl" w:hint="cs"/>
          <w:vanish/>
          <w:sz w:val="18"/>
          <w:szCs w:val="22"/>
          <w:shd w:val="clear" w:color="auto" w:fill="FFFF99"/>
          <w:rtl/>
        </w:rPr>
        <w:t>(3)</w:t>
      </w:r>
      <w:r w:rsidRPr="006B7F9D">
        <w:rPr>
          <w:rStyle w:val="default"/>
          <w:rFonts w:cs="FrankRuehl" w:hint="cs"/>
          <w:vanish/>
          <w:sz w:val="18"/>
          <w:szCs w:val="22"/>
          <w:shd w:val="clear" w:color="auto" w:fill="FFFF99"/>
          <w:rtl/>
        </w:rPr>
        <w:tab/>
        <w:t xml:space="preserve">תשואה מוכרת על הון זר של מערכת מים למ"ק </w:t>
      </w:r>
      <w:r w:rsidRPr="006B7F9D">
        <w:rPr>
          <w:rStyle w:val="default"/>
          <w:rFonts w:cs="FrankRuehl" w:hint="cs"/>
          <w:strike/>
          <w:vanish/>
          <w:sz w:val="18"/>
          <w:szCs w:val="22"/>
          <w:shd w:val="clear" w:color="auto" w:fill="FFFF99"/>
          <w:rtl/>
        </w:rPr>
        <w:t>לגבי נכס ותיק</w:t>
      </w:r>
      <w:r w:rsidRPr="006B7F9D">
        <w:rPr>
          <w:rStyle w:val="default"/>
          <w:rFonts w:cs="FrankRuehl" w:hint="cs"/>
          <w:vanish/>
          <w:sz w:val="18"/>
          <w:szCs w:val="22"/>
          <w:shd w:val="clear" w:color="auto" w:fill="FFFF99"/>
          <w:rtl/>
        </w:rPr>
        <w:t>;</w:t>
      </w:r>
    </w:p>
    <w:p w14:paraId="737D57B6" w14:textId="77777777" w:rsidR="006B7F9D" w:rsidRPr="006B7F9D" w:rsidRDefault="006B7F9D" w:rsidP="006B7F9D">
      <w:pPr>
        <w:pStyle w:val="P00"/>
        <w:spacing w:before="0"/>
        <w:ind w:left="1021" w:right="1134"/>
        <w:rPr>
          <w:rStyle w:val="default"/>
          <w:rFonts w:cs="FrankRuehl" w:hint="cs"/>
          <w:vanish/>
          <w:sz w:val="18"/>
          <w:szCs w:val="22"/>
          <w:shd w:val="clear" w:color="auto" w:fill="FFFF99"/>
          <w:rtl/>
        </w:rPr>
      </w:pPr>
      <w:r w:rsidRPr="006B7F9D">
        <w:rPr>
          <w:rStyle w:val="default"/>
          <w:rFonts w:cs="FrankRuehl" w:hint="cs"/>
          <w:vanish/>
          <w:sz w:val="18"/>
          <w:szCs w:val="22"/>
          <w:shd w:val="clear" w:color="auto" w:fill="FFFF99"/>
          <w:rtl/>
        </w:rPr>
        <w:t>(4)</w:t>
      </w:r>
      <w:r w:rsidRPr="006B7F9D">
        <w:rPr>
          <w:rStyle w:val="default"/>
          <w:rFonts w:cs="FrankRuehl" w:hint="cs"/>
          <w:vanish/>
          <w:sz w:val="18"/>
          <w:szCs w:val="22"/>
          <w:shd w:val="clear" w:color="auto" w:fill="FFFF99"/>
          <w:rtl/>
        </w:rPr>
        <w:tab/>
        <w:t>פחת ערך כינון של מערכת ביוב למ"ק;</w:t>
      </w:r>
    </w:p>
    <w:p w14:paraId="2A9AE465" w14:textId="77777777" w:rsidR="006B7F9D" w:rsidRPr="006B7F9D" w:rsidRDefault="006B7F9D" w:rsidP="006B7F9D">
      <w:pPr>
        <w:pStyle w:val="P00"/>
        <w:spacing w:before="0"/>
        <w:ind w:left="1021" w:right="1134"/>
        <w:rPr>
          <w:rStyle w:val="default"/>
          <w:rFonts w:cs="FrankRuehl" w:hint="cs"/>
          <w:vanish/>
          <w:sz w:val="18"/>
          <w:szCs w:val="22"/>
          <w:shd w:val="clear" w:color="auto" w:fill="FFFF99"/>
          <w:rtl/>
        </w:rPr>
      </w:pPr>
      <w:r w:rsidRPr="006B7F9D">
        <w:rPr>
          <w:rStyle w:val="default"/>
          <w:rFonts w:cs="FrankRuehl" w:hint="cs"/>
          <w:vanish/>
          <w:sz w:val="18"/>
          <w:szCs w:val="22"/>
          <w:shd w:val="clear" w:color="auto" w:fill="FFFF99"/>
          <w:rtl/>
        </w:rPr>
        <w:t>(5)</w:t>
      </w:r>
      <w:r w:rsidRPr="006B7F9D">
        <w:rPr>
          <w:rStyle w:val="default"/>
          <w:rFonts w:cs="FrankRuehl" w:hint="cs"/>
          <w:vanish/>
          <w:sz w:val="18"/>
          <w:szCs w:val="22"/>
          <w:shd w:val="clear" w:color="auto" w:fill="FFFF99"/>
          <w:rtl/>
        </w:rPr>
        <w:tab/>
        <w:t xml:space="preserve">תשואה מוכרת על הון עצמי של מערכת ביוב למ"ק </w:t>
      </w:r>
      <w:r w:rsidRPr="006B7F9D">
        <w:rPr>
          <w:rStyle w:val="default"/>
          <w:rFonts w:cs="FrankRuehl" w:hint="cs"/>
          <w:strike/>
          <w:vanish/>
          <w:sz w:val="18"/>
          <w:szCs w:val="22"/>
          <w:shd w:val="clear" w:color="auto" w:fill="FFFF99"/>
          <w:rtl/>
        </w:rPr>
        <w:t>לגבי נכס ותיק</w:t>
      </w:r>
      <w:r w:rsidRPr="006B7F9D">
        <w:rPr>
          <w:rStyle w:val="default"/>
          <w:rFonts w:cs="FrankRuehl" w:hint="cs"/>
          <w:vanish/>
          <w:sz w:val="18"/>
          <w:szCs w:val="22"/>
          <w:shd w:val="clear" w:color="auto" w:fill="FFFF99"/>
          <w:rtl/>
        </w:rPr>
        <w:t>;</w:t>
      </w:r>
    </w:p>
    <w:p w14:paraId="1338B329" w14:textId="77777777" w:rsidR="006B7F9D" w:rsidRPr="006B7F9D" w:rsidRDefault="006B7F9D" w:rsidP="006B7F9D">
      <w:pPr>
        <w:pStyle w:val="P00"/>
        <w:spacing w:before="0"/>
        <w:ind w:left="1021" w:right="1134"/>
        <w:rPr>
          <w:rStyle w:val="default"/>
          <w:rFonts w:cs="FrankRuehl" w:hint="cs"/>
          <w:vanish/>
          <w:sz w:val="18"/>
          <w:szCs w:val="22"/>
          <w:shd w:val="clear" w:color="auto" w:fill="FFFF99"/>
          <w:rtl/>
        </w:rPr>
      </w:pPr>
      <w:r w:rsidRPr="006B7F9D">
        <w:rPr>
          <w:rStyle w:val="default"/>
          <w:rFonts w:cs="FrankRuehl" w:hint="cs"/>
          <w:vanish/>
          <w:sz w:val="18"/>
          <w:szCs w:val="22"/>
          <w:shd w:val="clear" w:color="auto" w:fill="FFFF99"/>
          <w:rtl/>
        </w:rPr>
        <w:t>(6)</w:t>
      </w:r>
      <w:r w:rsidRPr="006B7F9D">
        <w:rPr>
          <w:rStyle w:val="default"/>
          <w:rFonts w:cs="FrankRuehl" w:hint="cs"/>
          <w:vanish/>
          <w:sz w:val="18"/>
          <w:szCs w:val="22"/>
          <w:shd w:val="clear" w:color="auto" w:fill="FFFF99"/>
          <w:rtl/>
        </w:rPr>
        <w:tab/>
        <w:t xml:space="preserve">תשואה מוכרת על הון זר של מערכת ביוב למ"ק </w:t>
      </w:r>
      <w:r w:rsidRPr="006B7F9D">
        <w:rPr>
          <w:rStyle w:val="default"/>
          <w:rFonts w:cs="FrankRuehl" w:hint="cs"/>
          <w:strike/>
          <w:vanish/>
          <w:sz w:val="18"/>
          <w:szCs w:val="22"/>
          <w:shd w:val="clear" w:color="auto" w:fill="FFFF99"/>
          <w:rtl/>
        </w:rPr>
        <w:t>לגבי נכס ותיק</w:t>
      </w:r>
      <w:r w:rsidRPr="006B7F9D">
        <w:rPr>
          <w:rStyle w:val="default"/>
          <w:rFonts w:cs="FrankRuehl" w:hint="cs"/>
          <w:vanish/>
          <w:sz w:val="18"/>
          <w:szCs w:val="22"/>
          <w:shd w:val="clear" w:color="auto" w:fill="FFFF99"/>
          <w:rtl/>
        </w:rPr>
        <w:t>;</w:t>
      </w:r>
    </w:p>
    <w:p w14:paraId="013DF5C7" w14:textId="77777777" w:rsidR="006B7F9D" w:rsidRPr="006B7F9D" w:rsidRDefault="006B7F9D" w:rsidP="006B7F9D">
      <w:pPr>
        <w:pStyle w:val="P00"/>
        <w:spacing w:before="0"/>
        <w:ind w:left="1021" w:right="1134"/>
        <w:rPr>
          <w:rStyle w:val="default"/>
          <w:rFonts w:cs="FrankRuehl" w:hint="cs"/>
          <w:sz w:val="2"/>
          <w:szCs w:val="2"/>
          <w:rtl/>
        </w:rPr>
      </w:pPr>
      <w:r w:rsidRPr="006B7F9D">
        <w:rPr>
          <w:rStyle w:val="default"/>
          <w:rFonts w:cs="FrankRuehl" w:hint="cs"/>
          <w:vanish/>
          <w:sz w:val="18"/>
          <w:szCs w:val="22"/>
          <w:shd w:val="clear" w:color="auto" w:fill="FFFF99"/>
          <w:rtl/>
        </w:rPr>
        <w:t xml:space="preserve">בניכוי הפחתה </w:t>
      </w:r>
      <w:r w:rsidRPr="006B7F9D">
        <w:rPr>
          <w:rStyle w:val="default"/>
          <w:rFonts w:cs="FrankRuehl" w:hint="cs"/>
          <w:strike/>
          <w:vanish/>
          <w:sz w:val="18"/>
          <w:szCs w:val="22"/>
          <w:shd w:val="clear" w:color="auto" w:fill="FFFF99"/>
          <w:rtl/>
        </w:rPr>
        <w:t>מוכרת לנכס ותיק</w:t>
      </w:r>
      <w:r w:rsidRPr="006B7F9D">
        <w:rPr>
          <w:rStyle w:val="default"/>
          <w:rFonts w:cs="FrankRuehl" w:hint="cs"/>
          <w:vanish/>
          <w:sz w:val="18"/>
          <w:szCs w:val="22"/>
          <w:shd w:val="clear" w:color="auto" w:fill="FFFF99"/>
          <w:rtl/>
        </w:rPr>
        <w:t xml:space="preserve"> </w:t>
      </w:r>
      <w:r w:rsidRPr="006B7F9D">
        <w:rPr>
          <w:rStyle w:val="default"/>
          <w:rFonts w:cs="FrankRuehl" w:hint="cs"/>
          <w:vanish/>
          <w:sz w:val="18"/>
          <w:szCs w:val="22"/>
          <w:u w:val="single"/>
          <w:shd w:val="clear" w:color="auto" w:fill="FFFF99"/>
          <w:rtl/>
        </w:rPr>
        <w:t>בשל דמי הקמה</w:t>
      </w:r>
      <w:r w:rsidRPr="006B7F9D">
        <w:rPr>
          <w:rStyle w:val="default"/>
          <w:rFonts w:cs="FrankRuehl" w:hint="cs"/>
          <w:vanish/>
          <w:sz w:val="18"/>
          <w:szCs w:val="22"/>
          <w:shd w:val="clear" w:color="auto" w:fill="FFFF99"/>
          <w:rtl/>
        </w:rPr>
        <w:t xml:space="preserve"> למ"ק.</w:t>
      </w:r>
      <w:bookmarkEnd w:id="10"/>
    </w:p>
    <w:p w14:paraId="410A8A84" w14:textId="77777777" w:rsidR="00550567" w:rsidRDefault="00550567" w:rsidP="0021721A">
      <w:pPr>
        <w:pStyle w:val="P00"/>
        <w:spacing w:before="72"/>
        <w:ind w:left="0" w:right="1134"/>
        <w:rPr>
          <w:rStyle w:val="default"/>
          <w:rFonts w:cs="FrankRuehl" w:hint="cs"/>
          <w:rtl/>
        </w:rPr>
      </w:pPr>
      <w:bookmarkStart w:id="11" w:name="Seif6"/>
      <w:bookmarkEnd w:id="11"/>
      <w:r>
        <w:rPr>
          <w:rFonts w:cs="Miriam"/>
          <w:lang w:val="he-IL"/>
        </w:rPr>
        <w:pict w14:anchorId="3C289547">
          <v:rect id="_x0000_s1360" style="position:absolute;left:0;text-align:left;margin-left:467.1pt;margin-top:7.1pt;width:72.3pt;height:9.8pt;z-index:251654656" o:allowincell="f" filled="f" stroked="f" strokecolor="lime" strokeweight=".25pt">
            <v:textbox style="mso-next-textbox:#_x0000_s1360" inset="0,0,0,0">
              <w:txbxContent>
                <w:p w14:paraId="126EF812" w14:textId="77777777" w:rsidR="00EC10AF" w:rsidRDefault="0021721A" w:rsidP="00550567">
                  <w:pPr>
                    <w:spacing w:line="160" w:lineRule="exact"/>
                    <w:rPr>
                      <w:rFonts w:cs="Miriam" w:hint="cs"/>
                      <w:noProof/>
                      <w:sz w:val="18"/>
                      <w:szCs w:val="18"/>
                      <w:rtl/>
                    </w:rPr>
                  </w:pPr>
                  <w:r>
                    <w:rPr>
                      <w:rFonts w:cs="Miriam" w:hint="cs"/>
                      <w:sz w:val="18"/>
                      <w:szCs w:val="18"/>
                      <w:rtl/>
                    </w:rPr>
                    <w:t>הון עצמי</w:t>
                  </w:r>
                </w:p>
              </w:txbxContent>
            </v:textbox>
            <w10:anchorlock/>
          </v:rect>
        </w:pict>
      </w:r>
      <w:r w:rsidR="000D3F79">
        <w:rPr>
          <w:rStyle w:val="big-number"/>
          <w:rFonts w:cs="Miriam" w:hint="cs"/>
          <w:rtl/>
        </w:rPr>
        <w:t>6</w:t>
      </w:r>
      <w:r>
        <w:rPr>
          <w:rStyle w:val="big-number"/>
          <w:rFonts w:cs="FrankRuehl"/>
          <w:sz w:val="26"/>
          <w:szCs w:val="26"/>
          <w:rtl/>
        </w:rPr>
        <w:t>.</w:t>
      </w:r>
      <w:r>
        <w:rPr>
          <w:rStyle w:val="big-number"/>
          <w:rFonts w:cs="FrankRuehl"/>
          <w:sz w:val="26"/>
          <w:szCs w:val="26"/>
          <w:rtl/>
        </w:rPr>
        <w:tab/>
      </w:r>
      <w:r w:rsidR="0004326E">
        <w:rPr>
          <w:rStyle w:val="default"/>
          <w:rFonts w:cs="FrankRuehl" w:hint="cs"/>
          <w:rtl/>
        </w:rPr>
        <w:t>(א)</w:t>
      </w:r>
      <w:r w:rsidR="0004326E">
        <w:rPr>
          <w:rStyle w:val="default"/>
          <w:rFonts w:cs="FrankRuehl" w:hint="cs"/>
          <w:rtl/>
        </w:rPr>
        <w:tab/>
      </w:r>
      <w:r w:rsidR="0021721A">
        <w:rPr>
          <w:rStyle w:val="default"/>
          <w:rFonts w:cs="FrankRuehl" w:hint="cs"/>
          <w:rtl/>
        </w:rPr>
        <w:t>ההון העצמי של רשות מקומית יהיה שווי חלקם של הנכסים המיועדים להעברה על ידיה לחברה אזורית בתמורה להקצאת מניות, כפי שאישר הממונה</w:t>
      </w:r>
      <w:r w:rsidR="000D3F79">
        <w:rPr>
          <w:rStyle w:val="default"/>
          <w:rFonts w:cs="FrankRuehl" w:hint="cs"/>
          <w:rtl/>
        </w:rPr>
        <w:t>.</w:t>
      </w:r>
    </w:p>
    <w:p w14:paraId="4C70BEC6" w14:textId="77777777" w:rsidR="0021721A" w:rsidRDefault="0021721A" w:rsidP="002172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ההון העצמי של חברה יהיה ההון העצמי שלה ליום 31 בדצמבר של השנה הקובעת.</w:t>
      </w:r>
    </w:p>
    <w:p w14:paraId="1C53888D" w14:textId="77777777" w:rsidR="0021721A" w:rsidRDefault="0021721A" w:rsidP="002172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ההון העצמי של חברה אזורית שטרם החלה לפעול בשנה הקובעת יהיה שווה לסך כל ההון העצמי של החברות שהתמזגו איתה ושל הרשויות המקומיות בלא חברה שהצטרפו אליה, בעת המיזוג או ההצטרפות, לפי העניין.</w:t>
      </w:r>
    </w:p>
    <w:p w14:paraId="4BAA3BCD" w14:textId="77777777" w:rsidR="00DE2B2A" w:rsidRDefault="00550567" w:rsidP="0021721A">
      <w:pPr>
        <w:pStyle w:val="P00"/>
        <w:spacing w:before="72"/>
        <w:ind w:left="0" w:right="1134"/>
        <w:rPr>
          <w:rStyle w:val="default"/>
          <w:rFonts w:cs="FrankRuehl" w:hint="cs"/>
          <w:rtl/>
        </w:rPr>
      </w:pPr>
      <w:bookmarkStart w:id="12" w:name="Seif7"/>
      <w:bookmarkEnd w:id="12"/>
      <w:r>
        <w:rPr>
          <w:rFonts w:cs="Miriam"/>
          <w:lang w:val="he-IL"/>
        </w:rPr>
        <w:pict w14:anchorId="7BF39929">
          <v:rect id="_x0000_s1361" style="position:absolute;left:0;text-align:left;margin-left:464.35pt;margin-top:7.1pt;width:75.05pt;height:16.95pt;z-index:251655680" o:allowincell="f" filled="f" stroked="f" strokecolor="lime" strokeweight=".25pt">
            <v:textbox style="mso-next-textbox:#_x0000_s1361" inset="0,0,0,0">
              <w:txbxContent>
                <w:p w14:paraId="714839F7" w14:textId="77777777" w:rsidR="00EC10AF" w:rsidRDefault="0021721A" w:rsidP="00550567">
                  <w:pPr>
                    <w:spacing w:line="160" w:lineRule="exact"/>
                    <w:rPr>
                      <w:rFonts w:cs="Miriam" w:hint="cs"/>
                      <w:noProof/>
                      <w:sz w:val="18"/>
                      <w:szCs w:val="18"/>
                      <w:rtl/>
                    </w:rPr>
                  </w:pPr>
                  <w:r>
                    <w:rPr>
                      <w:rFonts w:cs="Miriam" w:hint="cs"/>
                      <w:sz w:val="18"/>
                      <w:szCs w:val="18"/>
                      <w:rtl/>
                    </w:rPr>
                    <w:t>הכנסה שנתית מתוקננת</w:t>
                  </w:r>
                </w:p>
              </w:txbxContent>
            </v:textbox>
            <w10:anchorlock/>
          </v:rect>
        </w:pict>
      </w:r>
      <w:r w:rsidR="000D3F79">
        <w:rPr>
          <w:rStyle w:val="big-number"/>
          <w:rFonts w:cs="Miriam" w:hint="cs"/>
          <w:rtl/>
        </w:rPr>
        <w:t>7</w:t>
      </w:r>
      <w:r>
        <w:rPr>
          <w:rStyle w:val="big-number"/>
          <w:rFonts w:cs="FrankRuehl"/>
          <w:sz w:val="26"/>
          <w:szCs w:val="26"/>
          <w:rtl/>
        </w:rPr>
        <w:t>.</w:t>
      </w:r>
      <w:r>
        <w:rPr>
          <w:rStyle w:val="big-number"/>
          <w:rFonts w:cs="FrankRuehl"/>
          <w:sz w:val="26"/>
          <w:szCs w:val="26"/>
          <w:rtl/>
        </w:rPr>
        <w:tab/>
      </w:r>
      <w:r w:rsidR="0021721A">
        <w:rPr>
          <w:rStyle w:val="default"/>
          <w:rFonts w:cs="FrankRuehl" w:hint="cs"/>
          <w:rtl/>
        </w:rPr>
        <w:t>(א)</w:t>
      </w:r>
      <w:r w:rsidR="0021721A">
        <w:rPr>
          <w:rStyle w:val="default"/>
          <w:rFonts w:cs="FrankRuehl" w:hint="cs"/>
          <w:rtl/>
        </w:rPr>
        <w:tab/>
        <w:t xml:space="preserve">ההכנסה השנתית המתוקננת של רשות מקומית בלא חברה תהיה </w:t>
      </w:r>
      <w:r w:rsidR="0021721A">
        <w:rPr>
          <w:rStyle w:val="default"/>
          <w:rFonts w:cs="FrankRuehl"/>
          <w:rtl/>
        </w:rPr>
        <w:t>–</w:t>
      </w:r>
    </w:p>
    <w:p w14:paraId="5CC4F240" w14:textId="77777777" w:rsidR="0021721A" w:rsidRDefault="00736482" w:rsidP="002E1532">
      <w:pPr>
        <w:pStyle w:val="P00"/>
        <w:spacing w:before="72"/>
        <w:ind w:left="1021" w:right="1134"/>
        <w:jc w:val="center"/>
        <w:rPr>
          <w:rStyle w:val="default"/>
          <w:rFonts w:cs="FrankRuehl" w:hint="cs"/>
          <w:rtl/>
        </w:rPr>
      </w:pPr>
      <w:r w:rsidRPr="002E1532">
        <w:rPr>
          <w:rStyle w:val="default"/>
          <w:rFonts w:cs="FrankRuehl"/>
          <w:position w:val="-10"/>
        </w:rPr>
        <w:object w:dxaOrig="1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pt;height:14.1pt" o:ole="">
            <v:imagedata r:id="rId10" o:title=""/>
          </v:shape>
          <o:OLEObject Type="Embed" ProgID="Equation.3" ShapeID="_x0000_i1025" DrawAspect="Content" ObjectID="_1747509478" r:id="rId11"/>
        </w:object>
      </w:r>
    </w:p>
    <w:p w14:paraId="0A8E65BC" w14:textId="77777777" w:rsidR="0021721A" w:rsidRDefault="0021721A" w:rsidP="002172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ההכנסה השנתית המתוקננת </w:t>
      </w:r>
      <w:r w:rsidR="002E1532">
        <w:rPr>
          <w:rStyle w:val="default"/>
          <w:rFonts w:cs="FrankRuehl" w:hint="cs"/>
          <w:rtl/>
        </w:rPr>
        <w:t xml:space="preserve">של חברה תהיה </w:t>
      </w:r>
      <w:r w:rsidR="002E1532">
        <w:rPr>
          <w:rStyle w:val="default"/>
          <w:rFonts w:cs="FrankRuehl"/>
          <w:rtl/>
        </w:rPr>
        <w:t>–</w:t>
      </w:r>
    </w:p>
    <w:p w14:paraId="13E180AB" w14:textId="77777777" w:rsidR="002E1532" w:rsidRDefault="0067428B" w:rsidP="00736482">
      <w:pPr>
        <w:pStyle w:val="P00"/>
        <w:spacing w:before="72"/>
        <w:ind w:left="1021" w:right="1134"/>
        <w:jc w:val="center"/>
        <w:rPr>
          <w:rStyle w:val="default"/>
          <w:rFonts w:cs="FrankRuehl" w:hint="cs"/>
          <w:rtl/>
        </w:rPr>
      </w:pPr>
      <w:r w:rsidRPr="00736482">
        <w:rPr>
          <w:rStyle w:val="default"/>
          <w:rFonts w:cs="FrankRuehl"/>
          <w:position w:val="-26"/>
        </w:rPr>
        <w:object w:dxaOrig="1920" w:dyaOrig="620">
          <v:shape id="_x0000_i1026" type="#_x0000_t75" style="width:96pt;height:30.9pt" o:ole="">
            <v:imagedata r:id="rId12" o:title=""/>
          </v:shape>
          <o:OLEObject Type="Embed" ProgID="Equation.3" ShapeID="_x0000_i1026" DrawAspect="Content" ObjectID="_1747509479" r:id="rId13"/>
        </w:object>
      </w:r>
    </w:p>
    <w:p w14:paraId="4D11C968" w14:textId="77777777" w:rsidR="002E1532" w:rsidRDefault="002E1532" w:rsidP="002172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w:t>
      </w:r>
      <w:r w:rsidR="00736482">
        <w:rPr>
          <w:rStyle w:val="default"/>
          <w:rFonts w:cs="FrankRuehl" w:hint="cs"/>
          <w:rtl/>
        </w:rPr>
        <w:t xml:space="preserve"> בסעיף קטן (ב), ההכנסה השנתית המתוקננת של חברה אזורית שהחלה לפעול בשנה הקובעת תהיה שווה לסך כל ההכנסה השנתית המתוקננת של החברות שהתמזגו איתה ושל הרשויות המקומיות בלא תאגיד שהצטרפו אליה, בעת המיזוג או ההצטרפות, לפי העניין.</w:t>
      </w:r>
    </w:p>
    <w:p w14:paraId="3E6877D8" w14:textId="77777777" w:rsidR="002004B8" w:rsidRDefault="002004B8" w:rsidP="0067428B">
      <w:pPr>
        <w:pStyle w:val="P00"/>
        <w:spacing w:before="72"/>
        <w:ind w:left="0" w:right="1134"/>
        <w:rPr>
          <w:rStyle w:val="default"/>
          <w:rFonts w:cs="FrankRuehl" w:hint="cs"/>
          <w:rtl/>
        </w:rPr>
      </w:pPr>
      <w:bookmarkStart w:id="13" w:name="Seif8"/>
      <w:bookmarkEnd w:id="13"/>
      <w:r>
        <w:rPr>
          <w:rFonts w:cs="Miriam"/>
          <w:lang w:val="he-IL"/>
        </w:rPr>
        <w:pict w14:anchorId="4B47A7F7">
          <v:rect id="_x0000_s1377" style="position:absolute;left:0;text-align:left;margin-left:464.35pt;margin-top:7.1pt;width:75.05pt;height:21.5pt;z-index:251656704" o:allowincell="f" filled="f" stroked="f" strokecolor="lime" strokeweight=".25pt">
            <v:textbox style="mso-next-textbox:#_x0000_s1377" inset="0,0,0,0">
              <w:txbxContent>
                <w:p w14:paraId="73E9A420" w14:textId="77777777" w:rsidR="00EC10AF" w:rsidRDefault="0067428B" w:rsidP="002004B8">
                  <w:pPr>
                    <w:spacing w:line="160" w:lineRule="exact"/>
                    <w:rPr>
                      <w:rFonts w:cs="Miriam" w:hint="cs"/>
                      <w:noProof/>
                      <w:sz w:val="18"/>
                      <w:szCs w:val="18"/>
                      <w:rtl/>
                    </w:rPr>
                  </w:pPr>
                  <w:r>
                    <w:rPr>
                      <w:rFonts w:cs="Miriam" w:hint="cs"/>
                      <w:sz w:val="18"/>
                      <w:szCs w:val="18"/>
                      <w:rtl/>
                    </w:rPr>
                    <w:t>הקצאת מניות בהקמת חברה אזורית</w:t>
                  </w:r>
                </w:p>
              </w:txbxContent>
            </v:textbox>
            <w10:anchorlock/>
          </v:rect>
        </w:pict>
      </w:r>
      <w:r w:rsidR="00DE2B2A">
        <w:rPr>
          <w:rStyle w:val="big-number"/>
          <w:rFonts w:cs="Miriam" w:hint="cs"/>
          <w:rtl/>
        </w:rPr>
        <w:t>8</w:t>
      </w:r>
      <w:r>
        <w:rPr>
          <w:rStyle w:val="big-number"/>
          <w:rFonts w:cs="FrankRuehl"/>
          <w:sz w:val="26"/>
          <w:szCs w:val="26"/>
          <w:rtl/>
        </w:rPr>
        <w:t>.</w:t>
      </w:r>
      <w:r>
        <w:rPr>
          <w:rStyle w:val="big-number"/>
          <w:rFonts w:cs="FrankRuehl"/>
          <w:sz w:val="26"/>
          <w:szCs w:val="26"/>
          <w:rtl/>
        </w:rPr>
        <w:tab/>
      </w:r>
      <w:r w:rsidR="00DE2B2A">
        <w:rPr>
          <w:rStyle w:val="default"/>
          <w:rFonts w:cs="FrankRuehl" w:hint="cs"/>
          <w:rtl/>
        </w:rPr>
        <w:t>(א)</w:t>
      </w:r>
      <w:r w:rsidR="00DE2B2A">
        <w:rPr>
          <w:rStyle w:val="default"/>
          <w:rFonts w:cs="FrankRuehl" w:hint="cs"/>
          <w:rtl/>
        </w:rPr>
        <w:tab/>
      </w:r>
      <w:r w:rsidR="0067428B">
        <w:rPr>
          <w:rStyle w:val="default"/>
          <w:rFonts w:cs="FrankRuehl" w:hint="cs"/>
          <w:rtl/>
        </w:rPr>
        <w:t>בסעיף זה, "שיעור ההקצאה" משמעו הממוצע של שני אלה:</w:t>
      </w:r>
    </w:p>
    <w:p w14:paraId="48CA63DF" w14:textId="77777777" w:rsidR="0067428B" w:rsidRDefault="0067428B" w:rsidP="006742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היחס בין ההון העצמי של הרשות המקומית או החברה, לפי העניין, לבין סך כל ההון העצמי של כל החברות והרשויות המקומיות בלא חברה המקימות את החברה האזורית;</w:t>
      </w:r>
    </w:p>
    <w:p w14:paraId="17664A04" w14:textId="77777777" w:rsidR="0067428B" w:rsidRDefault="0067428B" w:rsidP="006742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היחס בין ההכנסה השנתית המתוקננת של הרשות המקומית או החברה, לפי העניין, לבין סך כל ההכנסה השנתית המתוקננת של כל החברות והרשויות המקומיות בלא חברה המקימות את החברה האזורית.</w:t>
      </w:r>
    </w:p>
    <w:p w14:paraId="4A32336D" w14:textId="77777777" w:rsidR="0067428B" w:rsidRDefault="0067428B" w:rsidP="006742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בלא חברה המקימה חברה אזורית תהיה זכאית לקבל מניות בחברה האזורית לפי שיעור ההקצאה שלה.</w:t>
      </w:r>
    </w:p>
    <w:p w14:paraId="02EBAA61" w14:textId="77777777" w:rsidR="0067428B" w:rsidRDefault="0067428B" w:rsidP="006742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המחזיקה במניות של חברה המקימה חברה אזורית תהיה זכאית לקבל מניות בחברה האזורית בשיעור השווה למכפלה של שיעור החזקותיה בחברה בשיעור ההקצאה של החברה.</w:t>
      </w:r>
    </w:p>
    <w:p w14:paraId="25F3ED2F" w14:textId="77777777" w:rsidR="002004B8" w:rsidRDefault="002004B8" w:rsidP="0067428B">
      <w:pPr>
        <w:pStyle w:val="P00"/>
        <w:spacing w:before="72"/>
        <w:ind w:left="0" w:right="1134"/>
        <w:rPr>
          <w:rStyle w:val="default"/>
          <w:rFonts w:cs="FrankRuehl" w:hint="cs"/>
          <w:rtl/>
        </w:rPr>
      </w:pPr>
      <w:bookmarkStart w:id="14" w:name="Seif9"/>
      <w:bookmarkEnd w:id="14"/>
      <w:r>
        <w:rPr>
          <w:rFonts w:cs="Miriam"/>
          <w:lang w:val="he-IL"/>
        </w:rPr>
        <w:pict w14:anchorId="17038221">
          <v:rect id="_x0000_s1378" style="position:absolute;left:0;text-align:left;margin-left:464.35pt;margin-top:7.1pt;width:75.05pt;height:24.2pt;z-index:251657728" o:allowincell="f" filled="f" stroked="f" strokecolor="lime" strokeweight=".25pt">
            <v:textbox style="mso-next-textbox:#_x0000_s1378" inset="0,0,0,0">
              <w:txbxContent>
                <w:p w14:paraId="729120FB" w14:textId="77777777" w:rsidR="00EC10AF" w:rsidRDefault="0067428B" w:rsidP="002004B8">
                  <w:pPr>
                    <w:spacing w:line="160" w:lineRule="exact"/>
                    <w:rPr>
                      <w:rFonts w:cs="Miriam" w:hint="cs"/>
                      <w:noProof/>
                      <w:sz w:val="18"/>
                      <w:szCs w:val="18"/>
                      <w:rtl/>
                    </w:rPr>
                  </w:pPr>
                  <w:r>
                    <w:rPr>
                      <w:rFonts w:cs="Miriam" w:hint="cs"/>
                      <w:sz w:val="18"/>
                      <w:szCs w:val="18"/>
                      <w:rtl/>
                    </w:rPr>
                    <w:t>הקצאת מניות בהצטרפות לחברה אזורית</w:t>
                  </w:r>
                </w:p>
              </w:txbxContent>
            </v:textbox>
            <w10:anchorlock/>
          </v:rect>
        </w:pict>
      </w:r>
      <w:r w:rsidR="00DE2B2A">
        <w:rPr>
          <w:rStyle w:val="big-number"/>
          <w:rFonts w:cs="Miriam" w:hint="cs"/>
          <w:rtl/>
        </w:rPr>
        <w:t>9</w:t>
      </w:r>
      <w:r>
        <w:rPr>
          <w:rStyle w:val="big-number"/>
          <w:rFonts w:cs="FrankRuehl"/>
          <w:sz w:val="26"/>
          <w:szCs w:val="26"/>
          <w:rtl/>
        </w:rPr>
        <w:t>.</w:t>
      </w:r>
      <w:r>
        <w:rPr>
          <w:rStyle w:val="big-number"/>
          <w:rFonts w:cs="FrankRuehl"/>
          <w:sz w:val="26"/>
          <w:szCs w:val="26"/>
          <w:rtl/>
        </w:rPr>
        <w:tab/>
      </w:r>
      <w:r w:rsidR="00DE2B2A">
        <w:rPr>
          <w:rStyle w:val="default"/>
          <w:rFonts w:cs="FrankRuehl" w:hint="cs"/>
          <w:rtl/>
        </w:rPr>
        <w:t>(א)</w:t>
      </w:r>
      <w:r w:rsidR="00DE2B2A">
        <w:rPr>
          <w:rStyle w:val="default"/>
          <w:rFonts w:cs="FrankRuehl" w:hint="cs"/>
          <w:rtl/>
        </w:rPr>
        <w:tab/>
      </w:r>
      <w:r w:rsidR="0067428B">
        <w:rPr>
          <w:rStyle w:val="default"/>
          <w:rFonts w:cs="FrankRuehl" w:hint="cs"/>
          <w:rtl/>
        </w:rPr>
        <w:t>בסעיף זה, "שיעור ההקצאה" משמעו הממוצע של שני אלה:</w:t>
      </w:r>
    </w:p>
    <w:p w14:paraId="19DEE26B" w14:textId="77777777" w:rsidR="0067428B" w:rsidRDefault="0067428B" w:rsidP="006742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היחס בין ההון העצמי של הרשות המקומית או החברה, לפי העניין (להלן </w:t>
      </w:r>
      <w:r>
        <w:rPr>
          <w:rStyle w:val="default"/>
          <w:rFonts w:cs="FrankRuehl"/>
          <w:rtl/>
        </w:rPr>
        <w:t>–</w:t>
      </w:r>
      <w:r>
        <w:rPr>
          <w:rStyle w:val="default"/>
          <w:rFonts w:cs="FrankRuehl" w:hint="cs"/>
          <w:rtl/>
        </w:rPr>
        <w:t xml:space="preserve"> הגוף המצטרף), לבין סך כל ההון העצמי של החברה האזורית והגוף המצטרף;</w:t>
      </w:r>
    </w:p>
    <w:p w14:paraId="16A0F226" w14:textId="77777777" w:rsidR="0067428B" w:rsidRDefault="0067428B" w:rsidP="006742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היחס בין ההכנסה השנתית המתוקננת של הגוף המצטרף, לבין סך כל ההכנסה השנתית המתוקננת של החברה האזורית והגוף המצטרף.</w:t>
      </w:r>
    </w:p>
    <w:p w14:paraId="37765606" w14:textId="77777777" w:rsidR="0067428B" w:rsidRDefault="0067428B" w:rsidP="006742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425B1">
        <w:rPr>
          <w:rStyle w:val="default"/>
          <w:rFonts w:cs="FrankRuehl" w:hint="cs"/>
          <w:rtl/>
        </w:rPr>
        <w:t>חברה אזורית תקצה לרשות מקומית בלא חברה המצטרפת אליה מניות בחברה האזורית לפי שיעור ההקצאה שלה.</w:t>
      </w:r>
    </w:p>
    <w:p w14:paraId="51CF0330" w14:textId="77777777" w:rsidR="002425B1" w:rsidRDefault="002425B1" w:rsidP="006742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המחזיקה במניות של חברה המתמזגת לחברה אזורית תהיה זכאית לקבל מניות בחברה האזורית בשיעור השווה למכפלה של שיעור החזקותיה בחברה בשיעור ההקצאה של החברה.</w:t>
      </w:r>
    </w:p>
    <w:p w14:paraId="0DBA2E91" w14:textId="77777777" w:rsidR="002004B8" w:rsidRDefault="002004B8" w:rsidP="00662D05">
      <w:pPr>
        <w:pStyle w:val="P00"/>
        <w:spacing w:before="72"/>
        <w:ind w:left="0" w:right="1134"/>
        <w:rPr>
          <w:rStyle w:val="default"/>
          <w:rFonts w:cs="FrankRuehl" w:hint="cs"/>
          <w:rtl/>
        </w:rPr>
      </w:pPr>
      <w:bookmarkStart w:id="15" w:name="Seif10"/>
      <w:bookmarkEnd w:id="15"/>
      <w:r>
        <w:rPr>
          <w:rFonts w:cs="Miriam"/>
          <w:lang w:val="he-IL"/>
        </w:rPr>
        <w:pict w14:anchorId="7CA3E5D4">
          <v:rect id="_x0000_s1379" style="position:absolute;left:0;text-align:left;margin-left:464.35pt;margin-top:7.1pt;width:75.05pt;height:16.95pt;z-index:251658752" o:allowincell="f" filled="f" stroked="f" strokecolor="lime" strokeweight=".25pt">
            <v:textbox style="mso-next-textbox:#_x0000_s1379" inset="0,0,0,0">
              <w:txbxContent>
                <w:p w14:paraId="2E681777" w14:textId="77777777" w:rsidR="00EC10AF" w:rsidRDefault="00662D05" w:rsidP="002004B8">
                  <w:pPr>
                    <w:spacing w:line="160" w:lineRule="exact"/>
                    <w:rPr>
                      <w:rFonts w:cs="Miriam" w:hint="cs"/>
                      <w:noProof/>
                      <w:sz w:val="18"/>
                      <w:szCs w:val="18"/>
                      <w:rtl/>
                    </w:rPr>
                  </w:pPr>
                  <w:r>
                    <w:rPr>
                      <w:rFonts w:cs="Miriam" w:hint="cs"/>
                      <w:sz w:val="18"/>
                      <w:szCs w:val="18"/>
                      <w:rtl/>
                    </w:rPr>
                    <w:t>הקצאת מניות בהסכמה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662D05">
        <w:rPr>
          <w:rStyle w:val="default"/>
          <w:rFonts w:cs="FrankRuehl" w:hint="cs"/>
          <w:rtl/>
        </w:rPr>
        <w:t>על אף האמור בסעיפים 8 ו-9, רשאים בעלי המניות בחברה אזורית להסכים ביניהם על הקצאת מניות בשיעור שונה, באישור הממונה</w:t>
      </w:r>
      <w:r w:rsidR="00EC10AF">
        <w:rPr>
          <w:rStyle w:val="default"/>
          <w:rFonts w:cs="FrankRuehl" w:hint="cs"/>
          <w:rtl/>
        </w:rPr>
        <w:t>.</w:t>
      </w:r>
    </w:p>
    <w:p w14:paraId="3A993A42" w14:textId="77777777" w:rsidR="00662D05" w:rsidRPr="00662D05" w:rsidRDefault="00662D05" w:rsidP="00662D05">
      <w:pPr>
        <w:pStyle w:val="medium2-header"/>
        <w:keepLines w:val="0"/>
        <w:spacing w:before="72"/>
        <w:ind w:left="0" w:right="1134"/>
        <w:rPr>
          <w:rFonts w:cs="FrankRuehl" w:hint="cs"/>
          <w:noProof/>
          <w:sz w:val="20"/>
          <w:rtl/>
        </w:rPr>
      </w:pPr>
      <w:bookmarkStart w:id="16" w:name="med3"/>
      <w:bookmarkEnd w:id="16"/>
      <w:r w:rsidRPr="00662D05">
        <w:rPr>
          <w:rFonts w:cs="FrankRuehl" w:hint="cs"/>
          <w:noProof/>
          <w:sz w:val="20"/>
          <w:rtl/>
        </w:rPr>
        <w:t>פרק רביעי: התחייבויות והגבלות</w:t>
      </w:r>
    </w:p>
    <w:p w14:paraId="235CB7B1" w14:textId="77777777" w:rsidR="002004B8" w:rsidRDefault="002004B8" w:rsidP="00662D05">
      <w:pPr>
        <w:pStyle w:val="P00"/>
        <w:spacing w:before="72"/>
        <w:ind w:left="0" w:right="1134"/>
        <w:rPr>
          <w:rStyle w:val="default"/>
          <w:rFonts w:cs="FrankRuehl" w:hint="cs"/>
          <w:rtl/>
        </w:rPr>
      </w:pPr>
      <w:bookmarkStart w:id="17" w:name="Seif11"/>
      <w:bookmarkEnd w:id="17"/>
      <w:r>
        <w:rPr>
          <w:rFonts w:cs="Miriam"/>
          <w:lang w:val="he-IL"/>
        </w:rPr>
        <w:pict w14:anchorId="36B4FEE9">
          <v:rect id="_x0000_s1380" style="position:absolute;left:0;text-align:left;margin-left:464.35pt;margin-top:7.1pt;width:75.05pt;height:16.95pt;z-index:251659776" o:allowincell="f" filled="f" stroked="f" strokecolor="lime" strokeweight=".25pt">
            <v:textbox style="mso-next-textbox:#_x0000_s1380" inset="0,0,0,0">
              <w:txbxContent>
                <w:p w14:paraId="619CF95A" w14:textId="77777777" w:rsidR="00EC10AF" w:rsidRDefault="00662D05" w:rsidP="002004B8">
                  <w:pPr>
                    <w:spacing w:line="160" w:lineRule="exact"/>
                    <w:rPr>
                      <w:rFonts w:cs="Miriam" w:hint="cs"/>
                      <w:noProof/>
                      <w:sz w:val="18"/>
                      <w:szCs w:val="18"/>
                      <w:rtl/>
                    </w:rPr>
                  </w:pPr>
                  <w:r>
                    <w:rPr>
                      <w:rFonts w:cs="Miriam" w:hint="cs"/>
                      <w:sz w:val="18"/>
                      <w:szCs w:val="18"/>
                      <w:rtl/>
                    </w:rPr>
                    <w:t>התחייבות בהקמה</w:t>
                  </w:r>
                </w:p>
              </w:txbxContent>
            </v:textbox>
            <w10:anchorlock/>
          </v:rect>
        </w:pict>
      </w:r>
      <w:r>
        <w:rPr>
          <w:rStyle w:val="big-number"/>
          <w:rFonts w:cs="Miriam" w:hint="cs"/>
          <w:rtl/>
        </w:rPr>
        <w:t>1</w:t>
      </w:r>
      <w:r w:rsidR="00EC10AF">
        <w:rPr>
          <w:rStyle w:val="big-number"/>
          <w:rFonts w:cs="Miriam" w:hint="cs"/>
          <w:rtl/>
        </w:rPr>
        <w:t>1</w:t>
      </w:r>
      <w:r>
        <w:rPr>
          <w:rStyle w:val="big-number"/>
          <w:rFonts w:cs="FrankRuehl"/>
          <w:sz w:val="26"/>
          <w:szCs w:val="26"/>
          <w:rtl/>
        </w:rPr>
        <w:t>.</w:t>
      </w:r>
      <w:r>
        <w:rPr>
          <w:rStyle w:val="big-number"/>
          <w:rFonts w:cs="FrankRuehl"/>
          <w:sz w:val="26"/>
          <w:szCs w:val="26"/>
          <w:rtl/>
        </w:rPr>
        <w:tab/>
      </w:r>
      <w:r w:rsidR="00662D05">
        <w:rPr>
          <w:rStyle w:val="default"/>
          <w:rFonts w:cs="FrankRuehl" w:hint="cs"/>
          <w:rtl/>
        </w:rPr>
        <w:t>חברות קבוצה המבקשות להקים חברה אזורית לפני המועד הקובע, ימסרו לממונה ולכל אחת מחברות הקבוצה האחרות התחייבות בכתב להימנע מפגיעה בזכויות מהותיות של שאר חברות הקבוצה, לרבות בזכותן להצטרף לחברה האזורית, וכי יפעלו לגרום לחברה האזורית לבצע את כל הפעולות הנדרשות לפי החוק לשם מיזוג והצטרפות עתידית לחברה של אותן חברות קבוצה.</w:t>
      </w:r>
    </w:p>
    <w:p w14:paraId="36FFC03E" w14:textId="77777777" w:rsidR="002004B8" w:rsidRDefault="002004B8" w:rsidP="00662D05">
      <w:pPr>
        <w:pStyle w:val="P00"/>
        <w:spacing w:before="72"/>
        <w:ind w:left="0" w:right="1134"/>
        <w:rPr>
          <w:rStyle w:val="default"/>
          <w:rFonts w:cs="FrankRuehl" w:hint="cs"/>
          <w:rtl/>
        </w:rPr>
      </w:pPr>
      <w:bookmarkStart w:id="18" w:name="Seif12"/>
      <w:bookmarkEnd w:id="18"/>
      <w:r>
        <w:rPr>
          <w:rFonts w:cs="Miriam"/>
          <w:lang w:val="he-IL"/>
        </w:rPr>
        <w:pict w14:anchorId="58A40516">
          <v:rect id="_x0000_s1381" style="position:absolute;left:0;text-align:left;margin-left:464.35pt;margin-top:7.1pt;width:75.05pt;height:16.95pt;z-index:251660800" o:allowincell="f" filled="f" stroked="f" strokecolor="lime" strokeweight=".25pt">
            <v:textbox style="mso-next-textbox:#_x0000_s1381" inset="0,0,0,0">
              <w:txbxContent>
                <w:p w14:paraId="3F904D07" w14:textId="77777777" w:rsidR="00EC10AF" w:rsidRDefault="00662D05" w:rsidP="002004B8">
                  <w:pPr>
                    <w:spacing w:line="160" w:lineRule="exact"/>
                    <w:rPr>
                      <w:rFonts w:cs="Miriam" w:hint="cs"/>
                      <w:noProof/>
                      <w:sz w:val="18"/>
                      <w:szCs w:val="18"/>
                      <w:rtl/>
                    </w:rPr>
                  </w:pPr>
                  <w:r>
                    <w:rPr>
                      <w:rFonts w:cs="Miriam" w:hint="cs"/>
                      <w:sz w:val="18"/>
                      <w:szCs w:val="18"/>
                      <w:rtl/>
                    </w:rPr>
                    <w:t>הגבלה על התקשרויות</w:t>
                  </w:r>
                </w:p>
              </w:txbxContent>
            </v:textbox>
            <w10:anchorlock/>
          </v:rect>
        </w:pict>
      </w:r>
      <w:r>
        <w:rPr>
          <w:rStyle w:val="big-number"/>
          <w:rFonts w:cs="Miriam" w:hint="cs"/>
          <w:rtl/>
        </w:rPr>
        <w:t>1</w:t>
      </w:r>
      <w:r w:rsidR="00EC10AF">
        <w:rPr>
          <w:rStyle w:val="big-number"/>
          <w:rFonts w:cs="Miriam" w:hint="cs"/>
          <w:rtl/>
        </w:rPr>
        <w:t>2</w:t>
      </w:r>
      <w:r w:rsidR="00EC10AF">
        <w:rPr>
          <w:rStyle w:val="default"/>
          <w:rFonts w:cs="FrankRuehl" w:hint="cs"/>
          <w:rtl/>
        </w:rPr>
        <w:t>.</w:t>
      </w:r>
      <w:r w:rsidR="00EC10AF">
        <w:rPr>
          <w:rStyle w:val="default"/>
          <w:rFonts w:cs="FrankRuehl" w:hint="cs"/>
          <w:rtl/>
        </w:rPr>
        <w:tab/>
        <w:t>(א)</w:t>
      </w:r>
      <w:r w:rsidR="00EC10AF">
        <w:rPr>
          <w:rStyle w:val="default"/>
          <w:rFonts w:cs="FrankRuehl" w:hint="cs"/>
          <w:rtl/>
        </w:rPr>
        <w:tab/>
      </w:r>
      <w:r w:rsidR="00662D05">
        <w:rPr>
          <w:rStyle w:val="default"/>
          <w:rFonts w:cs="FrankRuehl" w:hint="cs"/>
          <w:rtl/>
        </w:rPr>
        <w:t>חברה לא תתקשר בהסכם עם נקבע בו כי מיזוגה של החברה עם חברה אזורית לפי החוק ייחשב כמפר אותו או יהווה עילה לסיומו או לשינוי בתנאיו.</w:t>
      </w:r>
    </w:p>
    <w:p w14:paraId="0C7ED42E" w14:textId="77777777" w:rsidR="00662D05" w:rsidRDefault="00662D05" w:rsidP="00662D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לא תתקשר בהסכם שעניינו רכישת שירותים על ידיה אלא אם כן נקבעה בו הוראה המקנה לחברה, במקרה של מיזוגה עם חברה אזורית לפי החוק, זכות להפסיק את ההתקשרות בהסכם לפני סיומו בהודעה מוקדמת של עד 180 ימים.</w:t>
      </w:r>
    </w:p>
    <w:p w14:paraId="789EB163" w14:textId="77777777" w:rsidR="00662D05" w:rsidRDefault="00662D05" w:rsidP="00662D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לבקשת חברה, לאשר לחברה לחרוג מהוראות סעיפים (א) או (ב), אם שוכנע כי אין בחריגה כדי למנוע או להקשות על מיזוג עתידי של החברה.</w:t>
      </w:r>
    </w:p>
    <w:p w14:paraId="7B082A82" w14:textId="77777777" w:rsidR="002004B8" w:rsidRDefault="002004B8" w:rsidP="00662D05">
      <w:pPr>
        <w:pStyle w:val="P00"/>
        <w:spacing w:before="72"/>
        <w:ind w:left="0" w:right="1134"/>
        <w:rPr>
          <w:rStyle w:val="default"/>
          <w:rFonts w:cs="FrankRuehl" w:hint="cs"/>
          <w:rtl/>
        </w:rPr>
      </w:pPr>
      <w:bookmarkStart w:id="19" w:name="Seif13"/>
      <w:bookmarkEnd w:id="19"/>
      <w:r>
        <w:rPr>
          <w:rFonts w:cs="Miriam"/>
          <w:lang w:val="he-IL"/>
        </w:rPr>
        <w:pict w14:anchorId="27641208">
          <v:rect id="_x0000_s1382" style="position:absolute;left:0;text-align:left;margin-left:464.35pt;margin-top:7.1pt;width:75.05pt;height:16.95pt;z-index:251661824" o:allowincell="f" filled="f" stroked="f" strokecolor="lime" strokeweight=".25pt">
            <v:textbox style="mso-next-textbox:#_x0000_s1382" inset="0,0,0,0">
              <w:txbxContent>
                <w:p w14:paraId="7D9169CD" w14:textId="77777777" w:rsidR="00EC10AF" w:rsidRDefault="00662D05" w:rsidP="002004B8">
                  <w:pPr>
                    <w:spacing w:line="160" w:lineRule="exact"/>
                    <w:rPr>
                      <w:rFonts w:cs="Miriam" w:hint="cs"/>
                      <w:noProof/>
                      <w:sz w:val="18"/>
                      <w:szCs w:val="18"/>
                      <w:rtl/>
                    </w:rPr>
                  </w:pPr>
                  <w:r>
                    <w:rPr>
                      <w:rFonts w:cs="Miriam" w:hint="cs"/>
                      <w:sz w:val="18"/>
                      <w:szCs w:val="18"/>
                      <w:rtl/>
                    </w:rPr>
                    <w:t>הגבלות על חלוקה ונטילת אשראי</w:t>
                  </w:r>
                </w:p>
              </w:txbxContent>
            </v:textbox>
            <w10:anchorlock/>
          </v:rect>
        </w:pict>
      </w:r>
      <w:r>
        <w:rPr>
          <w:rStyle w:val="big-number"/>
          <w:rFonts w:cs="Miriam" w:hint="cs"/>
          <w:rtl/>
        </w:rPr>
        <w:t>1</w:t>
      </w:r>
      <w:r w:rsidR="00EC10AF">
        <w:rPr>
          <w:rStyle w:val="big-number"/>
          <w:rFonts w:cs="Miriam" w:hint="cs"/>
          <w:rtl/>
        </w:rPr>
        <w:t>3</w:t>
      </w:r>
      <w:r>
        <w:rPr>
          <w:rStyle w:val="big-number"/>
          <w:rFonts w:cs="FrankRuehl"/>
          <w:sz w:val="26"/>
          <w:szCs w:val="26"/>
          <w:rtl/>
        </w:rPr>
        <w:t>.</w:t>
      </w:r>
      <w:r>
        <w:rPr>
          <w:rStyle w:val="big-number"/>
          <w:rFonts w:cs="FrankRuehl"/>
          <w:sz w:val="26"/>
          <w:szCs w:val="26"/>
          <w:rtl/>
        </w:rPr>
        <w:tab/>
      </w:r>
      <w:r w:rsidR="00662D05">
        <w:rPr>
          <w:rStyle w:val="default"/>
          <w:rFonts w:cs="FrankRuehl" w:hint="cs"/>
          <w:rtl/>
        </w:rPr>
        <w:t>חברה אזורית לא תבצע חלוקה ולא תלווה כספים אם כתוצאה מביצוע החלוקה או מנטילת ההלוואה, יתקיים אחד מאלה:</w:t>
      </w:r>
    </w:p>
    <w:p w14:paraId="0353ADB3" w14:textId="77777777" w:rsidR="00662D05" w:rsidRDefault="00662D05" w:rsidP="00662D0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היחס בין ההון העצמי לבין סך כל המאזן שלה, בניכוי היטלי פיתוח שנרשמו במאזנה כהכנסה נדחית, יפחת מ-35%;</w:t>
      </w:r>
    </w:p>
    <w:p w14:paraId="3C3B51DE" w14:textId="77777777" w:rsidR="00662D05" w:rsidRDefault="00662D05" w:rsidP="00662D0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היחס בין הרווח התפעולי המצטבר לבין סכום הוצאות המימון והחלויות השוטפות המצטבר בחמש השנים הקרובות, לפי התכנית העסקית שלה, יפחת מ-1.15; לעניין זה, "רווח תפעולי" </w:t>
      </w:r>
      <w:r>
        <w:rPr>
          <w:rStyle w:val="default"/>
          <w:rFonts w:cs="FrankRuehl"/>
          <w:rtl/>
        </w:rPr>
        <w:t>–</w:t>
      </w:r>
      <w:r>
        <w:rPr>
          <w:rStyle w:val="default"/>
          <w:rFonts w:cs="FrankRuehl" w:hint="cs"/>
          <w:rtl/>
        </w:rPr>
        <w:t xml:space="preserve"> הרווח התפעולי השנתי של החברה לפני הוצאות מימון ופחת על רכוש קבוע, בתוספת הכנסות אחרות ותשלומים חד-פעמיים בעד הקמת מערכת מים או מערכת ביוב הצפויים להירשם בספרי החברה לפי התכנית העסקית, ובניכוי סך כל ההשקעות בשיקום ובפיתוח מערכת המים והביוב כפי שנקבעו בתכנית העסקית;</w:t>
      </w:r>
    </w:p>
    <w:p w14:paraId="4AC08113" w14:textId="77777777" w:rsidR="00662D05" w:rsidRDefault="00662D05" w:rsidP="00662D0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תזרים המזומנים החזוי שלה באחת מחמש השנים הקרובות, לפי התכנית העסקית, יהיה שלילי.</w:t>
      </w:r>
    </w:p>
    <w:p w14:paraId="5624950F" w14:textId="77777777" w:rsidR="00B42B94" w:rsidRDefault="00B42B94" w:rsidP="00662D05">
      <w:pPr>
        <w:pStyle w:val="P00"/>
        <w:spacing w:before="72"/>
        <w:ind w:left="0" w:right="1134"/>
        <w:rPr>
          <w:rStyle w:val="default"/>
          <w:rFonts w:cs="FrankRuehl" w:hint="cs"/>
          <w:rtl/>
        </w:rPr>
      </w:pPr>
      <w:bookmarkStart w:id="20" w:name="Seif14"/>
      <w:bookmarkEnd w:id="20"/>
      <w:r>
        <w:rPr>
          <w:rFonts w:cs="Miriam"/>
          <w:lang w:val="he-IL"/>
        </w:rPr>
        <w:pict w14:anchorId="45148C1B">
          <v:rect id="_x0000_s1383" style="position:absolute;left:0;text-align:left;margin-left:464.35pt;margin-top:7.1pt;width:75.05pt;height:10.8pt;z-index:251662848" o:allowincell="f" filled="f" stroked="f" strokecolor="lime" strokeweight=".25pt">
            <v:textbox style="mso-next-textbox:#_x0000_s1383" inset="0,0,0,0">
              <w:txbxContent>
                <w:p w14:paraId="1A0D45AF" w14:textId="77777777" w:rsidR="00B42B94" w:rsidRDefault="00662D05" w:rsidP="00B42B94">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662D05">
        <w:rPr>
          <w:rStyle w:val="big-number"/>
          <w:rFonts w:cs="Miriam" w:hint="cs"/>
          <w:rtl/>
        </w:rPr>
        <w:t>4</w:t>
      </w:r>
      <w:r>
        <w:rPr>
          <w:rStyle w:val="big-number"/>
          <w:rFonts w:cs="FrankRuehl"/>
          <w:sz w:val="26"/>
          <w:szCs w:val="26"/>
          <w:rtl/>
        </w:rPr>
        <w:t>.</w:t>
      </w:r>
      <w:r>
        <w:rPr>
          <w:rStyle w:val="big-number"/>
          <w:rFonts w:cs="FrankRuehl"/>
          <w:sz w:val="26"/>
          <w:szCs w:val="26"/>
          <w:rtl/>
        </w:rPr>
        <w:tab/>
      </w:r>
      <w:r w:rsidR="00662D05">
        <w:rPr>
          <w:rStyle w:val="default"/>
          <w:rFonts w:cs="FrankRuehl" w:hint="cs"/>
          <w:rtl/>
        </w:rPr>
        <w:t>תחילתם של כללים אלה שלושים ימים מיום פרסומם</w:t>
      </w:r>
      <w:r>
        <w:rPr>
          <w:rStyle w:val="default"/>
          <w:rFonts w:cs="FrankRuehl" w:hint="cs"/>
          <w:rtl/>
        </w:rPr>
        <w:t>.</w:t>
      </w:r>
    </w:p>
    <w:p w14:paraId="54775483" w14:textId="77777777" w:rsidR="002004B8" w:rsidRDefault="002004B8">
      <w:pPr>
        <w:pStyle w:val="P00"/>
        <w:spacing w:before="72"/>
        <w:ind w:left="0" w:right="1134"/>
        <w:rPr>
          <w:rStyle w:val="default"/>
          <w:rFonts w:cs="FrankRuehl" w:hint="cs"/>
          <w:rtl/>
        </w:rPr>
      </w:pPr>
    </w:p>
    <w:p w14:paraId="00F20D4B" w14:textId="77777777" w:rsidR="002004B8" w:rsidRDefault="002004B8">
      <w:pPr>
        <w:pStyle w:val="P00"/>
        <w:spacing w:before="72"/>
        <w:ind w:left="0" w:right="1134"/>
        <w:rPr>
          <w:rStyle w:val="default"/>
          <w:rFonts w:cs="FrankRuehl" w:hint="cs"/>
          <w:rtl/>
        </w:rPr>
      </w:pPr>
    </w:p>
    <w:p w14:paraId="60F4B8B5" w14:textId="77777777" w:rsidR="00E261C8" w:rsidRDefault="00662D05" w:rsidP="00662D0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כ"ב בטבת התשע"ד (25 בדצמבר 2013</w:t>
      </w:r>
      <w:r w:rsidR="00362DE4">
        <w:rPr>
          <w:rStyle w:val="default"/>
          <w:rFonts w:cs="FrankRuehl" w:hint="cs"/>
          <w:rtl/>
        </w:rPr>
        <w:t>)</w:t>
      </w:r>
      <w:r w:rsidR="00731689">
        <w:rPr>
          <w:rStyle w:val="default"/>
          <w:rFonts w:cs="FrankRuehl" w:hint="cs"/>
          <w:rtl/>
        </w:rPr>
        <w:tab/>
      </w:r>
      <w:r>
        <w:rPr>
          <w:rStyle w:val="default"/>
          <w:rFonts w:cs="FrankRuehl" w:hint="cs"/>
          <w:rtl/>
        </w:rPr>
        <w:t>אלכסנדר קושניר</w:t>
      </w:r>
    </w:p>
    <w:p w14:paraId="275ED604" w14:textId="77777777" w:rsidR="00E261C8" w:rsidRDefault="00731689" w:rsidP="00662D0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 xml:space="preserve">יושב ראש מועצת </w:t>
      </w:r>
    </w:p>
    <w:p w14:paraId="7C4529B9" w14:textId="77777777" w:rsidR="00362DE4" w:rsidRDefault="00362DE4" w:rsidP="00662D0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62D05">
        <w:rPr>
          <w:rFonts w:cs="FrankRuehl" w:hint="cs"/>
          <w:sz w:val="22"/>
          <w:szCs w:val="22"/>
          <w:rtl/>
        </w:rPr>
        <w:t>הרשות הממשלתית למים ולביוב</w:t>
      </w:r>
    </w:p>
    <w:p w14:paraId="045E88FC" w14:textId="77777777" w:rsidR="00F850ED" w:rsidRDefault="00F850ED" w:rsidP="006A0293">
      <w:pPr>
        <w:pStyle w:val="P00"/>
        <w:spacing w:before="72"/>
        <w:ind w:left="0" w:right="1134"/>
        <w:rPr>
          <w:rStyle w:val="default"/>
          <w:rFonts w:cs="FrankRuehl"/>
          <w:rtl/>
        </w:rPr>
      </w:pPr>
    </w:p>
    <w:p w14:paraId="39B9D8E1" w14:textId="77777777" w:rsidR="0029639B" w:rsidRDefault="0029639B" w:rsidP="006A0293">
      <w:pPr>
        <w:pStyle w:val="P00"/>
        <w:spacing w:before="72"/>
        <w:ind w:left="0" w:right="1134"/>
        <w:rPr>
          <w:rStyle w:val="default"/>
          <w:rFonts w:cs="FrankRuehl"/>
          <w:rtl/>
        </w:rPr>
      </w:pPr>
    </w:p>
    <w:p w14:paraId="29C20575" w14:textId="77777777" w:rsidR="006A23DF" w:rsidRDefault="006A23DF" w:rsidP="006A23DF">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13582B8E" w14:textId="77777777" w:rsidR="002E7A0A" w:rsidRPr="006A23DF" w:rsidRDefault="002E7A0A" w:rsidP="006A23DF">
      <w:pPr>
        <w:pStyle w:val="P00"/>
        <w:spacing w:before="72"/>
        <w:ind w:left="0" w:right="1134"/>
        <w:jc w:val="center"/>
        <w:rPr>
          <w:rStyle w:val="default"/>
          <w:rFonts w:cs="David"/>
          <w:color w:val="0000FF"/>
          <w:szCs w:val="24"/>
          <w:u w:val="single"/>
          <w:rtl/>
        </w:rPr>
      </w:pPr>
    </w:p>
    <w:sectPr w:rsidR="002E7A0A" w:rsidRPr="006A23DF">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AB1D" w14:textId="77777777" w:rsidR="00B95F35" w:rsidRDefault="00B95F35">
      <w:r>
        <w:separator/>
      </w:r>
    </w:p>
  </w:endnote>
  <w:endnote w:type="continuationSeparator" w:id="0">
    <w:p w14:paraId="32F390FF" w14:textId="77777777" w:rsidR="00B95F35" w:rsidRDefault="00B9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1E93" w14:textId="77777777"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DFE642" w14:textId="77777777"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9171BA" w14:textId="77777777"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23DF">
      <w:rPr>
        <w:rFonts w:cs="TopType Jerushalmi"/>
        <w:noProof/>
        <w:color w:val="000000"/>
        <w:sz w:val="14"/>
        <w:szCs w:val="14"/>
      </w:rPr>
      <w:t>Z:\00000000000000000000000=2014------------------------\05-May\2014-05-28\LawsForHofit\01\500_963.doc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8D84" w14:textId="77777777"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75B5">
      <w:rPr>
        <w:rFonts w:hAnsi="FrankRuehl" w:cs="FrankRuehl"/>
        <w:noProof/>
        <w:sz w:val="24"/>
        <w:szCs w:val="24"/>
        <w:rtl/>
      </w:rPr>
      <w:t>5</w:t>
    </w:r>
    <w:r>
      <w:rPr>
        <w:rFonts w:hAnsi="FrankRuehl" w:cs="FrankRuehl"/>
        <w:sz w:val="24"/>
        <w:szCs w:val="24"/>
        <w:rtl/>
      </w:rPr>
      <w:fldChar w:fldCharType="end"/>
    </w:r>
  </w:p>
  <w:p w14:paraId="079EEF2D" w14:textId="77777777"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4A4C3D" w14:textId="77777777"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23DF">
      <w:rPr>
        <w:rFonts w:cs="TopType Jerushalmi"/>
        <w:noProof/>
        <w:color w:val="000000"/>
        <w:sz w:val="14"/>
        <w:szCs w:val="14"/>
      </w:rPr>
      <w:t>Z:\00000000000000000000000=2014------------------------\05-May\2014-05-28\LawsForHofit\01\500_963.doc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FC16C" w14:textId="77777777" w:rsidR="00B95F35" w:rsidRDefault="00B95F35">
      <w:pPr>
        <w:pStyle w:val="a5"/>
        <w:rPr>
          <w:rFonts w:cs="David"/>
          <w:sz w:val="24"/>
          <w:szCs w:val="24"/>
        </w:rPr>
      </w:pPr>
      <w:r>
        <w:separator/>
      </w:r>
    </w:p>
  </w:footnote>
  <w:footnote w:type="continuationSeparator" w:id="0">
    <w:p w14:paraId="2471E88A" w14:textId="77777777" w:rsidR="00B95F35" w:rsidRDefault="00B95F35">
      <w:r>
        <w:continuationSeparator/>
      </w:r>
    </w:p>
  </w:footnote>
  <w:footnote w:id="1">
    <w:p w14:paraId="14D44FBE" w14:textId="77777777" w:rsidR="00900B00" w:rsidRDefault="00EC10AF" w:rsidP="00900B0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900B00">
          <w:rPr>
            <w:rStyle w:val="Hyperlink"/>
            <w:rFonts w:cs="FrankRuehl" w:hint="cs"/>
            <w:rtl/>
          </w:rPr>
          <w:t>ק"ת תשע"</w:t>
        </w:r>
        <w:r w:rsidR="00B42B94" w:rsidRPr="00900B00">
          <w:rPr>
            <w:rStyle w:val="Hyperlink"/>
            <w:rFonts w:cs="FrankRuehl" w:hint="cs"/>
            <w:rtl/>
          </w:rPr>
          <w:t>ד</w:t>
        </w:r>
        <w:r w:rsidRPr="00900B00">
          <w:rPr>
            <w:rStyle w:val="Hyperlink"/>
            <w:rFonts w:cs="FrankRuehl" w:hint="cs"/>
            <w:rtl/>
          </w:rPr>
          <w:t xml:space="preserve"> מס' </w:t>
        </w:r>
        <w:r w:rsidR="00B42B94" w:rsidRPr="00900B00">
          <w:rPr>
            <w:rStyle w:val="Hyperlink"/>
            <w:rFonts w:cs="FrankRuehl" w:hint="cs"/>
            <w:rtl/>
          </w:rPr>
          <w:t>7320</w:t>
        </w:r>
      </w:hyperlink>
      <w:r>
        <w:rPr>
          <w:rFonts w:cs="FrankRuehl" w:hint="cs"/>
          <w:rtl/>
        </w:rPr>
        <w:t xml:space="preserve"> מיום </w:t>
      </w:r>
      <w:r w:rsidR="00B42B94">
        <w:rPr>
          <w:rFonts w:cs="FrankRuehl" w:hint="cs"/>
          <w:rtl/>
        </w:rPr>
        <w:t>31.12.2013</w:t>
      </w:r>
      <w:r>
        <w:rPr>
          <w:rFonts w:cs="FrankRuehl" w:hint="cs"/>
          <w:rtl/>
        </w:rPr>
        <w:t xml:space="preserve"> עמ' </w:t>
      </w:r>
      <w:r w:rsidR="00B42B94">
        <w:rPr>
          <w:rFonts w:cs="FrankRuehl" w:hint="cs"/>
          <w:rtl/>
        </w:rPr>
        <w:t>372</w:t>
      </w:r>
      <w:r>
        <w:rPr>
          <w:rFonts w:cs="FrankRuehl" w:hint="cs"/>
          <w:rtl/>
        </w:rPr>
        <w:t>.</w:t>
      </w:r>
    </w:p>
    <w:p w14:paraId="3003F754" w14:textId="77777777" w:rsidR="00E275B5" w:rsidRDefault="006B7F9D" w:rsidP="00E275B5">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hint="cs"/>
          <w:rtl/>
        </w:rPr>
        <w:t xml:space="preserve">תוקנו </w:t>
      </w:r>
      <w:hyperlink r:id="rId2" w:history="1">
        <w:r w:rsidRPr="00E275B5">
          <w:rPr>
            <w:rStyle w:val="Hyperlink"/>
            <w:rFonts w:cs="FrankRuehl" w:hint="cs"/>
            <w:rtl/>
          </w:rPr>
          <w:t>ק"ת תשע"ה מס' 7505</w:t>
        </w:r>
      </w:hyperlink>
      <w:r>
        <w:rPr>
          <w:rFonts w:cs="FrankRuehl" w:hint="cs"/>
          <w:rtl/>
        </w:rPr>
        <w:t xml:space="preserve"> מיום 31.3.2015 עמ' 1134 </w:t>
      </w:r>
      <w:r>
        <w:rPr>
          <w:rFonts w:cs="FrankRuehl"/>
          <w:rtl/>
        </w:rPr>
        <w:t>–</w:t>
      </w:r>
      <w:r>
        <w:rPr>
          <w:rFonts w:cs="FrankRuehl" w:hint="cs"/>
          <w:rtl/>
        </w:rPr>
        <w:t xml:space="preserve"> כללים תשע"ה-2015; תחילתם ביום 1.5.2015.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EC6E" w14:textId="77777777" w:rsidR="00EC10AF" w:rsidRDefault="00EC10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9190D4F"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203EE8"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F071" w14:textId="77777777" w:rsidR="00EC10AF" w:rsidRDefault="00EC10AF" w:rsidP="00B42B9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w:t>
    </w:r>
    <w:r w:rsidR="00B42B94">
      <w:rPr>
        <w:rFonts w:hAnsi="FrankRuehl" w:cs="FrankRuehl" w:hint="cs"/>
        <w:color w:val="000000"/>
        <w:sz w:val="28"/>
        <w:szCs w:val="28"/>
        <w:rtl/>
      </w:rPr>
      <w:t>חברות אזוריות), תשע"ד-2013</w:t>
    </w:r>
  </w:p>
  <w:p w14:paraId="6E62D7EB"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024D67"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8477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4326E"/>
    <w:rsid w:val="00067E91"/>
    <w:rsid w:val="000A51DD"/>
    <w:rsid w:val="000D3F79"/>
    <w:rsid w:val="000D5F69"/>
    <w:rsid w:val="000E2C54"/>
    <w:rsid w:val="001842B1"/>
    <w:rsid w:val="001B10F6"/>
    <w:rsid w:val="002004B8"/>
    <w:rsid w:val="0021721A"/>
    <w:rsid w:val="002425B1"/>
    <w:rsid w:val="0029639B"/>
    <w:rsid w:val="002B7BA0"/>
    <w:rsid w:val="002C1365"/>
    <w:rsid w:val="002D26F7"/>
    <w:rsid w:val="002D32AC"/>
    <w:rsid w:val="002E1532"/>
    <w:rsid w:val="002E7A0A"/>
    <w:rsid w:val="002F2484"/>
    <w:rsid w:val="00352E33"/>
    <w:rsid w:val="00362DE4"/>
    <w:rsid w:val="00373414"/>
    <w:rsid w:val="0037529D"/>
    <w:rsid w:val="003B071E"/>
    <w:rsid w:val="003E13AE"/>
    <w:rsid w:val="003F1EAF"/>
    <w:rsid w:val="00416553"/>
    <w:rsid w:val="00417E2E"/>
    <w:rsid w:val="00456754"/>
    <w:rsid w:val="0047772E"/>
    <w:rsid w:val="00493062"/>
    <w:rsid w:val="00534BF7"/>
    <w:rsid w:val="00550567"/>
    <w:rsid w:val="005D1B26"/>
    <w:rsid w:val="005F2D72"/>
    <w:rsid w:val="005F5F15"/>
    <w:rsid w:val="00662D05"/>
    <w:rsid w:val="0067428B"/>
    <w:rsid w:val="006A0293"/>
    <w:rsid w:val="006A23DF"/>
    <w:rsid w:val="006A5E67"/>
    <w:rsid w:val="006B7F9D"/>
    <w:rsid w:val="006F0DED"/>
    <w:rsid w:val="00731689"/>
    <w:rsid w:val="00732B9D"/>
    <w:rsid w:val="00736482"/>
    <w:rsid w:val="0073681E"/>
    <w:rsid w:val="00736981"/>
    <w:rsid w:val="007A43DA"/>
    <w:rsid w:val="007C4F37"/>
    <w:rsid w:val="00846159"/>
    <w:rsid w:val="008612E0"/>
    <w:rsid w:val="00881D2D"/>
    <w:rsid w:val="0089358E"/>
    <w:rsid w:val="00900B00"/>
    <w:rsid w:val="00917DEC"/>
    <w:rsid w:val="00933194"/>
    <w:rsid w:val="0096194F"/>
    <w:rsid w:val="009812D0"/>
    <w:rsid w:val="00983AB3"/>
    <w:rsid w:val="00991908"/>
    <w:rsid w:val="009B45E6"/>
    <w:rsid w:val="009B5EC6"/>
    <w:rsid w:val="009E1E89"/>
    <w:rsid w:val="00A2652C"/>
    <w:rsid w:val="00A56E0B"/>
    <w:rsid w:val="00AA581E"/>
    <w:rsid w:val="00AB6F94"/>
    <w:rsid w:val="00B42B94"/>
    <w:rsid w:val="00B510C2"/>
    <w:rsid w:val="00B71A97"/>
    <w:rsid w:val="00B74DF4"/>
    <w:rsid w:val="00B842A5"/>
    <w:rsid w:val="00B95F2F"/>
    <w:rsid w:val="00B95F35"/>
    <w:rsid w:val="00BA240C"/>
    <w:rsid w:val="00C14403"/>
    <w:rsid w:val="00C433D0"/>
    <w:rsid w:val="00C45F62"/>
    <w:rsid w:val="00C7635D"/>
    <w:rsid w:val="00C857FD"/>
    <w:rsid w:val="00CB37A5"/>
    <w:rsid w:val="00CC55CB"/>
    <w:rsid w:val="00CE00FB"/>
    <w:rsid w:val="00D1205C"/>
    <w:rsid w:val="00D31AC1"/>
    <w:rsid w:val="00D44372"/>
    <w:rsid w:val="00D6480C"/>
    <w:rsid w:val="00DE2B2A"/>
    <w:rsid w:val="00E24FCD"/>
    <w:rsid w:val="00E261C8"/>
    <w:rsid w:val="00E275B5"/>
    <w:rsid w:val="00E41B95"/>
    <w:rsid w:val="00E97E4F"/>
    <w:rsid w:val="00EA53F9"/>
    <w:rsid w:val="00EB62D9"/>
    <w:rsid w:val="00EC10AF"/>
    <w:rsid w:val="00ED166E"/>
    <w:rsid w:val="00F1608F"/>
    <w:rsid w:val="00F7197F"/>
    <w:rsid w:val="00F850ED"/>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9197BC1"/>
  <w15:chartTrackingRefBased/>
  <w15:docId w15:val="{B4402D5E-97B7-4E14-A7C6-F9282DFC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05.pdf" TargetMode="External"/><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505.pdf" TargetMode="External"/><Relationship Id="rId12" Type="http://schemas.openxmlformats.org/officeDocument/2006/relationships/image" Target="media/image2.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750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505.pdf" TargetMode="External"/><Relationship Id="rId1" Type="http://schemas.openxmlformats.org/officeDocument/2006/relationships/hyperlink" Target="http://www.nevo.co.il/Law_word/law06/TAK-73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13056</CharactersWithSpaces>
  <SharedDoc>false</SharedDoc>
  <HLinks>
    <vt:vector size="144" baseType="variant">
      <vt:variant>
        <vt:i4>393283</vt:i4>
      </vt:variant>
      <vt:variant>
        <vt:i4>123</vt:i4>
      </vt:variant>
      <vt:variant>
        <vt:i4>0</vt:i4>
      </vt:variant>
      <vt:variant>
        <vt:i4>5</vt:i4>
      </vt:variant>
      <vt:variant>
        <vt:lpwstr>http://www.nevo.co.il/advertisements/nevo-100.doc</vt:lpwstr>
      </vt:variant>
      <vt:variant>
        <vt:lpwstr/>
      </vt:variant>
      <vt:variant>
        <vt:i4>8257544</vt:i4>
      </vt:variant>
      <vt:variant>
        <vt:i4>114</vt:i4>
      </vt:variant>
      <vt:variant>
        <vt:i4>0</vt:i4>
      </vt:variant>
      <vt:variant>
        <vt:i4>5</vt:i4>
      </vt:variant>
      <vt:variant>
        <vt:lpwstr>http://www.nevo.co.il/Law_word/law06/tak-7505.pdf</vt:lpwstr>
      </vt:variant>
      <vt:variant>
        <vt:lpwstr/>
      </vt:variant>
      <vt:variant>
        <vt:i4>8257544</vt:i4>
      </vt:variant>
      <vt:variant>
        <vt:i4>111</vt:i4>
      </vt:variant>
      <vt:variant>
        <vt:i4>0</vt:i4>
      </vt:variant>
      <vt:variant>
        <vt:i4>5</vt:i4>
      </vt:variant>
      <vt:variant>
        <vt:lpwstr>http://www.nevo.co.il/Law_word/law06/tak-7505.pdf</vt:lpwstr>
      </vt:variant>
      <vt:variant>
        <vt:lpwstr/>
      </vt:variant>
      <vt:variant>
        <vt:i4>8257544</vt:i4>
      </vt:variant>
      <vt:variant>
        <vt:i4>108</vt:i4>
      </vt:variant>
      <vt:variant>
        <vt:i4>0</vt:i4>
      </vt:variant>
      <vt:variant>
        <vt:i4>5</vt:i4>
      </vt:variant>
      <vt:variant>
        <vt:lpwstr>http://www.nevo.co.il/Law_word/law06/tak-7505.pdf</vt:lpwstr>
      </vt:variant>
      <vt:variant>
        <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8257544</vt:i4>
      </vt:variant>
      <vt:variant>
        <vt:i4>3</vt:i4>
      </vt:variant>
      <vt:variant>
        <vt:i4>0</vt:i4>
      </vt:variant>
      <vt:variant>
        <vt:i4>5</vt:i4>
      </vt:variant>
      <vt:variant>
        <vt:lpwstr>http://www.nevo.co.il/Law_word/law06/tak-7505.pdf</vt:lpwstr>
      </vt:variant>
      <vt:variant>
        <vt:lpwstr/>
      </vt:variant>
      <vt:variant>
        <vt:i4>8126475</vt:i4>
      </vt:variant>
      <vt:variant>
        <vt:i4>0</vt:i4>
      </vt:variant>
      <vt:variant>
        <vt:i4>0</vt:i4>
      </vt:variant>
      <vt:variant>
        <vt:i4>5</vt:i4>
      </vt:variant>
      <vt:variant>
        <vt:lpwstr>http://www.nevo.co.il/Law_word/law06/TAK-7320.pdf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תאגידי מים וביוב (חברות אזוריות), תשע"ד-2013</vt:lpwstr>
  </property>
  <property fmtid="{D5CDD505-2E9C-101B-9397-08002B2CF9AE}" pid="4" name="LAWNUMBER">
    <vt:lpwstr>0963</vt:lpwstr>
  </property>
  <property fmtid="{D5CDD505-2E9C-101B-9397-08002B2CF9AE}" pid="5" name="TYPE">
    <vt:lpwstr>01</vt:lpwstr>
  </property>
  <property fmtid="{D5CDD505-2E9C-101B-9397-08002B2CF9AE}" pid="6" name="CHNAME">
    <vt:lpwstr>מים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אספקת מים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רשויות מקומיות</vt:lpwstr>
  </property>
  <property fmtid="{D5CDD505-2E9C-101B-9397-08002B2CF9AE}" pid="27" name="NOSE32">
    <vt:lpwstr>תאגידי מים וביוב</vt:lpwstr>
  </property>
  <property fmtid="{D5CDD505-2E9C-101B-9397-08002B2CF9AE}" pid="28" name="NOSE42">
    <vt:lpwstr/>
  </property>
  <property fmtid="{D5CDD505-2E9C-101B-9397-08002B2CF9AE}" pid="29" name="NOSE13">
    <vt:lpwstr>רשויות ומשפט מנהלי</vt:lpwstr>
  </property>
  <property fmtid="{D5CDD505-2E9C-101B-9397-08002B2CF9AE}" pid="30" name="NOSE23">
    <vt:lpwstr>תשתיות</vt:lpwstr>
  </property>
  <property fmtid="{D5CDD505-2E9C-101B-9397-08002B2CF9AE}" pid="31" name="NOSE33">
    <vt:lpwstr>מים</vt:lpwstr>
  </property>
  <property fmtid="{D5CDD505-2E9C-101B-9397-08002B2CF9AE}" pid="32" name="NOSE43">
    <vt:lpwstr>אספקת מים ברשויות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http://www.nevo.co.il/Law_word/law06/tak-7505.pdf;‎רשומות - תקנות כלליות#תוקנו ק"ת תשע"ה ‏מס' 7505 #מיום 31.3.2015 עמ' 1134 – כללים תשע"ה-2015; תחילתם ביום 1.5.2015‏</vt:lpwstr>
  </property>
  <property fmtid="{D5CDD505-2E9C-101B-9397-08002B2CF9AE}" pid="62" name="MEKOR_NAME1">
    <vt:lpwstr>חוק תאגידי מים וביוב</vt:lpwstr>
  </property>
  <property fmtid="{D5CDD505-2E9C-101B-9397-08002B2CF9AE}" pid="63" name="MEKOR_SAIF1">
    <vt:lpwstr>6גXגX;6דXאX;6טX;63XאX5X</vt:lpwstr>
  </property>
  <property fmtid="{D5CDD505-2E9C-101B-9397-08002B2CF9AE}" pid="64" name="MEKOR_NAME2">
    <vt:lpwstr>חוק תאגידי מים וביוב</vt:lpwstr>
  </property>
  <property fmtid="{D5CDD505-2E9C-101B-9397-08002B2CF9AE}" pid="65" name="MEKOR_SAIF2">
    <vt:lpwstr>73XבX</vt:lpwstr>
  </property>
  <property fmtid="{D5CDD505-2E9C-101B-9397-08002B2CF9AE}" pid="66" name="LINKK1">
    <vt:lpwstr>http://www.nevo.co.il/Law_word/law06/TAK-7320.pdf;‎רשומות - תקנות כלליות#פורסמו ק"ת ‏תשע"ד מס' 7320 #מיום 31.12.2013 עמ' 372‏</vt:lpwstr>
  </property>
</Properties>
</file>