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2004B8" w:rsidP="00817A80">
      <w:pPr>
        <w:pStyle w:val="big-header"/>
        <w:ind w:left="0" w:right="1134"/>
        <w:rPr>
          <w:rFonts w:cs="FrankRuehl" w:hint="cs"/>
          <w:sz w:val="32"/>
          <w:rtl/>
        </w:rPr>
      </w:pPr>
      <w:r>
        <w:rPr>
          <w:rFonts w:cs="FrankRuehl" w:hint="cs"/>
          <w:sz w:val="32"/>
          <w:rtl/>
        </w:rPr>
        <w:t>כללי תאגידי מים וביוב (</w:t>
      </w:r>
      <w:r w:rsidR="00817A80">
        <w:rPr>
          <w:rFonts w:cs="FrankRuehl" w:hint="cs"/>
          <w:sz w:val="32"/>
          <w:rtl/>
        </w:rPr>
        <w:t>ייעוד רווחים</w:t>
      </w:r>
      <w:r w:rsidR="00FF5178">
        <w:rPr>
          <w:rFonts w:cs="FrankRuehl" w:hint="cs"/>
          <w:sz w:val="32"/>
          <w:rtl/>
        </w:rPr>
        <w:t>), תשע"ד-2014</w:t>
      </w:r>
    </w:p>
    <w:p w:rsidR="00B42B94" w:rsidRPr="00B42B94" w:rsidRDefault="00B42B94" w:rsidP="00B42B94">
      <w:pPr>
        <w:spacing w:line="320" w:lineRule="auto"/>
        <w:rPr>
          <w:rFonts w:cs="FrankRuehl"/>
          <w:szCs w:val="26"/>
          <w:rtl/>
        </w:rPr>
      </w:pPr>
    </w:p>
    <w:p w:rsidR="00B42B94" w:rsidRDefault="00B42B94" w:rsidP="00B42B94">
      <w:pPr>
        <w:spacing w:line="320" w:lineRule="auto"/>
        <w:rPr>
          <w:rtl/>
        </w:rPr>
      </w:pPr>
    </w:p>
    <w:p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אספקת מים</w:t>
      </w:r>
    </w:p>
    <w:p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תאגידי מים וביוב</w:t>
      </w:r>
    </w:p>
    <w:p w:rsidR="00B42B94" w:rsidRPr="00B42B94" w:rsidRDefault="00B42B94" w:rsidP="00B42B94">
      <w:pPr>
        <w:spacing w:line="320" w:lineRule="auto"/>
        <w:rPr>
          <w:rFonts w:cs="Miriam" w:hint="cs"/>
          <w:szCs w:val="22"/>
          <w:rtl/>
        </w:rPr>
      </w:pPr>
      <w:r w:rsidRPr="00B42B94">
        <w:rPr>
          <w:rFonts w:cs="Miriam"/>
          <w:szCs w:val="22"/>
          <w:rtl/>
        </w:rPr>
        <w:t>רשויות ומשפט מנהלי</w:t>
      </w:r>
      <w:r w:rsidRPr="00B42B94">
        <w:rPr>
          <w:rFonts w:cs="FrankRuehl"/>
          <w:szCs w:val="26"/>
          <w:rtl/>
        </w:rPr>
        <w:t xml:space="preserve"> – תשתיות – מים – אספקת מים ברשויות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1 </w:t>
            </w:r>
          </w:p>
        </w:tc>
        <w:tc>
          <w:tcPr>
            <w:tcW w:w="5669" w:type="dxa"/>
          </w:tcPr>
          <w:p w:rsidR="00D4517A" w:rsidRPr="00D4517A" w:rsidRDefault="00D4517A" w:rsidP="00D4517A">
            <w:pPr>
              <w:rPr>
                <w:rFonts w:cs="Frankruhel" w:hint="cs"/>
                <w:rtl/>
              </w:rPr>
            </w:pPr>
            <w:r>
              <w:rPr>
                <w:rtl/>
              </w:rPr>
              <w:t>הגדרות</w:t>
            </w:r>
          </w:p>
        </w:tc>
        <w:tc>
          <w:tcPr>
            <w:tcW w:w="567" w:type="dxa"/>
          </w:tcPr>
          <w:p w:rsidR="00D4517A" w:rsidRPr="00D4517A" w:rsidRDefault="00D4517A" w:rsidP="00D4517A">
            <w:pPr>
              <w:rPr>
                <w:rStyle w:val="Hyperlink"/>
                <w:rFonts w:hint="cs"/>
                <w:rtl/>
              </w:rPr>
            </w:pPr>
            <w:hyperlink w:anchor="Seif1" w:tooltip="הגדרות"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2 </w:t>
            </w:r>
          </w:p>
        </w:tc>
        <w:tc>
          <w:tcPr>
            <w:tcW w:w="5669" w:type="dxa"/>
          </w:tcPr>
          <w:p w:rsidR="00D4517A" w:rsidRPr="00D4517A" w:rsidRDefault="00D4517A" w:rsidP="00D4517A">
            <w:pPr>
              <w:rPr>
                <w:rFonts w:cs="Frankruhel" w:hint="cs"/>
                <w:rtl/>
              </w:rPr>
            </w:pPr>
            <w:r>
              <w:rPr>
                <w:rtl/>
              </w:rPr>
              <w:t>תנאים מקדמים לבקשת חברה לחלוקה</w:t>
            </w:r>
          </w:p>
        </w:tc>
        <w:tc>
          <w:tcPr>
            <w:tcW w:w="567" w:type="dxa"/>
          </w:tcPr>
          <w:p w:rsidR="00D4517A" w:rsidRPr="00D4517A" w:rsidRDefault="00D4517A" w:rsidP="00D4517A">
            <w:pPr>
              <w:rPr>
                <w:rStyle w:val="Hyperlink"/>
                <w:rFonts w:hint="cs"/>
                <w:rtl/>
              </w:rPr>
            </w:pPr>
            <w:hyperlink w:anchor="Seif2" w:tooltip="תנאים מקדמים לבקשת חברה לחלוקה"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3 </w:t>
            </w:r>
          </w:p>
        </w:tc>
        <w:tc>
          <w:tcPr>
            <w:tcW w:w="5669" w:type="dxa"/>
          </w:tcPr>
          <w:p w:rsidR="00D4517A" w:rsidRPr="00D4517A" w:rsidRDefault="00D4517A" w:rsidP="00D4517A">
            <w:pPr>
              <w:rPr>
                <w:rFonts w:cs="Frankruhel" w:hint="cs"/>
                <w:rtl/>
              </w:rPr>
            </w:pPr>
            <w:r>
              <w:rPr>
                <w:rtl/>
              </w:rPr>
              <w:t>מגבלת מלווים</w:t>
            </w:r>
          </w:p>
        </w:tc>
        <w:tc>
          <w:tcPr>
            <w:tcW w:w="567" w:type="dxa"/>
          </w:tcPr>
          <w:p w:rsidR="00D4517A" w:rsidRPr="00D4517A" w:rsidRDefault="00D4517A" w:rsidP="00D4517A">
            <w:pPr>
              <w:rPr>
                <w:rStyle w:val="Hyperlink"/>
                <w:rFonts w:hint="cs"/>
                <w:rtl/>
              </w:rPr>
            </w:pPr>
            <w:hyperlink w:anchor="Seif3" w:tooltip="מגבלת מלווים"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4 </w:t>
            </w:r>
          </w:p>
        </w:tc>
        <w:tc>
          <w:tcPr>
            <w:tcW w:w="5669" w:type="dxa"/>
          </w:tcPr>
          <w:p w:rsidR="00D4517A" w:rsidRPr="00D4517A" w:rsidRDefault="00D4517A" w:rsidP="00D4517A">
            <w:pPr>
              <w:rPr>
                <w:rFonts w:cs="Frankruhel" w:hint="cs"/>
                <w:rtl/>
              </w:rPr>
            </w:pPr>
            <w:r>
              <w:rPr>
                <w:rtl/>
              </w:rPr>
              <w:t>סכום החלוקה</w:t>
            </w:r>
          </w:p>
        </w:tc>
        <w:tc>
          <w:tcPr>
            <w:tcW w:w="567" w:type="dxa"/>
          </w:tcPr>
          <w:p w:rsidR="00D4517A" w:rsidRPr="00D4517A" w:rsidRDefault="00D4517A" w:rsidP="00D4517A">
            <w:pPr>
              <w:rPr>
                <w:rStyle w:val="Hyperlink"/>
                <w:rFonts w:hint="cs"/>
                <w:rtl/>
              </w:rPr>
            </w:pPr>
            <w:hyperlink w:anchor="Seif4" w:tooltip="סכום החלוקה"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4א </w:t>
            </w:r>
          </w:p>
        </w:tc>
        <w:tc>
          <w:tcPr>
            <w:tcW w:w="5669" w:type="dxa"/>
          </w:tcPr>
          <w:p w:rsidR="00D4517A" w:rsidRPr="00D4517A" w:rsidRDefault="00D4517A" w:rsidP="00D4517A">
            <w:pPr>
              <w:rPr>
                <w:rFonts w:cs="Frankruhel" w:hint="cs"/>
                <w:rtl/>
              </w:rPr>
            </w:pPr>
            <w:r>
              <w:rPr>
                <w:rtl/>
              </w:rPr>
              <w:t>החזר צרכנים</w:t>
            </w:r>
          </w:p>
        </w:tc>
        <w:tc>
          <w:tcPr>
            <w:tcW w:w="567" w:type="dxa"/>
          </w:tcPr>
          <w:p w:rsidR="00D4517A" w:rsidRPr="00D4517A" w:rsidRDefault="00D4517A" w:rsidP="00D4517A">
            <w:pPr>
              <w:rPr>
                <w:rStyle w:val="Hyperlink"/>
                <w:rFonts w:hint="cs"/>
                <w:rtl/>
              </w:rPr>
            </w:pPr>
            <w:hyperlink w:anchor="Seif6" w:tooltip="החזר צרכנים"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4517A" w:rsidRPr="00D4517A" w:rsidTr="00D4517A">
        <w:tblPrEx>
          <w:tblCellMar>
            <w:top w:w="0" w:type="dxa"/>
            <w:bottom w:w="0" w:type="dxa"/>
          </w:tblCellMar>
        </w:tblPrEx>
        <w:tc>
          <w:tcPr>
            <w:tcW w:w="1247" w:type="dxa"/>
          </w:tcPr>
          <w:p w:rsidR="00D4517A" w:rsidRPr="00D4517A" w:rsidRDefault="00D4517A" w:rsidP="00D4517A">
            <w:pPr>
              <w:rPr>
                <w:rFonts w:cs="Frankruhel" w:hint="cs"/>
                <w:rtl/>
              </w:rPr>
            </w:pPr>
            <w:r>
              <w:rPr>
                <w:rtl/>
              </w:rPr>
              <w:t xml:space="preserve">סעיף 5 </w:t>
            </w:r>
          </w:p>
        </w:tc>
        <w:tc>
          <w:tcPr>
            <w:tcW w:w="5669" w:type="dxa"/>
          </w:tcPr>
          <w:p w:rsidR="00D4517A" w:rsidRPr="00D4517A" w:rsidRDefault="00D4517A" w:rsidP="00D4517A">
            <w:pPr>
              <w:rPr>
                <w:rFonts w:cs="Frankruhel" w:hint="cs"/>
                <w:rtl/>
              </w:rPr>
            </w:pPr>
            <w:r>
              <w:rPr>
                <w:rtl/>
              </w:rPr>
              <w:t>תחולה</w:t>
            </w:r>
          </w:p>
        </w:tc>
        <w:tc>
          <w:tcPr>
            <w:tcW w:w="567" w:type="dxa"/>
          </w:tcPr>
          <w:p w:rsidR="00D4517A" w:rsidRPr="00D4517A" w:rsidRDefault="00D4517A" w:rsidP="00D4517A">
            <w:pPr>
              <w:rPr>
                <w:rStyle w:val="Hyperlink"/>
                <w:rFonts w:hint="cs"/>
                <w:rtl/>
              </w:rPr>
            </w:pPr>
            <w:hyperlink w:anchor="Seif5" w:tooltip="תחולה" w:history="1">
              <w:r w:rsidRPr="00D4517A">
                <w:rPr>
                  <w:rStyle w:val="Hyperlink"/>
                </w:rPr>
                <w:t>Go</w:t>
              </w:r>
            </w:hyperlink>
          </w:p>
        </w:tc>
        <w:tc>
          <w:tcPr>
            <w:tcW w:w="850" w:type="dxa"/>
          </w:tcPr>
          <w:p w:rsidR="00D4517A" w:rsidRPr="00D4517A" w:rsidRDefault="00D4517A" w:rsidP="00D4517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817A80">
      <w:pPr>
        <w:pStyle w:val="big-header"/>
        <w:ind w:left="0" w:right="1134"/>
        <w:rPr>
          <w:rStyle w:val="default"/>
          <w:rFonts w:hint="cs"/>
          <w:sz w:val="22"/>
          <w:szCs w:val="22"/>
          <w:rtl/>
        </w:rPr>
      </w:pPr>
      <w:r>
        <w:rPr>
          <w:rFonts w:cs="FrankRuehl"/>
          <w:sz w:val="32"/>
          <w:rtl/>
        </w:rPr>
        <w:br w:type="page"/>
      </w:r>
      <w:r w:rsidR="00817A80">
        <w:rPr>
          <w:rFonts w:cs="FrankRuehl" w:hint="cs"/>
          <w:sz w:val="32"/>
          <w:rtl/>
        </w:rPr>
        <w:lastRenderedPageBreak/>
        <w:t>כללי תאגידי מים וביוב (ייעוד רווחים), תשע"ד-2014</w:t>
      </w:r>
      <w:r>
        <w:rPr>
          <w:rStyle w:val="default"/>
          <w:sz w:val="22"/>
          <w:szCs w:val="22"/>
          <w:rtl/>
        </w:rPr>
        <w:footnoteReference w:customMarkFollows="1" w:id="1"/>
        <w:t>*</w:t>
      </w:r>
    </w:p>
    <w:p w:rsidR="00CB37A5" w:rsidRDefault="00CB37A5" w:rsidP="00817A80">
      <w:pPr>
        <w:pStyle w:val="P00"/>
        <w:spacing w:before="72"/>
        <w:ind w:left="0" w:right="1134"/>
        <w:rPr>
          <w:rStyle w:val="default"/>
          <w:rFonts w:cs="FrankRuehl" w:hint="cs"/>
          <w:rtl/>
        </w:rPr>
      </w:pPr>
      <w:r>
        <w:rPr>
          <w:rStyle w:val="default"/>
          <w:rFonts w:cs="FrankRuehl" w:hint="cs"/>
          <w:rtl/>
        </w:rPr>
        <w:tab/>
        <w:t xml:space="preserve">בתוקף סמכותה לפי </w:t>
      </w:r>
      <w:r w:rsidR="00FF5178">
        <w:rPr>
          <w:rStyle w:val="default"/>
          <w:rFonts w:cs="FrankRuehl" w:hint="cs"/>
          <w:rtl/>
        </w:rPr>
        <w:t xml:space="preserve">סעיף </w:t>
      </w:r>
      <w:r w:rsidR="00817A80">
        <w:rPr>
          <w:rStyle w:val="default"/>
          <w:rFonts w:cs="FrankRuehl" w:hint="cs"/>
          <w:rtl/>
        </w:rPr>
        <w:t>63(א)(5</w:t>
      </w:r>
      <w:r w:rsidR="00FF5178">
        <w:rPr>
          <w:rStyle w:val="default"/>
          <w:rFonts w:cs="FrankRuehl" w:hint="cs"/>
          <w:rtl/>
        </w:rPr>
        <w:t>)</w:t>
      </w:r>
      <w:r>
        <w:rPr>
          <w:rStyle w:val="default"/>
          <w:rFonts w:cs="FrankRuehl" w:hint="cs"/>
          <w:rtl/>
        </w:rPr>
        <w:t xml:space="preserve"> לחוק תאגידי מים וביוב, התשס"א-2001 (להלן </w:t>
      </w:r>
      <w:r>
        <w:rPr>
          <w:rStyle w:val="default"/>
          <w:rFonts w:cs="FrankRuehl"/>
          <w:rtl/>
        </w:rPr>
        <w:t>–</w:t>
      </w:r>
      <w:r>
        <w:rPr>
          <w:rStyle w:val="default"/>
          <w:rFonts w:cs="FrankRuehl" w:hint="cs"/>
          <w:rtl/>
        </w:rPr>
        <w:t xml:space="preserve"> החוק),</w:t>
      </w:r>
      <w:r w:rsidR="00B42B94">
        <w:rPr>
          <w:rStyle w:val="default"/>
          <w:rFonts w:cs="FrankRuehl" w:hint="cs"/>
          <w:rtl/>
        </w:rPr>
        <w:t xml:space="preserve"> </w:t>
      </w:r>
      <w:r>
        <w:rPr>
          <w:rStyle w:val="default"/>
          <w:rFonts w:cs="FrankRuehl" w:hint="cs"/>
          <w:rtl/>
        </w:rPr>
        <w:t>קובעת מועצת הרשות הממשלתית למים ולביוב כללים אלה:</w:t>
      </w:r>
    </w:p>
    <w:p w:rsidR="000A51DD" w:rsidRDefault="000A51DD" w:rsidP="00CB37A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3632" o:allowincell="f" filled="f" stroked="f" strokecolor="lime" strokeweight=".25pt">
            <v:textbox style="mso-next-textbox:#_x0000_s1026" inset="0,0,0,0">
              <w:txbxContent>
                <w:p w:rsidR="00EC10AF" w:rsidRDefault="00EC10A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rsidR="00817A80" w:rsidRDefault="00817A80" w:rsidP="00CB37A5">
      <w:pPr>
        <w:pStyle w:val="P00"/>
        <w:spacing w:before="72"/>
        <w:ind w:left="0" w:right="1134"/>
        <w:rPr>
          <w:rStyle w:val="default"/>
          <w:rFonts w:cs="FrankRuehl" w:hint="cs"/>
          <w:rtl/>
        </w:rPr>
      </w:pPr>
      <w:r>
        <w:rPr>
          <w:rStyle w:val="default"/>
          <w:rFonts w:cs="FrankRuehl" w:hint="cs"/>
          <w:rtl/>
        </w:rPr>
        <w:tab/>
        <w:t xml:space="preserve">"היזון חוזר" </w:t>
      </w:r>
      <w:r>
        <w:rPr>
          <w:rStyle w:val="default"/>
          <w:rFonts w:cs="FrankRuehl"/>
          <w:rtl/>
        </w:rPr>
        <w:t>–</w:t>
      </w:r>
      <w:r>
        <w:rPr>
          <w:rStyle w:val="default"/>
          <w:rFonts w:cs="FrankRuehl" w:hint="cs"/>
          <w:rtl/>
        </w:rPr>
        <w:t xml:space="preserve"> ההפרש בין כמות המים שהוקצתה לחברה למטרות המים השונות לבין הכמות שסופקה בפועל לאותה מטרה במכפלת הפרשי התעריף בין התעריף לאספקה למטרת הקצאה לבין התעריף לשימוש אחר שאליו סופקו המים בפועל;</w:t>
      </w:r>
    </w:p>
    <w:p w:rsidR="00817A80" w:rsidRDefault="00817A80" w:rsidP="00CB37A5">
      <w:pPr>
        <w:pStyle w:val="P00"/>
        <w:spacing w:before="72"/>
        <w:ind w:left="0" w:right="1134"/>
        <w:rPr>
          <w:rStyle w:val="default"/>
          <w:rFonts w:cs="FrankRuehl" w:hint="cs"/>
          <w:rtl/>
        </w:rPr>
      </w:pPr>
      <w:r>
        <w:rPr>
          <w:rStyle w:val="default"/>
          <w:rFonts w:cs="FrankRuehl" w:hint="cs"/>
          <w:rtl/>
        </w:rPr>
        <w:tab/>
        <w:t xml:space="preserve">"הפרשי פחת" </w:t>
      </w:r>
      <w:r>
        <w:rPr>
          <w:rStyle w:val="default"/>
          <w:rFonts w:cs="FrankRuehl"/>
          <w:rtl/>
        </w:rPr>
        <w:t>–</w:t>
      </w:r>
      <w:r>
        <w:rPr>
          <w:rStyle w:val="default"/>
          <w:rFonts w:cs="FrankRuehl" w:hint="cs"/>
          <w:rtl/>
        </w:rPr>
        <w:t xml:space="preserve"> ההפרש בין שיעור פחת המים התקני לבין שיעור פחת המים בתוספת ההפרש בין שיעור פחת הגבייה התקני לבין שיעור פחת הגבייה של החברה;</w:t>
      </w:r>
    </w:p>
    <w:p w:rsidR="00817A80" w:rsidRDefault="00817A80" w:rsidP="00CB37A5">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rsidR="00817A80" w:rsidRDefault="00817A80" w:rsidP="00CB37A5">
      <w:pPr>
        <w:pStyle w:val="P00"/>
        <w:spacing w:before="72"/>
        <w:ind w:left="0" w:right="1134"/>
        <w:rPr>
          <w:rStyle w:val="default"/>
          <w:rFonts w:cs="FrankRuehl" w:hint="cs"/>
          <w:rtl/>
        </w:rPr>
      </w:pPr>
      <w:r>
        <w:rPr>
          <w:rStyle w:val="default"/>
          <w:rFonts w:cs="FrankRuehl" w:hint="cs"/>
          <w:rtl/>
        </w:rPr>
        <w:tab/>
        <w:t>"</w:t>
      </w:r>
      <w:r w:rsidR="0022516F">
        <w:rPr>
          <w:rStyle w:val="default"/>
          <w:rFonts w:cs="FrankRuehl" w:hint="cs"/>
          <w:rtl/>
        </w:rPr>
        <w:t xml:space="preserve">חוק המים" </w:t>
      </w:r>
      <w:r w:rsidR="0022516F">
        <w:rPr>
          <w:rStyle w:val="default"/>
          <w:rFonts w:cs="FrankRuehl"/>
          <w:rtl/>
        </w:rPr>
        <w:t>–</w:t>
      </w:r>
      <w:r w:rsidR="0022516F">
        <w:rPr>
          <w:rStyle w:val="default"/>
          <w:rFonts w:cs="FrankRuehl" w:hint="cs"/>
          <w:rtl/>
        </w:rPr>
        <w:t xml:space="preserve"> חוק המים, התשי"ט-1959;</w:t>
      </w:r>
    </w:p>
    <w:p w:rsidR="0022516F" w:rsidRDefault="0022516F" w:rsidP="00CB37A5">
      <w:pPr>
        <w:pStyle w:val="P00"/>
        <w:spacing w:before="72"/>
        <w:ind w:left="0" w:right="1134"/>
        <w:rPr>
          <w:rStyle w:val="default"/>
          <w:rFonts w:cs="FrankRuehl" w:hint="cs"/>
          <w:rtl/>
        </w:rPr>
      </w:pPr>
      <w:r>
        <w:rPr>
          <w:rStyle w:val="default"/>
          <w:rFonts w:cs="FrankRuehl" w:hint="cs"/>
          <w:rtl/>
        </w:rPr>
        <w:tab/>
        <w:t xml:space="preserve">"חלוקה" </w:t>
      </w:r>
      <w:r>
        <w:rPr>
          <w:rStyle w:val="default"/>
          <w:rFonts w:cs="FrankRuehl"/>
          <w:rtl/>
        </w:rPr>
        <w:t>–</w:t>
      </w:r>
      <w:r>
        <w:rPr>
          <w:rStyle w:val="default"/>
          <w:rFonts w:cs="FrankRuehl" w:hint="cs"/>
          <w:rtl/>
        </w:rPr>
        <w:t xml:space="preserve"> כהגדרתה בחוק החברות;</w:t>
      </w:r>
    </w:p>
    <w:p w:rsidR="0022516F" w:rsidRDefault="0022516F" w:rsidP="00CB37A5">
      <w:pPr>
        <w:pStyle w:val="P00"/>
        <w:spacing w:before="72"/>
        <w:ind w:left="0" w:right="1134"/>
        <w:rPr>
          <w:rStyle w:val="default"/>
          <w:rFonts w:cs="FrankRuehl" w:hint="cs"/>
          <w:sz w:val="20"/>
          <w:rtl/>
        </w:rPr>
      </w:pPr>
      <w:r w:rsidRPr="0022516F">
        <w:rPr>
          <w:rStyle w:val="default"/>
          <w:rFonts w:cs="FrankRuehl" w:hint="cs"/>
          <w:sz w:val="20"/>
          <w:rtl/>
        </w:rPr>
        <w:tab/>
        <w:t xml:space="preserve">"יחס כיסוי חוב" </w:t>
      </w:r>
      <w:r w:rsidRPr="0022516F">
        <w:rPr>
          <w:rStyle w:val="default"/>
          <w:rFonts w:cs="FrankRuehl"/>
          <w:sz w:val="20"/>
          <w:rtl/>
        </w:rPr>
        <w:t>–</w:t>
      </w:r>
      <w:r w:rsidRPr="0022516F">
        <w:rPr>
          <w:rStyle w:val="default"/>
          <w:rFonts w:cs="FrankRuehl" w:hint="cs"/>
          <w:sz w:val="20"/>
          <w:rtl/>
        </w:rPr>
        <w:t xml:space="preserve"> היחס בין הרווח התפעולי לפני הוצאות מימון ופחת (</w:t>
      </w:r>
      <w:r w:rsidRPr="0022516F">
        <w:rPr>
          <w:rStyle w:val="default"/>
          <w:rFonts w:cs="FrankRuehl"/>
          <w:sz w:val="20"/>
        </w:rPr>
        <w:t>EBITDA</w:t>
      </w:r>
      <w:r w:rsidRPr="0022516F">
        <w:rPr>
          <w:rStyle w:val="default"/>
          <w:rFonts w:cs="FrankRuehl" w:hint="cs"/>
          <w:sz w:val="20"/>
          <w:rtl/>
        </w:rPr>
        <w:t xml:space="preserve">) בניכוי הוצאות </w:t>
      </w:r>
      <w:r>
        <w:rPr>
          <w:rStyle w:val="default"/>
          <w:rFonts w:cs="FrankRuehl" w:hint="cs"/>
          <w:sz w:val="20"/>
          <w:rtl/>
        </w:rPr>
        <w:t>מסים וההשקעות הנדרשות בשיקום ובפיתוח תשתיות לרבות היטלי הפיתוח שנגבו בשנה הנבחנת, בתוספת 'הכנסות אחרות' לרבות מענקי תאגוד, הכנסות בעד טיהור שפכים והכנסות תפעוליות אחרות בעלות אופי מתמשך ובניכוי סכום הרווחיםהמבוקשים לחלוקה לבין הוצאות מימון וחלויות שוטפות של השנה הנבחנת;</w:t>
      </w:r>
    </w:p>
    <w:p w:rsidR="0022516F" w:rsidRDefault="0022516F" w:rsidP="00CB37A5">
      <w:pPr>
        <w:pStyle w:val="P00"/>
        <w:spacing w:before="72"/>
        <w:ind w:left="0" w:right="1134"/>
        <w:rPr>
          <w:rStyle w:val="default"/>
          <w:rFonts w:cs="FrankRuehl" w:hint="cs"/>
          <w:sz w:val="20"/>
          <w:rtl/>
        </w:rPr>
      </w:pPr>
      <w:r>
        <w:rPr>
          <w:rStyle w:val="default"/>
          <w:rFonts w:cs="FrankRuehl" w:hint="cs"/>
          <w:sz w:val="20"/>
          <w:rtl/>
        </w:rPr>
        <w:tab/>
        <w:t xml:space="preserve">"כללי חישוב עלות" </w:t>
      </w:r>
      <w:r>
        <w:rPr>
          <w:rStyle w:val="default"/>
          <w:rFonts w:cs="FrankRuehl"/>
          <w:sz w:val="20"/>
          <w:rtl/>
        </w:rPr>
        <w:t>–</w:t>
      </w:r>
      <w:r>
        <w:rPr>
          <w:rStyle w:val="default"/>
          <w:rFonts w:cs="FrankRuehl" w:hint="cs"/>
          <w:sz w:val="20"/>
          <w:rtl/>
        </w:rPr>
        <w:t xml:space="preserve"> כללי תאגידי מים וביוב (חישוב עלות שירותי מים וביוב והקמת מערכת מים או ביוב), התש"ע-2009;</w:t>
      </w:r>
    </w:p>
    <w:p w:rsidR="0022516F" w:rsidRDefault="0022516F" w:rsidP="00CB37A5">
      <w:pPr>
        <w:pStyle w:val="P00"/>
        <w:spacing w:before="72"/>
        <w:ind w:left="0" w:right="1134"/>
        <w:rPr>
          <w:rStyle w:val="default"/>
          <w:rFonts w:cs="FrankRuehl" w:hint="cs"/>
          <w:sz w:val="20"/>
          <w:rtl/>
        </w:rPr>
      </w:pPr>
      <w:r>
        <w:rPr>
          <w:rStyle w:val="default"/>
          <w:rFonts w:cs="FrankRuehl" w:hint="cs"/>
          <w:sz w:val="20"/>
          <w:rtl/>
        </w:rPr>
        <w:tab/>
        <w:t xml:space="preserve">"כללי דוחות תקופתיים ומיידיים" </w:t>
      </w:r>
      <w:r>
        <w:rPr>
          <w:rStyle w:val="default"/>
          <w:rFonts w:cs="FrankRuehl"/>
          <w:sz w:val="20"/>
          <w:rtl/>
        </w:rPr>
        <w:t>–</w:t>
      </w:r>
      <w:r>
        <w:rPr>
          <w:rStyle w:val="default"/>
          <w:rFonts w:cs="FrankRuehl" w:hint="cs"/>
          <w:sz w:val="20"/>
          <w:rtl/>
        </w:rPr>
        <w:t xml:space="preserve"> כללי תאגידי מים וביוב (דוחות תקופתיים ומיידיים), התש"ע-2010;</w:t>
      </w:r>
    </w:p>
    <w:p w:rsidR="00F30EFF" w:rsidRDefault="00F30EFF" w:rsidP="00CB37A5">
      <w:pPr>
        <w:pStyle w:val="P00"/>
        <w:spacing w:before="72"/>
        <w:ind w:left="0"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386" type="#_x0000_t202" style="position:absolute;left:0;text-align:left;margin-left:467.1pt;margin-top:7.1pt;width:75.25pt;height:12.6pt;z-index:251658752" filled="f" stroked="f">
            <v:textbox inset="1mm,0,1mm,0">
              <w:txbxContent>
                <w:p w:rsidR="00F30EFF" w:rsidRDefault="00F30EFF" w:rsidP="00F30EFF">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sz w:val="20"/>
          <w:rtl/>
        </w:rPr>
        <w:tab/>
        <w:t xml:space="preserve">"כללי התעריפים" </w:t>
      </w:r>
      <w:r>
        <w:rPr>
          <w:rStyle w:val="default"/>
          <w:rFonts w:cs="FrankRuehl"/>
          <w:sz w:val="20"/>
          <w:rtl/>
        </w:rPr>
        <w:t>–</w:t>
      </w:r>
      <w:r>
        <w:rPr>
          <w:rStyle w:val="default"/>
          <w:rFonts w:cs="FrankRuehl" w:hint="cs"/>
          <w:sz w:val="20"/>
          <w:rtl/>
        </w:rPr>
        <w:t xml:space="preserve"> כללי תאגידי מים וביוב (תעריפים לשירותי מים וביוב והקמת מערכות מים או ביוב), התש"ע-2009;</w:t>
      </w:r>
    </w:p>
    <w:p w:rsidR="00F30EFF" w:rsidRPr="00D17D07" w:rsidRDefault="00F30EFF" w:rsidP="00F30EFF">
      <w:pPr>
        <w:pStyle w:val="P00"/>
        <w:spacing w:before="0"/>
        <w:ind w:left="0" w:right="1134"/>
        <w:rPr>
          <w:rStyle w:val="default"/>
          <w:rFonts w:cs="FrankRuehl" w:hint="cs"/>
          <w:vanish/>
          <w:color w:val="FF0000"/>
          <w:sz w:val="20"/>
          <w:szCs w:val="20"/>
          <w:shd w:val="clear" w:color="auto" w:fill="FFFF99"/>
          <w:rtl/>
        </w:rPr>
      </w:pPr>
      <w:bookmarkStart w:id="1" w:name="Rov6"/>
      <w:r w:rsidRPr="00D17D07">
        <w:rPr>
          <w:rStyle w:val="default"/>
          <w:rFonts w:cs="FrankRuehl" w:hint="cs"/>
          <w:vanish/>
          <w:color w:val="FF0000"/>
          <w:sz w:val="20"/>
          <w:szCs w:val="20"/>
          <w:shd w:val="clear" w:color="auto" w:fill="FFFF99"/>
          <w:rtl/>
        </w:rPr>
        <w:t>מיום 4.8.2014</w:t>
      </w:r>
    </w:p>
    <w:p w:rsidR="00F30EFF" w:rsidRPr="00D17D07" w:rsidRDefault="00F30EFF" w:rsidP="00F30EFF">
      <w:pPr>
        <w:pStyle w:val="P00"/>
        <w:spacing w:before="0"/>
        <w:ind w:left="0" w:right="1134"/>
        <w:rPr>
          <w:rStyle w:val="default"/>
          <w:rFonts w:cs="FrankRuehl" w:hint="cs"/>
          <w:vanish/>
          <w:sz w:val="20"/>
          <w:szCs w:val="20"/>
          <w:shd w:val="clear" w:color="auto" w:fill="FFFF99"/>
          <w:rtl/>
        </w:rPr>
      </w:pPr>
      <w:r w:rsidRPr="00D17D07">
        <w:rPr>
          <w:rStyle w:val="default"/>
          <w:rFonts w:cs="FrankRuehl" w:hint="cs"/>
          <w:b/>
          <w:bCs/>
          <w:vanish/>
          <w:sz w:val="20"/>
          <w:szCs w:val="20"/>
          <w:shd w:val="clear" w:color="auto" w:fill="FFFF99"/>
          <w:rtl/>
        </w:rPr>
        <w:t>כללים תשע"ד-2014</w:t>
      </w:r>
    </w:p>
    <w:p w:rsidR="00F30EFF" w:rsidRPr="00D17D07" w:rsidRDefault="00F30EFF" w:rsidP="00F30EFF">
      <w:pPr>
        <w:pStyle w:val="P00"/>
        <w:spacing w:before="0"/>
        <w:ind w:left="0" w:right="1134"/>
        <w:rPr>
          <w:rStyle w:val="default"/>
          <w:rFonts w:cs="FrankRuehl" w:hint="cs"/>
          <w:vanish/>
          <w:sz w:val="20"/>
          <w:szCs w:val="20"/>
          <w:shd w:val="clear" w:color="auto" w:fill="FFFF99"/>
          <w:rtl/>
        </w:rPr>
      </w:pPr>
      <w:hyperlink r:id="rId7" w:history="1">
        <w:r w:rsidRPr="00D17D07">
          <w:rPr>
            <w:rStyle w:val="Hyperlink"/>
            <w:rFonts w:cs="FrankRuehl" w:hint="cs"/>
            <w:vanish/>
            <w:szCs w:val="20"/>
            <w:shd w:val="clear" w:color="auto" w:fill="FFFF99"/>
            <w:rtl/>
          </w:rPr>
          <w:t>ק"ת תשע"ד מס' 7404</w:t>
        </w:r>
      </w:hyperlink>
      <w:r w:rsidRPr="00D17D07">
        <w:rPr>
          <w:rStyle w:val="default"/>
          <w:rFonts w:cs="FrankRuehl" w:hint="cs"/>
          <w:vanish/>
          <w:sz w:val="20"/>
          <w:szCs w:val="20"/>
          <w:shd w:val="clear" w:color="auto" w:fill="FFFF99"/>
          <w:rtl/>
        </w:rPr>
        <w:t xml:space="preserve"> מיום 4.8.2014 עמ' 1575</w:t>
      </w:r>
    </w:p>
    <w:p w:rsidR="00F30EFF" w:rsidRPr="00BC4489" w:rsidRDefault="00F30EFF" w:rsidP="00BC4489">
      <w:pPr>
        <w:pStyle w:val="P00"/>
        <w:spacing w:before="0"/>
        <w:ind w:left="0" w:right="1134"/>
        <w:rPr>
          <w:rStyle w:val="default"/>
          <w:rFonts w:cs="FrankRuehl" w:hint="cs"/>
          <w:sz w:val="2"/>
          <w:szCs w:val="2"/>
          <w:rtl/>
        </w:rPr>
      </w:pPr>
      <w:r w:rsidRPr="00D17D07">
        <w:rPr>
          <w:rStyle w:val="default"/>
          <w:rFonts w:cs="FrankRuehl" w:hint="cs"/>
          <w:b/>
          <w:bCs/>
          <w:vanish/>
          <w:sz w:val="20"/>
          <w:szCs w:val="20"/>
          <w:shd w:val="clear" w:color="auto" w:fill="FFFF99"/>
          <w:rtl/>
        </w:rPr>
        <w:t>הוספת הגדרת "כללי התעריפים"</w:t>
      </w:r>
      <w:bookmarkEnd w:id="1"/>
    </w:p>
    <w:p w:rsidR="0022516F" w:rsidRDefault="0022516F" w:rsidP="00CB37A5">
      <w:pPr>
        <w:pStyle w:val="P00"/>
        <w:spacing w:before="72"/>
        <w:ind w:left="0" w:right="1134"/>
        <w:rPr>
          <w:rStyle w:val="default"/>
          <w:rFonts w:cs="FrankRuehl" w:hint="cs"/>
          <w:sz w:val="20"/>
          <w:rtl/>
        </w:rPr>
      </w:pPr>
      <w:r>
        <w:rPr>
          <w:rStyle w:val="default"/>
          <w:rFonts w:cs="FrankRuehl" w:hint="cs"/>
          <w:sz w:val="20"/>
          <w:rtl/>
        </w:rPr>
        <w:tab/>
        <w:t xml:space="preserve">"עודפים" </w:t>
      </w:r>
      <w:r>
        <w:rPr>
          <w:rStyle w:val="default"/>
          <w:rFonts w:cs="FrankRuehl"/>
          <w:sz w:val="20"/>
          <w:rtl/>
        </w:rPr>
        <w:t>–</w:t>
      </w:r>
      <w:r>
        <w:rPr>
          <w:rStyle w:val="default"/>
          <w:rFonts w:cs="FrankRuehl" w:hint="cs"/>
          <w:sz w:val="20"/>
          <w:rtl/>
        </w:rPr>
        <w:t xml:space="preserve"> כהגדרתם בסעיף 302 לחוק החברות;</w:t>
      </w:r>
    </w:p>
    <w:p w:rsidR="0022516F" w:rsidRDefault="0022516F" w:rsidP="00CB37A5">
      <w:pPr>
        <w:pStyle w:val="P00"/>
        <w:spacing w:before="72"/>
        <w:ind w:left="0" w:right="1134"/>
        <w:rPr>
          <w:rStyle w:val="default"/>
          <w:rFonts w:cs="FrankRuehl" w:hint="cs"/>
          <w:sz w:val="20"/>
          <w:rtl/>
        </w:rPr>
      </w:pPr>
      <w:r>
        <w:rPr>
          <w:rStyle w:val="default"/>
          <w:rFonts w:cs="FrankRuehl" w:hint="cs"/>
          <w:sz w:val="20"/>
          <w:rtl/>
        </w:rPr>
        <w:tab/>
        <w:t xml:space="preserve">"פחת גבייה" ו"פחת מים" </w:t>
      </w:r>
      <w:r>
        <w:rPr>
          <w:rStyle w:val="default"/>
          <w:rFonts w:cs="FrankRuehl"/>
          <w:sz w:val="20"/>
          <w:rtl/>
        </w:rPr>
        <w:t>–</w:t>
      </w:r>
      <w:r>
        <w:rPr>
          <w:rStyle w:val="default"/>
          <w:rFonts w:cs="FrankRuehl" w:hint="cs"/>
          <w:sz w:val="20"/>
          <w:rtl/>
        </w:rPr>
        <w:t xml:space="preserve"> שיעור הפחת המוכר, לפי כללי חישוב עלות, שנקבע לחברה;</w:t>
      </w:r>
    </w:p>
    <w:p w:rsidR="0022516F" w:rsidRDefault="0022516F" w:rsidP="00CB37A5">
      <w:pPr>
        <w:pStyle w:val="P00"/>
        <w:spacing w:before="72"/>
        <w:ind w:left="0" w:right="1134"/>
        <w:rPr>
          <w:rStyle w:val="default"/>
          <w:rFonts w:cs="FrankRuehl" w:hint="cs"/>
          <w:sz w:val="20"/>
          <w:rtl/>
        </w:rPr>
      </w:pPr>
      <w:r>
        <w:rPr>
          <w:rStyle w:val="default"/>
          <w:rFonts w:cs="FrankRuehl" w:hint="cs"/>
          <w:sz w:val="20"/>
          <w:rtl/>
        </w:rPr>
        <w:tab/>
        <w:t xml:space="preserve">"רווחים מותרים לחלוקה" </w:t>
      </w:r>
      <w:r>
        <w:rPr>
          <w:rStyle w:val="default"/>
          <w:rFonts w:cs="FrankRuehl"/>
          <w:sz w:val="20"/>
          <w:rtl/>
        </w:rPr>
        <w:t>–</w:t>
      </w:r>
      <w:r>
        <w:rPr>
          <w:rStyle w:val="default"/>
          <w:rFonts w:cs="FrankRuehl" w:hint="cs"/>
          <w:sz w:val="20"/>
          <w:rtl/>
        </w:rPr>
        <w:t xml:space="preserve"> עודפים לפי הדוחות הכספיים השנתיים המבוקרים האחרונים שערכה החברה לפי כללי דוחות תקופתיים ומיידיים, בניכוי כל אלה:</w:t>
      </w:r>
    </w:p>
    <w:p w:rsidR="0022516F" w:rsidRDefault="0022516F" w:rsidP="0022516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מכפלה של הכנסות החברה משירותי מים וביוב מצרכנים בהפרשי הפחת שלה בתקופה שלגביה מחושבים הרווחים;</w:t>
      </w:r>
    </w:p>
    <w:p w:rsidR="0022516F" w:rsidRDefault="0022516F" w:rsidP="0022516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מענקי סיוע שקיבלה החברה מהמדינה בשנים שלגביהן מבוקשת החלוקה ושדווחו בדוחות הכספיים של החברה כהכנסות שוטפות;</w:t>
      </w:r>
    </w:p>
    <w:p w:rsidR="0022516F" w:rsidRDefault="0022516F" w:rsidP="0022516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hint="cs"/>
          <w:sz w:val="20"/>
          <w:rtl/>
        </w:rPr>
        <w:tab/>
        <w:t>סכומי היזון חוזר שבהם חויבה החברה לאחר תאריך הדוחות הכספיים בעד התקופה שקדמה לתאריך הדוחות הכספיים; זוכתה החברה בסכומי היזון חוזר לאחר תאריך הדוחות הכספיים בעד התקופה שקדמה לתאריך הדוחות הכספיים, ייווסף סכום הזיכוי לסכום העודפים;</w:t>
      </w:r>
    </w:p>
    <w:p w:rsidR="005E03FA" w:rsidRDefault="005E03FA" w:rsidP="005E03FA">
      <w:pPr>
        <w:pStyle w:val="P00"/>
        <w:spacing w:before="72"/>
        <w:ind w:left="1021" w:right="1134"/>
        <w:rPr>
          <w:rStyle w:val="default"/>
          <w:rFonts w:cs="FrankRuehl" w:hint="cs"/>
          <w:sz w:val="20"/>
          <w:rtl/>
        </w:rPr>
      </w:pPr>
      <w:r w:rsidRPr="005E03FA">
        <w:rPr>
          <w:rStyle w:val="default"/>
          <w:rFonts w:cs="FrankRuehl" w:hint="cs"/>
          <w:sz w:val="20"/>
          <w:rtl/>
        </w:rPr>
        <w:pict>
          <v:shape id="_x0000_s1388" type="#_x0000_t202" style="position:absolute;left:0;text-align:left;margin-left:467.1pt;margin-top:7.1pt;width:75.25pt;height:12.6pt;z-index:251660800" filled="f" stroked="f">
            <v:textbox inset="1mm,0,1mm,0">
              <w:txbxContent>
                <w:p w:rsidR="005E03FA" w:rsidRDefault="005E03FA" w:rsidP="005E03FA">
                  <w:pPr>
                    <w:spacing w:line="160" w:lineRule="exact"/>
                    <w:rPr>
                      <w:rFonts w:cs="Miriam" w:hint="cs"/>
                      <w:noProof/>
                      <w:sz w:val="18"/>
                      <w:szCs w:val="18"/>
                      <w:rtl/>
                    </w:rPr>
                  </w:pPr>
                  <w:r>
                    <w:rPr>
                      <w:rFonts w:cs="Miriam" w:hint="cs"/>
                      <w:sz w:val="18"/>
                      <w:szCs w:val="18"/>
                      <w:rtl/>
                    </w:rPr>
                    <w:t>כללים תשע"ט-2019</w:t>
                  </w:r>
                </w:p>
              </w:txbxContent>
            </v:textbox>
          </v:shape>
        </w:pict>
      </w:r>
      <w:r>
        <w:rPr>
          <w:rStyle w:val="default"/>
          <w:rFonts w:cs="FrankRuehl" w:hint="cs"/>
          <w:sz w:val="20"/>
          <w:rtl/>
        </w:rPr>
        <w:t>(4)</w:t>
      </w:r>
      <w:r>
        <w:rPr>
          <w:rStyle w:val="default"/>
          <w:rFonts w:cs="FrankRuehl" w:hint="cs"/>
          <w:sz w:val="20"/>
          <w:rtl/>
        </w:rPr>
        <w:tab/>
        <w:t>25% מההכנסות הנידחות בשל היטלי פיתוח ודמי הקמה שנכללו בדוח רווח והפסד של החברה;</w:t>
      </w:r>
    </w:p>
    <w:p w:rsidR="005E03FA" w:rsidRDefault="005E03FA" w:rsidP="005E03FA">
      <w:pPr>
        <w:pStyle w:val="P00"/>
        <w:spacing w:before="72"/>
        <w:ind w:left="1021" w:right="1134"/>
        <w:rPr>
          <w:rStyle w:val="default"/>
          <w:rFonts w:cs="FrankRuehl" w:hint="cs"/>
          <w:sz w:val="20"/>
          <w:rtl/>
        </w:rPr>
      </w:pPr>
      <w:r w:rsidRPr="005E03FA">
        <w:rPr>
          <w:rStyle w:val="default"/>
          <w:rFonts w:cs="FrankRuehl" w:hint="cs"/>
          <w:sz w:val="20"/>
          <w:rtl/>
        </w:rPr>
        <w:pict>
          <v:shape id="_x0000_s1389" type="#_x0000_t202" style="position:absolute;left:0;text-align:left;margin-left:467.1pt;margin-top:7.1pt;width:75.25pt;height:12.6pt;z-index:251661824" filled="f" stroked="f">
            <v:textbox inset="1mm,0,1mm,0">
              <w:txbxContent>
                <w:p w:rsidR="005E03FA" w:rsidRDefault="005E03FA" w:rsidP="005E03FA">
                  <w:pPr>
                    <w:spacing w:line="160" w:lineRule="exact"/>
                    <w:rPr>
                      <w:rFonts w:cs="Miriam" w:hint="cs"/>
                      <w:noProof/>
                      <w:sz w:val="18"/>
                      <w:szCs w:val="18"/>
                      <w:rtl/>
                    </w:rPr>
                  </w:pPr>
                  <w:r>
                    <w:rPr>
                      <w:rFonts w:cs="Miriam" w:hint="cs"/>
                      <w:sz w:val="18"/>
                      <w:szCs w:val="18"/>
                      <w:rtl/>
                    </w:rPr>
                    <w:t>כללים תשע"ט-2019</w:t>
                  </w:r>
                </w:p>
              </w:txbxContent>
            </v:textbox>
          </v:shape>
        </w:pict>
      </w:r>
      <w:r>
        <w:rPr>
          <w:rStyle w:val="default"/>
          <w:rFonts w:cs="FrankRuehl" w:hint="cs"/>
          <w:sz w:val="20"/>
          <w:rtl/>
        </w:rPr>
        <w:t>(5)</w:t>
      </w:r>
      <w:r>
        <w:rPr>
          <w:rStyle w:val="default"/>
          <w:rFonts w:cs="FrankRuehl" w:hint="cs"/>
          <w:sz w:val="20"/>
          <w:rtl/>
        </w:rPr>
        <w:tab/>
        <w:t>סכומים שהוכרו לפי סעיף 32א לכללי תאגידי מים וביוב (חישוב עלות שירותי מים וביוב והקמת מערכת מים או ביוב</w:t>
      </w:r>
      <w:r w:rsidR="00D63B46">
        <w:rPr>
          <w:rStyle w:val="default"/>
          <w:rFonts w:cs="FrankRuehl" w:hint="cs"/>
          <w:sz w:val="20"/>
          <w:rtl/>
        </w:rPr>
        <w:t>)</w:t>
      </w:r>
      <w:r>
        <w:rPr>
          <w:rStyle w:val="default"/>
          <w:rFonts w:cs="FrankRuehl" w:hint="cs"/>
          <w:sz w:val="20"/>
          <w:rtl/>
        </w:rPr>
        <w:t>, התש"ע-2009;</w:t>
      </w:r>
    </w:p>
    <w:p w:rsidR="007A0DF6" w:rsidRPr="00D17D07" w:rsidRDefault="007A0DF6" w:rsidP="00972793">
      <w:pPr>
        <w:pStyle w:val="P00"/>
        <w:spacing w:before="0"/>
        <w:ind w:left="0" w:right="1134" w:firstLine="992"/>
        <w:rPr>
          <w:rStyle w:val="default"/>
          <w:rFonts w:cs="FrankRuehl" w:hint="cs"/>
          <w:vanish/>
          <w:color w:val="FF0000"/>
          <w:sz w:val="20"/>
          <w:szCs w:val="20"/>
          <w:shd w:val="clear" w:color="auto" w:fill="FFFF99"/>
          <w:rtl/>
        </w:rPr>
      </w:pPr>
      <w:bookmarkStart w:id="2" w:name="Rov9"/>
      <w:r w:rsidRPr="00D17D07">
        <w:rPr>
          <w:rStyle w:val="default"/>
          <w:rFonts w:cs="FrankRuehl"/>
          <w:vanish/>
          <w:color w:val="FF0000"/>
          <w:sz w:val="20"/>
          <w:szCs w:val="20"/>
          <w:shd w:val="clear" w:color="auto" w:fill="FFFF99"/>
          <w:rtl/>
        </w:rPr>
        <w:t>מיום 30.6.2019</w:t>
      </w:r>
    </w:p>
    <w:p w:rsidR="007A0DF6" w:rsidRPr="00D17D07" w:rsidRDefault="007A0DF6" w:rsidP="00972793">
      <w:pPr>
        <w:pStyle w:val="P00"/>
        <w:spacing w:before="0"/>
        <w:ind w:left="0" w:right="1134" w:firstLine="992"/>
        <w:rPr>
          <w:rStyle w:val="default"/>
          <w:rFonts w:cs="FrankRuehl" w:hint="cs"/>
          <w:vanish/>
          <w:sz w:val="20"/>
          <w:szCs w:val="20"/>
          <w:shd w:val="clear" w:color="auto" w:fill="FFFF99"/>
          <w:rtl/>
        </w:rPr>
      </w:pPr>
      <w:r w:rsidRPr="00D17D07">
        <w:rPr>
          <w:rStyle w:val="default"/>
          <w:rFonts w:cs="FrankRuehl"/>
          <w:b/>
          <w:bCs/>
          <w:vanish/>
          <w:sz w:val="20"/>
          <w:szCs w:val="20"/>
          <w:shd w:val="clear" w:color="auto" w:fill="FFFF99"/>
          <w:rtl/>
        </w:rPr>
        <w:t>כללים תשע"ט-2019</w:t>
      </w:r>
    </w:p>
    <w:p w:rsidR="007A0DF6" w:rsidRPr="00D17D07" w:rsidRDefault="00A64A39" w:rsidP="00972793">
      <w:pPr>
        <w:pStyle w:val="P00"/>
        <w:spacing w:before="0"/>
        <w:ind w:left="0" w:right="1134" w:firstLine="992"/>
        <w:rPr>
          <w:rStyle w:val="default"/>
          <w:rFonts w:cs="FrankRuehl" w:hint="cs"/>
          <w:vanish/>
          <w:sz w:val="20"/>
          <w:szCs w:val="20"/>
          <w:shd w:val="clear" w:color="auto" w:fill="FFFF99"/>
          <w:rtl/>
        </w:rPr>
      </w:pPr>
      <w:hyperlink r:id="rId8" w:history="1">
        <w:r w:rsidR="007A0DF6" w:rsidRPr="00D17D07">
          <w:rPr>
            <w:rStyle w:val="Hyperlink"/>
            <w:rFonts w:cs="FrankRuehl"/>
            <w:vanish/>
            <w:szCs w:val="20"/>
            <w:shd w:val="clear" w:color="auto" w:fill="FFFF99"/>
            <w:rtl/>
          </w:rPr>
          <w:t>ק"ת תשע"ט מס' 8240</w:t>
        </w:r>
      </w:hyperlink>
      <w:r w:rsidR="007A0DF6" w:rsidRPr="00D17D07">
        <w:rPr>
          <w:rStyle w:val="default"/>
          <w:rFonts w:cs="FrankRuehl"/>
          <w:vanish/>
          <w:sz w:val="20"/>
          <w:szCs w:val="20"/>
          <w:shd w:val="clear" w:color="auto" w:fill="FFFF99"/>
          <w:rtl/>
        </w:rPr>
        <w:t xml:space="preserve"> מיום 30.6.2019 עמ' 3418</w:t>
      </w:r>
    </w:p>
    <w:p w:rsidR="007A0DF6" w:rsidRPr="00972793" w:rsidRDefault="007A0DF6" w:rsidP="00972793">
      <w:pPr>
        <w:pStyle w:val="P00"/>
        <w:spacing w:before="0"/>
        <w:ind w:left="0" w:right="1134" w:firstLine="992"/>
        <w:rPr>
          <w:rStyle w:val="default"/>
          <w:rFonts w:cs="FrankRuehl" w:hint="cs"/>
          <w:sz w:val="2"/>
          <w:szCs w:val="2"/>
          <w:rtl/>
        </w:rPr>
      </w:pPr>
      <w:r w:rsidRPr="00D17D07">
        <w:rPr>
          <w:rStyle w:val="default"/>
          <w:rFonts w:cs="FrankRuehl" w:hint="cs"/>
          <w:b/>
          <w:bCs/>
          <w:vanish/>
          <w:sz w:val="20"/>
          <w:szCs w:val="20"/>
          <w:shd w:val="clear" w:color="auto" w:fill="FFFF99"/>
          <w:rtl/>
        </w:rPr>
        <w:t>הוספת פרטים (4)</w:t>
      </w:r>
      <w:r w:rsidR="00D17D07" w:rsidRPr="00D17D07">
        <w:rPr>
          <w:rStyle w:val="default"/>
          <w:rFonts w:cs="FrankRuehl" w:hint="cs"/>
          <w:b/>
          <w:bCs/>
          <w:vanish/>
          <w:sz w:val="20"/>
          <w:szCs w:val="20"/>
          <w:shd w:val="clear" w:color="auto" w:fill="FFFF99"/>
          <w:rtl/>
        </w:rPr>
        <w:t>, (</w:t>
      </w:r>
      <w:r w:rsidRPr="00D17D07">
        <w:rPr>
          <w:rStyle w:val="default"/>
          <w:rFonts w:cs="FrankRuehl" w:hint="cs"/>
          <w:b/>
          <w:bCs/>
          <w:vanish/>
          <w:sz w:val="20"/>
          <w:szCs w:val="20"/>
          <w:shd w:val="clear" w:color="auto" w:fill="FFFF99"/>
          <w:rtl/>
        </w:rPr>
        <w:t>5</w:t>
      </w:r>
      <w:r w:rsidR="00D17D07" w:rsidRPr="00D17D07">
        <w:rPr>
          <w:rStyle w:val="default"/>
          <w:rFonts w:cs="FrankRuehl" w:hint="cs"/>
          <w:b/>
          <w:bCs/>
          <w:vanish/>
          <w:sz w:val="20"/>
          <w:szCs w:val="20"/>
          <w:shd w:val="clear" w:color="auto" w:fill="FFFF99"/>
          <w:rtl/>
        </w:rPr>
        <w:t>) להגדרת "רווחים מותרים לחלוקה"</w:t>
      </w:r>
      <w:bookmarkEnd w:id="2"/>
    </w:p>
    <w:p w:rsidR="0022516F" w:rsidRDefault="0022516F" w:rsidP="0022516F">
      <w:pPr>
        <w:pStyle w:val="P00"/>
        <w:spacing w:before="72"/>
        <w:ind w:left="0" w:right="1134"/>
        <w:rPr>
          <w:rStyle w:val="default"/>
          <w:rFonts w:cs="FrankRuehl" w:hint="cs"/>
          <w:sz w:val="20"/>
          <w:rtl/>
        </w:rPr>
      </w:pPr>
      <w:r>
        <w:rPr>
          <w:rStyle w:val="default"/>
          <w:rFonts w:cs="FrankRuehl" w:hint="cs"/>
          <w:sz w:val="20"/>
          <w:rtl/>
        </w:rPr>
        <w:tab/>
        <w:t xml:space="preserve">"שיעור פחת מים תקני" </w:t>
      </w:r>
      <w:r>
        <w:rPr>
          <w:rStyle w:val="default"/>
          <w:rFonts w:cs="FrankRuehl"/>
          <w:sz w:val="20"/>
          <w:rtl/>
        </w:rPr>
        <w:t>–</w:t>
      </w:r>
      <w:r>
        <w:rPr>
          <w:rStyle w:val="default"/>
          <w:rFonts w:cs="FrankRuehl" w:hint="cs"/>
          <w:sz w:val="20"/>
          <w:rtl/>
        </w:rPr>
        <w:t xml:space="preserve"> שיעור פחת המים המוכר, לפי כללי חישוב עלות, לחברה </w:t>
      </w:r>
      <w:r>
        <w:rPr>
          <w:rStyle w:val="default"/>
          <w:rFonts w:cs="FrankRuehl" w:hint="cs"/>
          <w:sz w:val="20"/>
          <w:rtl/>
        </w:rPr>
        <w:lastRenderedPageBreak/>
        <w:t>שאינה מסוג (א) עד (ג);</w:t>
      </w:r>
    </w:p>
    <w:p w:rsidR="0022516F" w:rsidRDefault="0022516F" w:rsidP="0022516F">
      <w:pPr>
        <w:pStyle w:val="P00"/>
        <w:spacing w:before="72"/>
        <w:ind w:left="0" w:right="1134"/>
        <w:rPr>
          <w:rStyle w:val="default"/>
          <w:rFonts w:cs="FrankRuehl" w:hint="cs"/>
          <w:sz w:val="20"/>
          <w:rtl/>
        </w:rPr>
      </w:pPr>
      <w:r>
        <w:rPr>
          <w:rStyle w:val="default"/>
          <w:rFonts w:cs="FrankRuehl" w:hint="cs"/>
          <w:sz w:val="20"/>
          <w:rtl/>
        </w:rPr>
        <w:tab/>
        <w:t xml:space="preserve">"שיעור פחת גבייה תקני" </w:t>
      </w:r>
      <w:r>
        <w:rPr>
          <w:rStyle w:val="default"/>
          <w:rFonts w:cs="FrankRuehl"/>
          <w:sz w:val="20"/>
          <w:rtl/>
        </w:rPr>
        <w:t>–</w:t>
      </w:r>
      <w:r>
        <w:rPr>
          <w:rStyle w:val="default"/>
          <w:rFonts w:cs="FrankRuehl" w:hint="cs"/>
          <w:sz w:val="20"/>
          <w:rtl/>
        </w:rPr>
        <w:t xml:space="preserve"> שיעור פחת הגבייה המוכר לכל מטרת צריכה, לפי כללי חישוב עלות, לחברה שאינה מסוג (א) עד (ג);</w:t>
      </w:r>
    </w:p>
    <w:p w:rsidR="0022516F" w:rsidRPr="0022516F" w:rsidRDefault="0022516F" w:rsidP="0022516F">
      <w:pPr>
        <w:pStyle w:val="P00"/>
        <w:spacing w:before="72"/>
        <w:ind w:left="0" w:right="1134"/>
        <w:rPr>
          <w:rStyle w:val="default"/>
          <w:rFonts w:cs="FrankRuehl" w:hint="cs"/>
          <w:sz w:val="20"/>
          <w:rtl/>
        </w:rPr>
      </w:pPr>
      <w:r>
        <w:rPr>
          <w:rStyle w:val="default"/>
          <w:rFonts w:cs="FrankRuehl" w:hint="cs"/>
          <w:sz w:val="20"/>
          <w:rtl/>
        </w:rPr>
        <w:tab/>
        <w:t xml:space="preserve">"תכנית השקעות" </w:t>
      </w:r>
      <w:r>
        <w:rPr>
          <w:rStyle w:val="default"/>
          <w:rFonts w:cs="FrankRuehl"/>
          <w:sz w:val="20"/>
          <w:rtl/>
        </w:rPr>
        <w:t>–</w:t>
      </w:r>
      <w:r>
        <w:rPr>
          <w:rStyle w:val="default"/>
          <w:rFonts w:cs="FrankRuehl" w:hint="cs"/>
          <w:sz w:val="20"/>
          <w:rtl/>
        </w:rPr>
        <w:t xml:space="preserve"> תכנית שנתית לשיקום ושדרוג תשתיות מים וביוב שהגישה החברה לממונה ושהממונה אישר לפי סעיף 112 לחוק.</w:t>
      </w:r>
    </w:p>
    <w:p w:rsidR="000A51DD" w:rsidRDefault="000A51DD" w:rsidP="0022516F">
      <w:pPr>
        <w:pStyle w:val="P00"/>
        <w:spacing w:before="72"/>
        <w:ind w:left="0" w:right="1134"/>
        <w:rPr>
          <w:rStyle w:val="default"/>
          <w:rFonts w:cs="FrankRuehl" w:hint="cs"/>
          <w:rtl/>
        </w:rPr>
      </w:pPr>
      <w:bookmarkStart w:id="3" w:name="Seif2"/>
      <w:bookmarkEnd w:id="3"/>
      <w:r>
        <w:rPr>
          <w:rFonts w:cs="Miriam"/>
          <w:lang w:val="he-IL"/>
        </w:rPr>
        <w:pict>
          <v:rect id="_x0000_s1250" style="position:absolute;left:0;text-align:left;margin-left:464.35pt;margin-top:7.1pt;width:75.05pt;height:25.6pt;z-index:251654656" o:allowincell="f" filled="f" stroked="f" strokecolor="lime" strokeweight=".25pt">
            <v:textbox style="mso-next-textbox:#_x0000_s1250" inset="0,0,0,0">
              <w:txbxContent>
                <w:p w:rsidR="00EC10AF" w:rsidRDefault="00FA0405" w:rsidP="0022516F">
                  <w:pPr>
                    <w:spacing w:line="160" w:lineRule="exact"/>
                    <w:rPr>
                      <w:rFonts w:cs="Miriam" w:hint="cs"/>
                      <w:noProof/>
                      <w:sz w:val="18"/>
                      <w:szCs w:val="18"/>
                      <w:rtl/>
                    </w:rPr>
                  </w:pPr>
                  <w:r>
                    <w:rPr>
                      <w:rFonts w:cs="Miriam" w:hint="cs"/>
                      <w:sz w:val="18"/>
                      <w:szCs w:val="18"/>
                      <w:rtl/>
                    </w:rPr>
                    <w:t xml:space="preserve">תנאים מקדמים </w:t>
                  </w:r>
                  <w:r w:rsidR="0022516F">
                    <w:rPr>
                      <w:rFonts w:cs="Miriam" w:hint="cs"/>
                      <w:sz w:val="18"/>
                      <w:szCs w:val="18"/>
                      <w:rtl/>
                    </w:rPr>
                    <w:t>לבקשת חברה לחלוקה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A0405">
        <w:rPr>
          <w:rStyle w:val="default"/>
          <w:rFonts w:cs="FrankRuehl" w:hint="cs"/>
          <w:rtl/>
        </w:rPr>
        <w:t xml:space="preserve">חברה </w:t>
      </w:r>
      <w:r w:rsidR="0022516F">
        <w:rPr>
          <w:rStyle w:val="default"/>
          <w:rFonts w:cs="FrankRuehl" w:hint="cs"/>
          <w:rtl/>
        </w:rPr>
        <w:t>לא תבצע חלוקה אלא לאחר שאישר הממונה כי התקיימו כל התנאים האלה</w:t>
      </w:r>
      <w:r w:rsidR="007C4F37">
        <w:rPr>
          <w:rStyle w:val="default"/>
          <w:rFonts w:cs="FrankRuehl" w:hint="cs"/>
          <w:rtl/>
        </w:rPr>
        <w:t>:</w:t>
      </w:r>
    </w:p>
    <w:p w:rsidR="0022516F" w:rsidRDefault="0022516F" w:rsidP="00BA60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775FD6">
        <w:rPr>
          <w:rStyle w:val="default"/>
          <w:rFonts w:cs="FrankRuehl" w:hint="cs"/>
          <w:rtl/>
        </w:rPr>
        <w:t>יש לחברה רווחים מותרים לחלוקה;</w:t>
      </w:r>
    </w:p>
    <w:p w:rsidR="00775FD6" w:rsidRDefault="00775FD6" w:rsidP="00BA60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החברה עומדת בתנאים הקבועים בחוק החברות לעניין חלוקה והתקבלו כל האישורים הנדרשים לפי דין לביצועה;</w:t>
      </w:r>
    </w:p>
    <w:p w:rsidR="00775FD6" w:rsidRDefault="00775FD6" w:rsidP="00BA60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הבקשה הוגשה לאחר התקופה הראשונה;</w:t>
      </w:r>
    </w:p>
    <w:p w:rsidR="00775FD6" w:rsidRDefault="00775FD6" w:rsidP="00BA608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סכום היטלי הפקה בדוחות הכספיים של החברה תואם את סכום היטלי ההפקה לפי החיובים שהוציאה הרשות לחברה;</w:t>
      </w:r>
    </w:p>
    <w:p w:rsidR="00775FD6" w:rsidRDefault="00775FD6" w:rsidP="00BA608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היחס בין ההון העצמי לבין המאזן של החברה בניכוי ההכנסות הנדחות, לפי דוחותיה הכספיים המבוקרים האחרונים, בהנחה שהחלוקה בוצעה, לא יפחת מ-35%; לעניין זה, "הכנסות נדחות" </w:t>
      </w:r>
      <w:r w:rsidR="00BA6082">
        <w:rPr>
          <w:rStyle w:val="default"/>
          <w:rFonts w:cs="FrankRuehl"/>
          <w:rtl/>
        </w:rPr>
        <w:t>–</w:t>
      </w:r>
      <w:r>
        <w:rPr>
          <w:rStyle w:val="default"/>
          <w:rFonts w:cs="FrankRuehl" w:hint="cs"/>
          <w:rtl/>
        </w:rPr>
        <w:t xml:space="preserve"> </w:t>
      </w:r>
      <w:r w:rsidR="00BA6082">
        <w:rPr>
          <w:rStyle w:val="default"/>
          <w:rFonts w:cs="FrankRuehl" w:hint="cs"/>
          <w:rtl/>
        </w:rPr>
        <w:t>לרבות הכנסות נדחות מהיטלי הפיתוח;</w:t>
      </w:r>
    </w:p>
    <w:p w:rsidR="00BA6082" w:rsidRDefault="00BA6082" w:rsidP="00BA608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תזרים המזומנים החזוי של החברה בשנת הכספים שבה הגישה החברה בקשה לבצע חלוקה ובכל אחת מארבע שנות הכספים שלאחריה, לפי התכנית העסקית שאישר לה הממונה ובלא התחשבות בעודף היטלי על השקעות בפיתוח, הוא חיובי;</w:t>
      </w:r>
    </w:p>
    <w:p w:rsidR="00BA6082" w:rsidRDefault="00BA6082" w:rsidP="00BA608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בחברה שהממונה אישר לה לקיחת הלוואה, החלוקה לא תביא לאי-עמידה באמות המידה הפיננסיות שעליהן הורה הממונה;</w:t>
      </w:r>
    </w:p>
    <w:p w:rsidR="00BA6082" w:rsidRDefault="00BA6082" w:rsidP="00162CC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החברה ביצעה בשתי שנות הכספים שקדמו להגשת בקשת החברה לבצע חלוקה, את תכנית ההשקעות בהיקף שאישר לה הממונה, לפחות; לעניין זה, "היקף" </w:t>
      </w:r>
      <w:r w:rsidR="000D77A4">
        <w:rPr>
          <w:rStyle w:val="default"/>
          <w:rFonts w:cs="FrankRuehl"/>
          <w:rtl/>
        </w:rPr>
        <w:t>–</w:t>
      </w:r>
      <w:r>
        <w:rPr>
          <w:rStyle w:val="default"/>
          <w:rFonts w:cs="FrankRuehl" w:hint="cs"/>
          <w:rtl/>
        </w:rPr>
        <w:t xml:space="preserve"> </w:t>
      </w:r>
      <w:r w:rsidR="000D77A4">
        <w:rPr>
          <w:rStyle w:val="default"/>
          <w:rFonts w:cs="FrankRuehl" w:hint="cs"/>
          <w:rtl/>
        </w:rPr>
        <w:t>סכום ההשקעה המזערי שאישר הממונה לחברה במסגרת תכנית ההשקעות לאותן השנים או סכום אחר שאישר הממונה מנימוקים מקצועיים מיוחדים; לא בוצעה תכנית ההשקעות בהיקף כאמור, רשאי הממונה לקבוע כי ההפרש שבין היקף ההשקעה המזערי לפי תכנית ההשקעות שאישר לבין סכומי ההשקעה בשיקום שביצעה החברה בפועל באותן שנים, בתוספת 50%, יופחת, לצורך חישוב סכום החלוקה, מיתרת העודפים ויופקד בפיקדון בנק ייעודי לצורך ביצוע ההשקעות שטרם בוצעו;</w:t>
      </w:r>
    </w:p>
    <w:p w:rsidR="000D77A4" w:rsidRDefault="000D77A4" w:rsidP="00162CC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162CC2">
        <w:rPr>
          <w:rStyle w:val="default"/>
          <w:rFonts w:cs="FrankRuehl" w:hint="cs"/>
          <w:rtl/>
        </w:rPr>
        <w:t xml:space="preserve">אין לבעל מניות בחברה חוב בשל אי-תשלום בעד שירותי מים וביוב, נכון למועד הדוחות הכספיים האחרונים של החברה, שטרם נפרע עד מועד קבלת ההחלטה על החלוקה בדירקטוריון החברה; לענין זה, "חוב" </w:t>
      </w:r>
      <w:r w:rsidR="00162CC2">
        <w:rPr>
          <w:rStyle w:val="default"/>
          <w:rFonts w:cs="FrankRuehl"/>
          <w:rtl/>
        </w:rPr>
        <w:t>–</w:t>
      </w:r>
      <w:r w:rsidR="00162CC2">
        <w:rPr>
          <w:rStyle w:val="default"/>
          <w:rFonts w:cs="FrankRuehl" w:hint="cs"/>
          <w:rtl/>
        </w:rPr>
        <w:t xml:space="preserve"> לרבות ריבית והפרשי הצמדה על איחור בתשלומים; היה לבעל מניות חוב כאמור שאינו שנוי במחלוקת, יקוזז סכום החוב מתוך הדיבידנד שבעל המניות זכאי לו.</w:t>
      </w:r>
    </w:p>
    <w:p w:rsidR="00550567" w:rsidRDefault="00550567" w:rsidP="00162CC2">
      <w:pPr>
        <w:pStyle w:val="P00"/>
        <w:spacing w:before="72"/>
        <w:ind w:left="0" w:right="1134"/>
        <w:rPr>
          <w:rStyle w:val="default"/>
          <w:rFonts w:cs="FrankRuehl" w:hint="cs"/>
          <w:rtl/>
        </w:rPr>
      </w:pPr>
      <w:bookmarkStart w:id="4" w:name="Seif3"/>
      <w:bookmarkEnd w:id="4"/>
      <w:r>
        <w:rPr>
          <w:rFonts w:cs="Miriam"/>
          <w:lang w:val="he-IL"/>
        </w:rPr>
        <w:pict>
          <v:rect id="_x0000_s1357" style="position:absolute;left:0;text-align:left;margin-left:464.35pt;margin-top:7.1pt;width:75.05pt;height:10.1pt;z-index:251655680" o:allowincell="f" filled="f" stroked="f" strokecolor="lime" strokeweight=".25pt">
            <v:textbox style="mso-next-textbox:#_x0000_s1357" inset="0,0,0,0">
              <w:txbxContent>
                <w:p w:rsidR="00EC10AF" w:rsidRDefault="00162CC2" w:rsidP="00550567">
                  <w:pPr>
                    <w:spacing w:line="160" w:lineRule="exact"/>
                    <w:rPr>
                      <w:rFonts w:cs="Miriam" w:hint="cs"/>
                      <w:noProof/>
                      <w:sz w:val="18"/>
                      <w:szCs w:val="18"/>
                      <w:rtl/>
                    </w:rPr>
                  </w:pPr>
                  <w:r>
                    <w:rPr>
                      <w:rFonts w:cs="Miriam" w:hint="cs"/>
                      <w:sz w:val="18"/>
                      <w:szCs w:val="18"/>
                      <w:rtl/>
                    </w:rPr>
                    <w:t>מגבלת מלווים</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162CC2">
        <w:rPr>
          <w:rStyle w:val="default"/>
          <w:rFonts w:cs="FrankRuehl" w:hint="cs"/>
          <w:rtl/>
        </w:rPr>
        <w:t>אין באמור בכללים אלה כדי לגרוע מזכותם של מלווים לקבוע הוראות מחמירות יותר לצורך מתן אשראי לחברה</w:t>
      </w:r>
      <w:r w:rsidR="00846159">
        <w:rPr>
          <w:rStyle w:val="default"/>
          <w:rFonts w:cs="FrankRuehl" w:hint="cs"/>
          <w:rtl/>
        </w:rPr>
        <w:t>.</w:t>
      </w:r>
    </w:p>
    <w:p w:rsidR="00550567" w:rsidRDefault="00550567" w:rsidP="00162CC2">
      <w:pPr>
        <w:pStyle w:val="P00"/>
        <w:spacing w:before="72"/>
        <w:ind w:left="0" w:right="1134"/>
        <w:rPr>
          <w:rStyle w:val="default"/>
          <w:rFonts w:cs="FrankRuehl" w:hint="cs"/>
          <w:rtl/>
        </w:rPr>
      </w:pPr>
      <w:bookmarkStart w:id="5" w:name="Seif4"/>
      <w:bookmarkEnd w:id="5"/>
      <w:r>
        <w:rPr>
          <w:rFonts w:cs="Miriam"/>
          <w:lang w:val="he-IL"/>
        </w:rPr>
        <w:pict>
          <v:rect id="_x0000_s1358" style="position:absolute;left:0;text-align:left;margin-left:467.1pt;margin-top:7.1pt;width:72.3pt;height:13.2pt;z-index:251656704" o:allowincell="f" filled="f" stroked="f" strokecolor="lime" strokeweight=".25pt">
            <v:textbox style="mso-next-textbox:#_x0000_s1358" inset="0,0,0,0">
              <w:txbxContent>
                <w:p w:rsidR="00EC10AF" w:rsidRDefault="00162CC2" w:rsidP="00550567">
                  <w:pPr>
                    <w:spacing w:line="160" w:lineRule="exact"/>
                    <w:rPr>
                      <w:rFonts w:cs="Miriam" w:hint="cs"/>
                      <w:noProof/>
                      <w:sz w:val="18"/>
                      <w:szCs w:val="18"/>
                      <w:rtl/>
                    </w:rPr>
                  </w:pPr>
                  <w:r>
                    <w:rPr>
                      <w:rFonts w:cs="Miriam" w:hint="cs"/>
                      <w:sz w:val="18"/>
                      <w:szCs w:val="18"/>
                      <w:rtl/>
                    </w:rPr>
                    <w:t>סכום החלוקה</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162CC2">
        <w:rPr>
          <w:rStyle w:val="default"/>
          <w:rFonts w:cs="FrankRuehl" w:hint="cs"/>
          <w:rtl/>
        </w:rPr>
        <w:t xml:space="preserve">חברה לא תחלק יותר מהנמוך מבין </w:t>
      </w:r>
      <w:r w:rsidR="00162CC2">
        <w:rPr>
          <w:rStyle w:val="default"/>
          <w:rFonts w:cs="FrankRuehl"/>
          <w:rtl/>
        </w:rPr>
        <w:t>–</w:t>
      </w:r>
    </w:p>
    <w:p w:rsidR="00162CC2" w:rsidRDefault="00162CC2" w:rsidP="00021F0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הרווחים המותרים לחלוקה;</w:t>
      </w:r>
    </w:p>
    <w:p w:rsidR="00162CC2" w:rsidRDefault="00162CC2" w:rsidP="00021F0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המתקבל מחישוב לפי הנוסחה הזו:</w:t>
      </w:r>
    </w:p>
    <w:p w:rsidR="00162CC2" w:rsidRPr="00162CC2" w:rsidRDefault="00162CC2" w:rsidP="00021F01">
      <w:pPr>
        <w:pStyle w:val="P00"/>
        <w:spacing w:before="72"/>
        <w:ind w:left="1021" w:right="1134"/>
        <w:rPr>
          <w:rStyle w:val="default"/>
          <w:rFonts w:cs="FrankRuehl" w:hint="cs"/>
          <w:sz w:val="20"/>
          <w:rtl/>
        </w:rPr>
      </w:pPr>
      <w:r>
        <w:rPr>
          <w:rStyle w:val="default"/>
          <w:rFonts w:cs="FrankRuehl"/>
          <w:sz w:val="20"/>
        </w:rPr>
        <w:t>0.75 (B + A) – A</w:t>
      </w:r>
    </w:p>
    <w:p w:rsidR="00162CC2" w:rsidRDefault="00162CC2" w:rsidP="00021F01">
      <w:pPr>
        <w:pStyle w:val="P00"/>
        <w:spacing w:before="72"/>
        <w:ind w:left="624" w:right="1134"/>
        <w:rPr>
          <w:rStyle w:val="default"/>
          <w:rFonts w:cs="FrankRuehl" w:hint="cs"/>
          <w:rtl/>
        </w:rPr>
      </w:pPr>
      <w:r>
        <w:rPr>
          <w:rStyle w:val="default"/>
          <w:rFonts w:cs="FrankRuehl" w:hint="cs"/>
          <w:rtl/>
        </w:rPr>
        <w:t xml:space="preserve">לעניין זה </w:t>
      </w:r>
      <w:r>
        <w:rPr>
          <w:rStyle w:val="default"/>
          <w:rFonts w:cs="FrankRuehl"/>
          <w:rtl/>
        </w:rPr>
        <w:t>–</w:t>
      </w:r>
    </w:p>
    <w:p w:rsidR="00162CC2" w:rsidRDefault="00162CC2" w:rsidP="00021F01">
      <w:pPr>
        <w:pStyle w:val="P00"/>
        <w:spacing w:before="72"/>
        <w:ind w:left="624" w:right="1134"/>
        <w:rPr>
          <w:rStyle w:val="default"/>
          <w:rFonts w:cs="FrankRuehl" w:hint="cs"/>
          <w:sz w:val="20"/>
          <w:rtl/>
        </w:rPr>
      </w:pPr>
      <w:r w:rsidRPr="00162CC2">
        <w:rPr>
          <w:rStyle w:val="default"/>
          <w:rFonts w:cs="FrankRuehl"/>
          <w:sz w:val="20"/>
        </w:rPr>
        <w:t>A</w:t>
      </w:r>
      <w:r w:rsidRPr="00162CC2">
        <w:rPr>
          <w:rStyle w:val="default"/>
          <w:rFonts w:cs="FrankRuehl" w:hint="cs"/>
          <w:sz w:val="20"/>
          <w:rtl/>
        </w:rPr>
        <w:t xml:space="preserve"> = </w:t>
      </w:r>
      <w:r w:rsidR="00021F01">
        <w:rPr>
          <w:rStyle w:val="default"/>
          <w:rFonts w:cs="FrankRuehl" w:hint="cs"/>
          <w:sz w:val="20"/>
          <w:rtl/>
        </w:rPr>
        <w:t>סכומים שחולקו בחלוקות קודמות לאחר יום התחילה, בין אם הופחתו מהדוחות הכספיים ובין אם לאו;</w:t>
      </w:r>
    </w:p>
    <w:p w:rsidR="00021F01" w:rsidRDefault="00021F01" w:rsidP="00021F01">
      <w:pPr>
        <w:pStyle w:val="P00"/>
        <w:spacing w:before="72"/>
        <w:ind w:left="624" w:right="1134"/>
        <w:rPr>
          <w:rStyle w:val="default"/>
          <w:rFonts w:cs="FrankRuehl" w:hint="cs"/>
          <w:sz w:val="20"/>
          <w:rtl/>
        </w:rPr>
      </w:pPr>
      <w:r>
        <w:rPr>
          <w:rStyle w:val="default"/>
          <w:rFonts w:cs="FrankRuehl"/>
          <w:sz w:val="20"/>
        </w:rPr>
        <w:t>B</w:t>
      </w:r>
      <w:r>
        <w:rPr>
          <w:rStyle w:val="default"/>
          <w:rFonts w:cs="FrankRuehl" w:hint="cs"/>
          <w:sz w:val="20"/>
          <w:rtl/>
        </w:rPr>
        <w:t xml:space="preserve"> = עודפים.</w:t>
      </w:r>
    </w:p>
    <w:p w:rsidR="00BC4489" w:rsidRDefault="00BC4489" w:rsidP="00BC4489">
      <w:pPr>
        <w:pStyle w:val="P00"/>
        <w:spacing w:before="72"/>
        <w:ind w:left="0" w:right="1134"/>
        <w:rPr>
          <w:rStyle w:val="default"/>
          <w:rFonts w:cs="FrankRuehl" w:hint="cs"/>
          <w:rtl/>
        </w:rPr>
      </w:pPr>
      <w:bookmarkStart w:id="6" w:name="Seif6"/>
      <w:bookmarkEnd w:id="6"/>
      <w:r>
        <w:rPr>
          <w:rFonts w:cs="Miriam"/>
          <w:lang w:val="he-IL"/>
        </w:rPr>
        <w:pict>
          <v:rect id="_x0000_s1387" style="position:absolute;left:0;text-align:left;margin-left:467.1pt;margin-top:7.1pt;width:72.3pt;height:23.3pt;z-index:251659776" o:allowincell="f" filled="f" stroked="f" strokecolor="lime" strokeweight=".25pt">
            <v:textbox style="mso-next-textbox:#_x0000_s1387" inset="0,0,0,0">
              <w:txbxContent>
                <w:p w:rsidR="00BC4489" w:rsidRDefault="00BC4489" w:rsidP="00BC4489">
                  <w:pPr>
                    <w:spacing w:line="160" w:lineRule="exact"/>
                    <w:rPr>
                      <w:rFonts w:cs="Miriam" w:hint="cs"/>
                      <w:sz w:val="18"/>
                      <w:szCs w:val="18"/>
                      <w:rtl/>
                    </w:rPr>
                  </w:pPr>
                  <w:r>
                    <w:rPr>
                      <w:rFonts w:cs="Miriam" w:hint="cs"/>
                      <w:sz w:val="18"/>
                      <w:szCs w:val="18"/>
                      <w:rtl/>
                    </w:rPr>
                    <w:t>החזר צרכנים</w:t>
                  </w:r>
                </w:p>
                <w:p w:rsidR="00BC4489" w:rsidRDefault="00BC4489" w:rsidP="00BC4489">
                  <w:pPr>
                    <w:spacing w:line="160" w:lineRule="exact"/>
                    <w:rPr>
                      <w:rFonts w:cs="Miriam" w:hint="cs"/>
                      <w:noProof/>
                      <w:sz w:val="18"/>
                      <w:szCs w:val="18"/>
                      <w:rtl/>
                    </w:rPr>
                  </w:pPr>
                  <w:r>
                    <w:rPr>
                      <w:rFonts w:cs="Miriam" w:hint="cs"/>
                      <w:sz w:val="18"/>
                      <w:szCs w:val="18"/>
                      <w:rtl/>
                    </w:rPr>
                    <w:t>כללים תשע"ד-2014</w:t>
                  </w:r>
                </w:p>
              </w:txbxContent>
            </v:textbox>
            <w10:anchorlock/>
          </v:rect>
        </w:pict>
      </w:r>
      <w:r>
        <w:rPr>
          <w:rStyle w:val="big-number"/>
          <w:rFonts w:cs="Miriam" w:hint="cs"/>
          <w:rtl/>
        </w:rPr>
        <w:t>4</w:t>
      </w:r>
      <w:r>
        <w:rPr>
          <w:rStyle w:val="default"/>
          <w:rFonts w:cs="FrankRuehl" w:hint="cs"/>
          <w:rtl/>
        </w:rPr>
        <w:t>א</w:t>
      </w:r>
      <w:r w:rsidRPr="00BC4489">
        <w:rPr>
          <w:rStyle w:val="default"/>
          <w:rFonts w:cs="FrankRuehl"/>
          <w:rtl/>
        </w:rPr>
        <w:t>.</w:t>
      </w:r>
      <w:r w:rsidRPr="00BC4489">
        <w:rPr>
          <w:rStyle w:val="default"/>
          <w:rFonts w:cs="FrankRuehl"/>
          <w:rtl/>
        </w:rPr>
        <w:tab/>
      </w:r>
      <w:r>
        <w:rPr>
          <w:rStyle w:val="default"/>
          <w:rFonts w:cs="FrankRuehl" w:hint="cs"/>
          <w:rtl/>
        </w:rPr>
        <w:t xml:space="preserve">חברה רשאית להחליט, בהסכמת בעלי מניותיה, לבצע החזר כספי לצרכניה מתוך הרווחים המותרים לחלוקה; החליטה חברה על החזר כאמור יבוצע ההחזר לכלל הצרכנים באופן שווה פרט לצרכן גדול, כהגדרתו בכללי התעריפים, שיהיה זכאי להחזר כאמור במכפלה של 60; לעניין זה, "צרכן" </w:t>
      </w:r>
      <w:r>
        <w:rPr>
          <w:rStyle w:val="default"/>
          <w:rFonts w:cs="FrankRuehl"/>
          <w:rtl/>
        </w:rPr>
        <w:t>–</w:t>
      </w:r>
      <w:r>
        <w:rPr>
          <w:rStyle w:val="default"/>
          <w:rFonts w:cs="FrankRuehl" w:hint="cs"/>
          <w:rtl/>
        </w:rPr>
        <w:t xml:space="preserve"> מי שרשום כצרכן בספרי החברה במועד ביצוע ההחזר.</w:t>
      </w:r>
    </w:p>
    <w:p w:rsidR="00BC4489" w:rsidRPr="00D17D07" w:rsidRDefault="00BC4489" w:rsidP="00BC4489">
      <w:pPr>
        <w:pStyle w:val="P00"/>
        <w:spacing w:before="0"/>
        <w:ind w:left="0" w:right="1134"/>
        <w:rPr>
          <w:rStyle w:val="default"/>
          <w:rFonts w:cs="FrankRuehl" w:hint="cs"/>
          <w:vanish/>
          <w:color w:val="FF0000"/>
          <w:sz w:val="20"/>
          <w:szCs w:val="20"/>
          <w:shd w:val="clear" w:color="auto" w:fill="FFFF99"/>
          <w:rtl/>
        </w:rPr>
      </w:pPr>
      <w:bookmarkStart w:id="7" w:name="Rov7"/>
      <w:r w:rsidRPr="00D17D07">
        <w:rPr>
          <w:rStyle w:val="default"/>
          <w:rFonts w:cs="FrankRuehl" w:hint="cs"/>
          <w:vanish/>
          <w:color w:val="FF0000"/>
          <w:sz w:val="20"/>
          <w:szCs w:val="20"/>
          <w:shd w:val="clear" w:color="auto" w:fill="FFFF99"/>
          <w:rtl/>
        </w:rPr>
        <w:t>מיום 4.8.2014</w:t>
      </w:r>
    </w:p>
    <w:p w:rsidR="00BC4489" w:rsidRPr="00D17D07" w:rsidRDefault="00BC4489" w:rsidP="00BC4489">
      <w:pPr>
        <w:pStyle w:val="P00"/>
        <w:spacing w:before="0"/>
        <w:ind w:left="0" w:right="1134"/>
        <w:rPr>
          <w:rStyle w:val="default"/>
          <w:rFonts w:cs="FrankRuehl" w:hint="cs"/>
          <w:vanish/>
          <w:sz w:val="20"/>
          <w:szCs w:val="20"/>
          <w:shd w:val="clear" w:color="auto" w:fill="FFFF99"/>
          <w:rtl/>
        </w:rPr>
      </w:pPr>
      <w:r w:rsidRPr="00D17D07">
        <w:rPr>
          <w:rStyle w:val="default"/>
          <w:rFonts w:cs="FrankRuehl" w:hint="cs"/>
          <w:b/>
          <w:bCs/>
          <w:vanish/>
          <w:sz w:val="20"/>
          <w:szCs w:val="20"/>
          <w:shd w:val="clear" w:color="auto" w:fill="FFFF99"/>
          <w:rtl/>
        </w:rPr>
        <w:t>כללים תשע"ד-2014</w:t>
      </w:r>
    </w:p>
    <w:p w:rsidR="00BC4489" w:rsidRPr="00D17D07" w:rsidRDefault="00BC4489" w:rsidP="00BC4489">
      <w:pPr>
        <w:pStyle w:val="P00"/>
        <w:spacing w:before="0"/>
        <w:ind w:left="0" w:right="1134"/>
        <w:rPr>
          <w:rStyle w:val="default"/>
          <w:rFonts w:cs="FrankRuehl" w:hint="cs"/>
          <w:vanish/>
          <w:sz w:val="20"/>
          <w:szCs w:val="20"/>
          <w:shd w:val="clear" w:color="auto" w:fill="FFFF99"/>
          <w:rtl/>
        </w:rPr>
      </w:pPr>
      <w:hyperlink r:id="rId9" w:history="1">
        <w:r w:rsidRPr="00D17D07">
          <w:rPr>
            <w:rStyle w:val="Hyperlink"/>
            <w:rFonts w:cs="FrankRuehl" w:hint="cs"/>
            <w:vanish/>
            <w:szCs w:val="20"/>
            <w:shd w:val="clear" w:color="auto" w:fill="FFFF99"/>
            <w:rtl/>
          </w:rPr>
          <w:t>ק"ת תשע"ד מס' 7404</w:t>
        </w:r>
      </w:hyperlink>
      <w:r w:rsidRPr="00D17D07">
        <w:rPr>
          <w:rStyle w:val="default"/>
          <w:rFonts w:cs="FrankRuehl" w:hint="cs"/>
          <w:vanish/>
          <w:sz w:val="20"/>
          <w:szCs w:val="20"/>
          <w:shd w:val="clear" w:color="auto" w:fill="FFFF99"/>
          <w:rtl/>
        </w:rPr>
        <w:t xml:space="preserve"> מיום 4.8.2014 עמ' 1575</w:t>
      </w:r>
    </w:p>
    <w:p w:rsidR="00BC4489" w:rsidRPr="00BC4489" w:rsidRDefault="00BC4489" w:rsidP="00BC4489">
      <w:pPr>
        <w:pStyle w:val="P00"/>
        <w:spacing w:before="0"/>
        <w:ind w:left="0" w:right="1134"/>
        <w:rPr>
          <w:rStyle w:val="default"/>
          <w:rFonts w:cs="FrankRuehl" w:hint="cs"/>
          <w:sz w:val="2"/>
          <w:szCs w:val="2"/>
          <w:rtl/>
        </w:rPr>
      </w:pPr>
      <w:r w:rsidRPr="00D17D07">
        <w:rPr>
          <w:rStyle w:val="default"/>
          <w:rFonts w:cs="FrankRuehl" w:hint="cs"/>
          <w:b/>
          <w:bCs/>
          <w:vanish/>
          <w:sz w:val="20"/>
          <w:szCs w:val="20"/>
          <w:shd w:val="clear" w:color="auto" w:fill="FFFF99"/>
          <w:rtl/>
        </w:rPr>
        <w:t>הוספת סעיף 4א</w:t>
      </w:r>
      <w:bookmarkEnd w:id="7"/>
    </w:p>
    <w:p w:rsidR="00550567" w:rsidRDefault="00550567" w:rsidP="00021F01">
      <w:pPr>
        <w:pStyle w:val="P00"/>
        <w:spacing w:before="72"/>
        <w:ind w:left="0" w:right="1134"/>
        <w:rPr>
          <w:rStyle w:val="default"/>
          <w:rFonts w:cs="FrankRuehl" w:hint="cs"/>
          <w:rtl/>
        </w:rPr>
      </w:pPr>
      <w:bookmarkStart w:id="8" w:name="Seif5"/>
      <w:bookmarkEnd w:id="8"/>
      <w:r>
        <w:rPr>
          <w:rFonts w:cs="Miriam"/>
          <w:lang w:val="he-IL"/>
        </w:rPr>
        <w:pict>
          <v:rect id="_x0000_s1359" style="position:absolute;left:0;text-align:left;margin-left:464.35pt;margin-top:7.1pt;width:75.05pt;height:12.2pt;z-index:251657728" o:allowincell="f" filled="f" stroked="f" strokecolor="lime" strokeweight=".25pt">
            <v:textbox style="mso-next-textbox:#_x0000_s1359" inset="0,0,0,0">
              <w:txbxContent>
                <w:p w:rsidR="00EC10AF" w:rsidRDefault="00021F01" w:rsidP="00550567">
                  <w:pPr>
                    <w:spacing w:line="160" w:lineRule="exact"/>
                    <w:rPr>
                      <w:rFonts w:cs="Miriam" w:hint="cs"/>
                      <w:noProof/>
                      <w:sz w:val="18"/>
                      <w:szCs w:val="18"/>
                      <w:rtl/>
                    </w:rPr>
                  </w:pPr>
                  <w:r>
                    <w:rPr>
                      <w:rFonts w:cs="Miriam" w:hint="cs"/>
                      <w:sz w:val="18"/>
                      <w:szCs w:val="18"/>
                      <w:rtl/>
                    </w:rPr>
                    <w:t>תחולה</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021F01">
        <w:rPr>
          <w:rStyle w:val="default"/>
          <w:rFonts w:cs="FrankRuehl" w:hint="cs"/>
          <w:rtl/>
        </w:rPr>
        <w:t>כללים אלה יחולו על כל בקשה לחלוקה שתאושר לאחר תחילתם</w:t>
      </w:r>
      <w:r w:rsidR="00976426">
        <w:rPr>
          <w:rStyle w:val="default"/>
          <w:rFonts w:cs="FrankRuehl" w:hint="cs"/>
          <w:rtl/>
        </w:rPr>
        <w:t>.</w:t>
      </w:r>
    </w:p>
    <w:p w:rsidR="00817A80" w:rsidRDefault="00817A80">
      <w:pPr>
        <w:pStyle w:val="P00"/>
        <w:spacing w:before="72"/>
        <w:ind w:left="0" w:right="1134"/>
        <w:rPr>
          <w:rStyle w:val="default"/>
          <w:rFonts w:cs="FrankRuehl" w:hint="cs"/>
          <w:rtl/>
        </w:rPr>
      </w:pPr>
    </w:p>
    <w:p w:rsidR="002004B8" w:rsidRDefault="002004B8">
      <w:pPr>
        <w:pStyle w:val="P00"/>
        <w:spacing w:before="72"/>
        <w:ind w:left="0" w:right="1134"/>
        <w:rPr>
          <w:rStyle w:val="default"/>
          <w:rFonts w:cs="FrankRuehl" w:hint="cs"/>
          <w:rtl/>
        </w:rPr>
      </w:pPr>
    </w:p>
    <w:p w:rsidR="00E261C8" w:rsidRDefault="00021F01" w:rsidP="00662D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כ"ח באדר ב' התשע"ד (30 במרס</w:t>
      </w:r>
      <w:r w:rsidR="0076435B">
        <w:rPr>
          <w:rStyle w:val="default"/>
          <w:rFonts w:cs="FrankRuehl" w:hint="cs"/>
          <w:rtl/>
        </w:rPr>
        <w:t xml:space="preserve"> 2014</w:t>
      </w:r>
      <w:r w:rsidR="00362DE4">
        <w:rPr>
          <w:rStyle w:val="default"/>
          <w:rFonts w:cs="FrankRuehl" w:hint="cs"/>
          <w:rtl/>
        </w:rPr>
        <w:t>)</w:t>
      </w:r>
      <w:r w:rsidR="00731689">
        <w:rPr>
          <w:rStyle w:val="default"/>
          <w:rFonts w:cs="FrankRuehl" w:hint="cs"/>
          <w:rtl/>
        </w:rPr>
        <w:tab/>
      </w:r>
      <w:r w:rsidR="00662D05">
        <w:rPr>
          <w:rStyle w:val="default"/>
          <w:rFonts w:cs="FrankRuehl" w:hint="cs"/>
          <w:rtl/>
        </w:rPr>
        <w:t>אלכסנדר קושניר</w:t>
      </w:r>
    </w:p>
    <w:p w:rsidR="00E261C8" w:rsidRDefault="00731689"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w:t>
      </w:r>
      <w:r w:rsidR="00021F01">
        <w:rPr>
          <w:rFonts w:cs="FrankRuehl" w:hint="cs"/>
          <w:sz w:val="22"/>
          <w:szCs w:val="22"/>
          <w:rtl/>
        </w:rPr>
        <w:t>הרשות הממשלתית</w:t>
      </w:r>
    </w:p>
    <w:p w:rsidR="00362DE4" w:rsidRDefault="00362DE4" w:rsidP="00021F01">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62D05">
        <w:rPr>
          <w:rFonts w:cs="FrankRuehl" w:hint="cs"/>
          <w:sz w:val="22"/>
          <w:szCs w:val="22"/>
          <w:rtl/>
        </w:rPr>
        <w:t>למים ולביוב</w:t>
      </w:r>
    </w:p>
    <w:p w:rsidR="00817A80" w:rsidRDefault="00817A80" w:rsidP="006A0293">
      <w:pPr>
        <w:pStyle w:val="P00"/>
        <w:spacing w:before="72"/>
        <w:ind w:left="0" w:right="1134"/>
        <w:rPr>
          <w:rStyle w:val="default"/>
          <w:rFonts w:cs="FrankRuehl" w:hint="cs"/>
          <w:rtl/>
        </w:rPr>
      </w:pPr>
    </w:p>
    <w:p w:rsidR="0029639B" w:rsidRDefault="0029639B" w:rsidP="006A0293">
      <w:pPr>
        <w:pStyle w:val="P00"/>
        <w:spacing w:before="72"/>
        <w:ind w:left="0" w:right="1134"/>
        <w:rPr>
          <w:rStyle w:val="default"/>
          <w:rFonts w:cs="FrankRuehl"/>
          <w:rtl/>
        </w:rPr>
      </w:pPr>
    </w:p>
    <w:p w:rsidR="00496257" w:rsidRDefault="00496257" w:rsidP="006A0293">
      <w:pPr>
        <w:pStyle w:val="P00"/>
        <w:spacing w:before="72"/>
        <w:ind w:left="0" w:right="1134"/>
        <w:rPr>
          <w:rStyle w:val="default"/>
          <w:rFonts w:cs="FrankRuehl"/>
          <w:rtl/>
        </w:rPr>
      </w:pPr>
    </w:p>
    <w:p w:rsidR="002E5AB6" w:rsidRDefault="002E5AB6" w:rsidP="002E5AB6">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D4517A" w:rsidRDefault="008C2126" w:rsidP="002E5AB6">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r w:rsidR="002772B0">
        <w:rPr>
          <w:rStyle w:val="default"/>
          <w:rFonts w:cs="David" w:hint="cs"/>
          <w:color w:val="0000FF"/>
          <w:szCs w:val="24"/>
          <w:u w:val="single"/>
          <w:rtl/>
        </w:rPr>
        <w:t xml:space="preserve"> </w:t>
      </w:r>
    </w:p>
    <w:sectPr w:rsidR="00D4517A">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2CB" w:rsidRDefault="006972CB">
      <w:r>
        <w:separator/>
      </w:r>
    </w:p>
  </w:endnote>
  <w:endnote w:type="continuationSeparator" w:id="0">
    <w:p w:rsidR="006972CB" w:rsidRDefault="00697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517A">
      <w:rPr>
        <w:rFonts w:hAnsi="FrankRuehl" w:cs="FrankRuehl"/>
        <w:noProof/>
        <w:sz w:val="24"/>
        <w:szCs w:val="24"/>
        <w:rtl/>
      </w:rPr>
      <w:t>4</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2CB" w:rsidRDefault="006972CB">
      <w:pPr>
        <w:pStyle w:val="a5"/>
        <w:rPr>
          <w:rFonts w:cs="David"/>
          <w:sz w:val="24"/>
          <w:szCs w:val="24"/>
        </w:rPr>
      </w:pPr>
      <w:r>
        <w:separator/>
      </w:r>
    </w:p>
  </w:footnote>
  <w:footnote w:type="continuationSeparator" w:id="0">
    <w:p w:rsidR="006972CB" w:rsidRDefault="006972CB">
      <w:r>
        <w:continuationSeparator/>
      </w:r>
    </w:p>
  </w:footnote>
  <w:footnote w:id="1">
    <w:p w:rsidR="00147C19" w:rsidRDefault="00EC10AF" w:rsidP="00147C1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147C19">
          <w:rPr>
            <w:rStyle w:val="Hyperlink"/>
            <w:rFonts w:cs="FrankRuehl" w:hint="cs"/>
            <w:rtl/>
          </w:rPr>
          <w:t>ק"ת תשע"</w:t>
        </w:r>
        <w:r w:rsidR="00B42B94" w:rsidRPr="00147C19">
          <w:rPr>
            <w:rStyle w:val="Hyperlink"/>
            <w:rFonts w:cs="FrankRuehl" w:hint="cs"/>
            <w:rtl/>
          </w:rPr>
          <w:t>ד</w:t>
        </w:r>
        <w:r w:rsidRPr="00147C19">
          <w:rPr>
            <w:rStyle w:val="Hyperlink"/>
            <w:rFonts w:cs="FrankRuehl" w:hint="cs"/>
            <w:rtl/>
          </w:rPr>
          <w:t xml:space="preserve"> מס' </w:t>
        </w:r>
        <w:r w:rsidR="00817A80" w:rsidRPr="00147C19">
          <w:rPr>
            <w:rStyle w:val="Hyperlink"/>
            <w:rFonts w:cs="FrankRuehl" w:hint="cs"/>
            <w:rtl/>
          </w:rPr>
          <w:t>7369</w:t>
        </w:r>
      </w:hyperlink>
      <w:r>
        <w:rPr>
          <w:rFonts w:cs="FrankRuehl" w:hint="cs"/>
          <w:rtl/>
        </w:rPr>
        <w:t xml:space="preserve"> מיום </w:t>
      </w:r>
      <w:r w:rsidR="00FF5178">
        <w:rPr>
          <w:rFonts w:cs="FrankRuehl" w:hint="cs"/>
          <w:rtl/>
        </w:rPr>
        <w:t>10.</w:t>
      </w:r>
      <w:r w:rsidR="00817A80">
        <w:rPr>
          <w:rFonts w:cs="FrankRuehl" w:hint="cs"/>
          <w:rtl/>
        </w:rPr>
        <w:t>4</w:t>
      </w:r>
      <w:r w:rsidR="00FF5178">
        <w:rPr>
          <w:rFonts w:cs="FrankRuehl" w:hint="cs"/>
          <w:rtl/>
        </w:rPr>
        <w:t>.2014</w:t>
      </w:r>
      <w:r>
        <w:rPr>
          <w:rFonts w:cs="FrankRuehl" w:hint="cs"/>
          <w:rtl/>
        </w:rPr>
        <w:t xml:space="preserve"> עמ' </w:t>
      </w:r>
      <w:r w:rsidR="00817A80">
        <w:rPr>
          <w:rFonts w:cs="FrankRuehl" w:hint="cs"/>
          <w:rtl/>
        </w:rPr>
        <w:t>1076</w:t>
      </w:r>
      <w:r>
        <w:rPr>
          <w:rFonts w:cs="FrankRuehl" w:hint="cs"/>
          <w:rtl/>
        </w:rPr>
        <w:t>.</w:t>
      </w:r>
    </w:p>
    <w:p w:rsidR="00F3532E" w:rsidRDefault="00F30EFF" w:rsidP="00F3532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תוקנו </w:t>
      </w:r>
      <w:hyperlink r:id="rId2" w:history="1">
        <w:r w:rsidRPr="00F3532E">
          <w:rPr>
            <w:rStyle w:val="Hyperlink"/>
            <w:rFonts w:cs="FrankRuehl" w:hint="cs"/>
            <w:rtl/>
          </w:rPr>
          <w:t>ק"ת תשע"ד מס' 7404</w:t>
        </w:r>
      </w:hyperlink>
      <w:r>
        <w:rPr>
          <w:rFonts w:cs="FrankRuehl" w:hint="cs"/>
          <w:rtl/>
        </w:rPr>
        <w:t xml:space="preserve"> מיום 4.8.2014 עמ' 1575 </w:t>
      </w:r>
      <w:r>
        <w:rPr>
          <w:rFonts w:cs="FrankRuehl"/>
          <w:rtl/>
        </w:rPr>
        <w:t>–</w:t>
      </w:r>
      <w:r>
        <w:rPr>
          <w:rFonts w:cs="FrankRuehl" w:hint="cs"/>
          <w:rtl/>
        </w:rPr>
        <w:t xml:space="preserve"> כללים תשע"ד-2014.</w:t>
      </w:r>
    </w:p>
    <w:p w:rsidR="00970A92" w:rsidRDefault="00970A92" w:rsidP="00970A9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3" w:history="1">
        <w:r w:rsidR="00E615AE" w:rsidRPr="00970A92">
          <w:rPr>
            <w:rStyle w:val="Hyperlink"/>
            <w:rFonts w:cs="FrankRuehl" w:hint="cs"/>
            <w:rtl/>
          </w:rPr>
          <w:t>ק"ת תשע"ט מס' 8240</w:t>
        </w:r>
      </w:hyperlink>
      <w:r w:rsidR="00E615AE">
        <w:rPr>
          <w:rFonts w:cs="FrankRuehl" w:hint="cs"/>
          <w:rtl/>
        </w:rPr>
        <w:t xml:space="preserve"> מיום 30.6.2019 עמ' </w:t>
      </w:r>
      <w:r w:rsidR="00E00E4E">
        <w:rPr>
          <w:rFonts w:cs="FrankRuehl" w:hint="cs"/>
          <w:rtl/>
        </w:rPr>
        <w:t xml:space="preserve">3418 </w:t>
      </w:r>
      <w:r w:rsidR="00E615AE">
        <w:rPr>
          <w:rFonts w:cs="FrankRuehl"/>
          <w:rtl/>
        </w:rPr>
        <w:t>–</w:t>
      </w:r>
      <w:r w:rsidR="00E615AE">
        <w:rPr>
          <w:rFonts w:cs="FrankRuehl" w:hint="cs"/>
          <w:rtl/>
        </w:rPr>
        <w:t xml:space="preserve"> כללים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rsidP="00817A8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817A80">
      <w:rPr>
        <w:rFonts w:hAnsi="FrankRuehl" w:cs="FrankRuehl" w:hint="cs"/>
        <w:color w:val="000000"/>
        <w:sz w:val="28"/>
        <w:szCs w:val="28"/>
        <w:rtl/>
      </w:rPr>
      <w:t>ייעוד רווחים</w:t>
    </w:r>
    <w:r w:rsidR="00FF5178">
      <w:rPr>
        <w:rFonts w:hAnsi="FrankRuehl" w:cs="FrankRuehl" w:hint="cs"/>
        <w:color w:val="000000"/>
        <w:sz w:val="28"/>
        <w:szCs w:val="28"/>
        <w:rtl/>
      </w:rPr>
      <w:t>), תשע"ד-2014</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217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21F01"/>
    <w:rsid w:val="000246E2"/>
    <w:rsid w:val="0004326E"/>
    <w:rsid w:val="0006004A"/>
    <w:rsid w:val="00067E91"/>
    <w:rsid w:val="000A51DD"/>
    <w:rsid w:val="000D3F79"/>
    <w:rsid w:val="000D5F69"/>
    <w:rsid w:val="000D77A4"/>
    <w:rsid w:val="000E2C54"/>
    <w:rsid w:val="000F173C"/>
    <w:rsid w:val="00147C19"/>
    <w:rsid w:val="00162CC2"/>
    <w:rsid w:val="001A6CFF"/>
    <w:rsid w:val="001B10F6"/>
    <w:rsid w:val="002004B8"/>
    <w:rsid w:val="002032A7"/>
    <w:rsid w:val="0021721A"/>
    <w:rsid w:val="0022516F"/>
    <w:rsid w:val="00226F4F"/>
    <w:rsid w:val="002425B1"/>
    <w:rsid w:val="002772B0"/>
    <w:rsid w:val="0029639B"/>
    <w:rsid w:val="002B7BA0"/>
    <w:rsid w:val="002C1365"/>
    <w:rsid w:val="002D26F7"/>
    <w:rsid w:val="002D32AC"/>
    <w:rsid w:val="002E1532"/>
    <w:rsid w:val="002E5AB6"/>
    <w:rsid w:val="002E7A0A"/>
    <w:rsid w:val="002F2484"/>
    <w:rsid w:val="00336606"/>
    <w:rsid w:val="00352E33"/>
    <w:rsid w:val="00362DE4"/>
    <w:rsid w:val="00363A3C"/>
    <w:rsid w:val="00373414"/>
    <w:rsid w:val="0037529D"/>
    <w:rsid w:val="003B071E"/>
    <w:rsid w:val="003B3F91"/>
    <w:rsid w:val="003E13AE"/>
    <w:rsid w:val="003F1EAF"/>
    <w:rsid w:val="00417E2E"/>
    <w:rsid w:val="00456754"/>
    <w:rsid w:val="0047772E"/>
    <w:rsid w:val="00493062"/>
    <w:rsid w:val="00496257"/>
    <w:rsid w:val="00534BF7"/>
    <w:rsid w:val="00550567"/>
    <w:rsid w:val="00555772"/>
    <w:rsid w:val="005C379A"/>
    <w:rsid w:val="005C6E0B"/>
    <w:rsid w:val="005D1B26"/>
    <w:rsid w:val="005E03FA"/>
    <w:rsid w:val="005F2D72"/>
    <w:rsid w:val="005F5F15"/>
    <w:rsid w:val="00662D05"/>
    <w:rsid w:val="0067428B"/>
    <w:rsid w:val="006972CB"/>
    <w:rsid w:val="006A0293"/>
    <w:rsid w:val="006A5E67"/>
    <w:rsid w:val="006F0DED"/>
    <w:rsid w:val="00731689"/>
    <w:rsid w:val="00732B9D"/>
    <w:rsid w:val="00736482"/>
    <w:rsid w:val="0073681E"/>
    <w:rsid w:val="00736981"/>
    <w:rsid w:val="0076435B"/>
    <w:rsid w:val="00775FD6"/>
    <w:rsid w:val="007A0DF6"/>
    <w:rsid w:val="007A43DA"/>
    <w:rsid w:val="007C4F37"/>
    <w:rsid w:val="00817A80"/>
    <w:rsid w:val="00832035"/>
    <w:rsid w:val="00846159"/>
    <w:rsid w:val="008612E0"/>
    <w:rsid w:val="00881D2D"/>
    <w:rsid w:val="0089358E"/>
    <w:rsid w:val="008C2126"/>
    <w:rsid w:val="00900B00"/>
    <w:rsid w:val="00917DEC"/>
    <w:rsid w:val="00933194"/>
    <w:rsid w:val="0096194F"/>
    <w:rsid w:val="00970A92"/>
    <w:rsid w:val="00972793"/>
    <w:rsid w:val="00976426"/>
    <w:rsid w:val="009812D0"/>
    <w:rsid w:val="00983AB3"/>
    <w:rsid w:val="00991908"/>
    <w:rsid w:val="009B45E6"/>
    <w:rsid w:val="009B5EC6"/>
    <w:rsid w:val="009E1E89"/>
    <w:rsid w:val="009F0A71"/>
    <w:rsid w:val="00A2652C"/>
    <w:rsid w:val="00A56E0B"/>
    <w:rsid w:val="00A57114"/>
    <w:rsid w:val="00A64A39"/>
    <w:rsid w:val="00A72F50"/>
    <w:rsid w:val="00A86749"/>
    <w:rsid w:val="00AA581E"/>
    <w:rsid w:val="00AB6F94"/>
    <w:rsid w:val="00AE5BD5"/>
    <w:rsid w:val="00B17DE3"/>
    <w:rsid w:val="00B42B94"/>
    <w:rsid w:val="00B510C2"/>
    <w:rsid w:val="00B71A97"/>
    <w:rsid w:val="00B74DF4"/>
    <w:rsid w:val="00B842A5"/>
    <w:rsid w:val="00B95F2F"/>
    <w:rsid w:val="00BA240C"/>
    <w:rsid w:val="00BA6082"/>
    <w:rsid w:val="00BC4489"/>
    <w:rsid w:val="00C14403"/>
    <w:rsid w:val="00C433D0"/>
    <w:rsid w:val="00C45F62"/>
    <w:rsid w:val="00C7635D"/>
    <w:rsid w:val="00C857FD"/>
    <w:rsid w:val="00CB37A5"/>
    <w:rsid w:val="00CC19D7"/>
    <w:rsid w:val="00CC55CB"/>
    <w:rsid w:val="00CD100A"/>
    <w:rsid w:val="00CE00FB"/>
    <w:rsid w:val="00D17D07"/>
    <w:rsid w:val="00D31AC1"/>
    <w:rsid w:val="00D44372"/>
    <w:rsid w:val="00D4517A"/>
    <w:rsid w:val="00D63B46"/>
    <w:rsid w:val="00D6480C"/>
    <w:rsid w:val="00DA0F65"/>
    <w:rsid w:val="00DE2B2A"/>
    <w:rsid w:val="00DF6769"/>
    <w:rsid w:val="00E00E4E"/>
    <w:rsid w:val="00E24FCD"/>
    <w:rsid w:val="00E261C8"/>
    <w:rsid w:val="00E41B95"/>
    <w:rsid w:val="00E615AE"/>
    <w:rsid w:val="00E97E4F"/>
    <w:rsid w:val="00EA53F9"/>
    <w:rsid w:val="00EB62D9"/>
    <w:rsid w:val="00EC10AF"/>
    <w:rsid w:val="00ED166E"/>
    <w:rsid w:val="00F1608F"/>
    <w:rsid w:val="00F30EFF"/>
    <w:rsid w:val="00F3532E"/>
    <w:rsid w:val="00F7197F"/>
    <w:rsid w:val="00F850ED"/>
    <w:rsid w:val="00FA0405"/>
    <w:rsid w:val="00FE1F15"/>
    <w:rsid w:val="00FE583C"/>
    <w:rsid w:val="00FE6338"/>
    <w:rsid w:val="00FF18B8"/>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82E92F3-46D9-46AA-86A3-4731D02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אזכור לא מזוהה1"/>
    <w:uiPriority w:val="99"/>
    <w:semiHidden/>
    <w:unhideWhenUsed/>
    <w:rsid w:val="00A6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240.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404.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404.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240.pdf" TargetMode="External"/><Relationship Id="rId2" Type="http://schemas.openxmlformats.org/officeDocument/2006/relationships/hyperlink" Target="http://www.nevo.co.il/law_word/law06/tak-7404.pdf" TargetMode="External"/><Relationship Id="rId1" Type="http://schemas.openxmlformats.org/officeDocument/2006/relationships/hyperlink" Target="http://www.nevo.co.il/law_word/law06/tak-73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6500</CharactersWithSpaces>
  <SharedDoc>false</SharedDoc>
  <HLinks>
    <vt:vector size="78" baseType="variant">
      <vt:variant>
        <vt:i4>393283</vt:i4>
      </vt:variant>
      <vt:variant>
        <vt:i4>45</vt:i4>
      </vt:variant>
      <vt:variant>
        <vt:i4>0</vt:i4>
      </vt:variant>
      <vt:variant>
        <vt:i4>5</vt:i4>
      </vt:variant>
      <vt:variant>
        <vt:lpwstr>http://www.nevo.co.il/advertisements/nevo-100.doc</vt:lpwstr>
      </vt:variant>
      <vt:variant>
        <vt:lpwstr/>
      </vt:variant>
      <vt:variant>
        <vt:i4>8257544</vt:i4>
      </vt:variant>
      <vt:variant>
        <vt:i4>42</vt:i4>
      </vt:variant>
      <vt:variant>
        <vt:i4>0</vt:i4>
      </vt:variant>
      <vt:variant>
        <vt:i4>5</vt:i4>
      </vt:variant>
      <vt:variant>
        <vt:lpwstr>http://www.nevo.co.il/Law_word/law06/tak-7404.pdf</vt:lpwstr>
      </vt:variant>
      <vt:variant>
        <vt:lpwstr/>
      </vt:variant>
      <vt:variant>
        <vt:i4>7602206</vt:i4>
      </vt:variant>
      <vt:variant>
        <vt:i4>39</vt:i4>
      </vt:variant>
      <vt:variant>
        <vt:i4>0</vt:i4>
      </vt:variant>
      <vt:variant>
        <vt:i4>5</vt:i4>
      </vt:variant>
      <vt:variant>
        <vt:lpwstr>https://www.nevo.co.il/Law_word/law06/tak-8240.pdf</vt:lpwstr>
      </vt:variant>
      <vt:variant>
        <vt:lpwstr/>
      </vt:variant>
      <vt:variant>
        <vt:i4>8257544</vt:i4>
      </vt:variant>
      <vt:variant>
        <vt:i4>36</vt:i4>
      </vt:variant>
      <vt:variant>
        <vt:i4>0</vt:i4>
      </vt:variant>
      <vt:variant>
        <vt:i4>5</vt:i4>
      </vt:variant>
      <vt:variant>
        <vt:lpwstr>http://www.nevo.co.il/Law_word/law06/tak-7404.pdf</vt:lpwstr>
      </vt:variant>
      <vt:variant>
        <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7667722</vt:i4>
      </vt:variant>
      <vt:variant>
        <vt:i4>6</vt:i4>
      </vt:variant>
      <vt:variant>
        <vt:i4>0</vt:i4>
      </vt:variant>
      <vt:variant>
        <vt:i4>5</vt:i4>
      </vt:variant>
      <vt:variant>
        <vt:lpwstr>http://www.nevo.co.il/Law_word/law06/tak-8240.pdf</vt:lpwstr>
      </vt:variant>
      <vt:variant>
        <vt:lpwstr/>
      </vt:variant>
      <vt:variant>
        <vt:i4>8257544</vt:i4>
      </vt:variant>
      <vt:variant>
        <vt:i4>3</vt:i4>
      </vt:variant>
      <vt:variant>
        <vt:i4>0</vt:i4>
      </vt:variant>
      <vt:variant>
        <vt:i4>5</vt:i4>
      </vt:variant>
      <vt:variant>
        <vt:lpwstr>http://www.nevo.co.il/law_word/law06/tak-7404.pdf</vt:lpwstr>
      </vt:variant>
      <vt:variant>
        <vt:lpwstr/>
      </vt:variant>
      <vt:variant>
        <vt:i4>7864322</vt:i4>
      </vt:variant>
      <vt:variant>
        <vt:i4>0</vt:i4>
      </vt:variant>
      <vt:variant>
        <vt:i4>0</vt:i4>
      </vt:variant>
      <vt:variant>
        <vt:i4>5</vt:i4>
      </vt:variant>
      <vt:variant>
        <vt:lpwstr>http://www.nevo.co.il/law_word/law06/tak-7369.pdf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(ייעוד רווחים), תשע"ד-2014</vt:lpwstr>
  </property>
  <property fmtid="{D5CDD505-2E9C-101B-9397-08002B2CF9AE}" pid="4" name="LAWNUMBER">
    <vt:lpwstr>0024</vt:lpwstr>
  </property>
  <property fmtid="{D5CDD505-2E9C-101B-9397-08002B2CF9AE}" pid="5" name="TYPE">
    <vt:lpwstr>01</vt:lpwstr>
  </property>
  <property fmtid="{D5CDD505-2E9C-101B-9397-08002B2CF9AE}" pid="6" name="CHNAME">
    <vt:lpwstr>מים</vt:lpwstr>
  </property>
  <property fmtid="{D5CDD505-2E9C-101B-9397-08002B2CF9AE}" pid="7" name="LINKK3">
    <vt:lpwstr>http://www.nevo.co.il/Law_word/law06/tak-8240.pdf;‎רשומות - תקנות כלליות#ק"ת תשע"ט מס' ‏‏8240 #מיום 30.6.2019 עמ' 3418 – כללים תשע"ט-2019‏</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אספקת מים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תשתיות</vt:lpwstr>
  </property>
  <property fmtid="{D5CDD505-2E9C-101B-9397-08002B2CF9AE}" pid="31" name="NOSE33">
    <vt:lpwstr>מים</vt:lpwstr>
  </property>
  <property fmtid="{D5CDD505-2E9C-101B-9397-08002B2CF9AE}" pid="32" name="NOSE43">
    <vt:lpwstr>אספקת מים ברשויות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http://www.nevo.co.il/law_word/law06/tak-7404.pdf;‎רשומות - תקנות כלליות#תוקנו ק"ת תשע"ד ‏מס' 7404 #מיום 4.8.2014 עמ' 1575 – כללים תשע"ד-2014‏</vt:lpwstr>
  </property>
  <property fmtid="{D5CDD505-2E9C-101B-9397-08002B2CF9AE}" pid="62" name="MEKOR_NAME1">
    <vt:lpwstr>חוק תאגידי מים וביוב</vt:lpwstr>
  </property>
  <property fmtid="{D5CDD505-2E9C-101B-9397-08002B2CF9AE}" pid="63" name="MEKOR_SAIF1">
    <vt:lpwstr>63XאX5X</vt:lpwstr>
  </property>
  <property fmtid="{D5CDD505-2E9C-101B-9397-08002B2CF9AE}" pid="64" name="LINKK1">
    <vt:lpwstr>http://www.nevo.co.il/law_word/law06/tak-7369.pdf;‎רשומות - תקנות כלליות#פורסמו ק"ת תשע"ד ‏מס' 7369 #מיום 10.4.2014 עמ' 1076‏</vt:lpwstr>
  </property>
</Properties>
</file>