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A65" w:rsidRDefault="000F7A65" w:rsidP="000F7A65">
      <w:pPr>
        <w:pStyle w:val="big-header"/>
        <w:ind w:left="0" w:right="1134"/>
        <w:rPr>
          <w:rFonts w:cs="FrankRuehl"/>
          <w:sz w:val="32"/>
        </w:rPr>
      </w:pPr>
      <w:r>
        <w:rPr>
          <w:rFonts w:cs="FrankRuehl" w:hint="cs"/>
          <w:sz w:val="32"/>
          <w:rtl/>
        </w:rPr>
        <w:t>כללים בדבר סדרי טיפול בדוחות על פי תקנות הצעה פרטית ותקנות עסקה עם בעלי שליטה, תשס"ד-2003</w:t>
      </w:r>
    </w:p>
    <w:p w:rsidR="00C01857" w:rsidRPr="00C01857" w:rsidRDefault="00C01857" w:rsidP="00C01857">
      <w:pPr>
        <w:spacing w:line="320" w:lineRule="auto"/>
        <w:rPr>
          <w:rFonts w:cs="FrankRuehl"/>
          <w:szCs w:val="26"/>
          <w:rtl/>
        </w:rPr>
      </w:pPr>
    </w:p>
    <w:p w:rsidR="00C01857" w:rsidRDefault="00C01857" w:rsidP="00C01857">
      <w:pPr>
        <w:spacing w:line="320" w:lineRule="auto"/>
        <w:rPr>
          <w:rtl/>
        </w:rPr>
      </w:pPr>
    </w:p>
    <w:p w:rsidR="00C01857" w:rsidRDefault="00C01857" w:rsidP="00C01857">
      <w:pPr>
        <w:spacing w:line="320" w:lineRule="auto"/>
        <w:rPr>
          <w:rFonts w:cs="FrankRuehl"/>
          <w:szCs w:val="26"/>
          <w:rtl/>
        </w:rPr>
      </w:pPr>
      <w:r w:rsidRPr="00C01857">
        <w:rPr>
          <w:rFonts w:cs="Miriam"/>
          <w:szCs w:val="22"/>
          <w:rtl/>
        </w:rPr>
        <w:t>משפט פרטי וכלכלה</w:t>
      </w:r>
      <w:r w:rsidRPr="00C01857">
        <w:rPr>
          <w:rFonts w:cs="FrankRuehl"/>
          <w:szCs w:val="26"/>
          <w:rtl/>
        </w:rPr>
        <w:t xml:space="preserve"> – תאגידים וניירות ערך – ניירות ערך</w:t>
      </w:r>
    </w:p>
    <w:p w:rsidR="00C01857" w:rsidRDefault="00C01857" w:rsidP="00C01857">
      <w:pPr>
        <w:spacing w:line="320" w:lineRule="auto"/>
        <w:rPr>
          <w:rFonts w:cs="FrankRuehl"/>
          <w:szCs w:val="26"/>
          <w:rtl/>
        </w:rPr>
      </w:pPr>
      <w:r w:rsidRPr="00C01857">
        <w:rPr>
          <w:rFonts w:cs="Miriam"/>
          <w:szCs w:val="22"/>
          <w:rtl/>
        </w:rPr>
        <w:t>משפט פרטי וכלכלה</w:t>
      </w:r>
      <w:r w:rsidRPr="00C01857">
        <w:rPr>
          <w:rFonts w:cs="FrankRuehl"/>
          <w:szCs w:val="26"/>
          <w:rtl/>
        </w:rPr>
        <w:t xml:space="preserve"> – תאגידים וניירות ערך – חברות</w:t>
      </w:r>
    </w:p>
    <w:p w:rsidR="00C01857" w:rsidRPr="00C01857" w:rsidRDefault="00C01857" w:rsidP="00C01857">
      <w:pPr>
        <w:spacing w:line="320" w:lineRule="auto"/>
        <w:rPr>
          <w:rFonts w:cs="Miriam"/>
          <w:szCs w:val="22"/>
          <w:rtl/>
        </w:rPr>
      </w:pPr>
      <w:r w:rsidRPr="00C01857">
        <w:rPr>
          <w:rFonts w:cs="Miriam"/>
          <w:szCs w:val="22"/>
          <w:rtl/>
        </w:rPr>
        <w:t>משפט פרטי וכלכלה</w:t>
      </w:r>
      <w:r w:rsidRPr="00C01857">
        <w:rPr>
          <w:rFonts w:cs="FrankRuehl"/>
          <w:szCs w:val="26"/>
          <w:rtl/>
        </w:rPr>
        <w:t xml:space="preserve"> – כספים – בנקאות – ניירות ערך</w:t>
      </w:r>
    </w:p>
    <w:p w:rsidR="000F7A65" w:rsidRDefault="000F7A65" w:rsidP="000F7A65">
      <w:pPr>
        <w:pStyle w:val="big-header"/>
        <w:ind w:left="0" w:right="1134"/>
        <w:rPr>
          <w:rStyle w:val="default"/>
          <w:rFonts w:hint="cs"/>
          <w:sz w:val="22"/>
          <w:szCs w:val="2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1 </w:t>
            </w:r>
          </w:p>
        </w:tc>
        <w:tc>
          <w:tcPr>
            <w:tcW w:w="5669" w:type="dxa"/>
          </w:tcPr>
          <w:p w:rsidR="008C7AE2" w:rsidRPr="008C7AE2" w:rsidRDefault="008C7AE2" w:rsidP="008C7AE2">
            <w:pPr>
              <w:rPr>
                <w:rFonts w:cs="Frankruhel" w:hint="cs"/>
                <w:rtl/>
              </w:rPr>
            </w:pPr>
            <w:r>
              <w:rPr>
                <w:rtl/>
              </w:rPr>
              <w:t>הגדרות</w:t>
            </w:r>
          </w:p>
        </w:tc>
        <w:tc>
          <w:tcPr>
            <w:tcW w:w="567" w:type="dxa"/>
          </w:tcPr>
          <w:p w:rsidR="008C7AE2" w:rsidRPr="008C7AE2" w:rsidRDefault="008C7AE2" w:rsidP="008C7AE2">
            <w:pPr>
              <w:rPr>
                <w:rStyle w:val="Hyperlink"/>
                <w:rFonts w:hint="cs"/>
                <w:rtl/>
              </w:rPr>
            </w:pPr>
            <w:hyperlink w:anchor="Seif1" w:tooltip="הגדרות"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2 </w:t>
            </w:r>
          </w:p>
        </w:tc>
        <w:tc>
          <w:tcPr>
            <w:tcW w:w="5669" w:type="dxa"/>
          </w:tcPr>
          <w:p w:rsidR="008C7AE2" w:rsidRPr="008C7AE2" w:rsidRDefault="008C7AE2" w:rsidP="008C7AE2">
            <w:pPr>
              <w:rPr>
                <w:rFonts w:cs="Frankruhel" w:hint="cs"/>
                <w:rtl/>
              </w:rPr>
            </w:pPr>
            <w:r>
              <w:rPr>
                <w:rtl/>
              </w:rPr>
              <w:t>חתימה</w:t>
            </w:r>
          </w:p>
        </w:tc>
        <w:tc>
          <w:tcPr>
            <w:tcW w:w="567" w:type="dxa"/>
          </w:tcPr>
          <w:p w:rsidR="008C7AE2" w:rsidRPr="008C7AE2" w:rsidRDefault="008C7AE2" w:rsidP="008C7AE2">
            <w:pPr>
              <w:rPr>
                <w:rStyle w:val="Hyperlink"/>
                <w:rFonts w:hint="cs"/>
                <w:rtl/>
              </w:rPr>
            </w:pPr>
            <w:hyperlink w:anchor="Seif2" w:tooltip="חתימה"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3 </w:t>
            </w:r>
          </w:p>
        </w:tc>
        <w:tc>
          <w:tcPr>
            <w:tcW w:w="5669" w:type="dxa"/>
          </w:tcPr>
          <w:p w:rsidR="008C7AE2" w:rsidRPr="008C7AE2" w:rsidRDefault="008C7AE2" w:rsidP="008C7AE2">
            <w:pPr>
              <w:rPr>
                <w:rFonts w:cs="Frankruhel" w:hint="cs"/>
                <w:rtl/>
              </w:rPr>
            </w:pPr>
            <w:r>
              <w:rPr>
                <w:rtl/>
              </w:rPr>
              <w:t>תאריך הגשת הדוח</w:t>
            </w:r>
          </w:p>
        </w:tc>
        <w:tc>
          <w:tcPr>
            <w:tcW w:w="567" w:type="dxa"/>
          </w:tcPr>
          <w:p w:rsidR="008C7AE2" w:rsidRPr="008C7AE2" w:rsidRDefault="008C7AE2" w:rsidP="008C7AE2">
            <w:pPr>
              <w:rPr>
                <w:rStyle w:val="Hyperlink"/>
                <w:rFonts w:hint="cs"/>
                <w:rtl/>
              </w:rPr>
            </w:pPr>
            <w:hyperlink w:anchor="Seif3" w:tooltip="תאריך הגשת הדוח"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4 </w:t>
            </w:r>
          </w:p>
        </w:tc>
        <w:tc>
          <w:tcPr>
            <w:tcW w:w="5669" w:type="dxa"/>
          </w:tcPr>
          <w:p w:rsidR="008C7AE2" w:rsidRPr="008C7AE2" w:rsidRDefault="008C7AE2" w:rsidP="008C7AE2">
            <w:pPr>
              <w:rPr>
                <w:rFonts w:cs="Frankruhel" w:hint="cs"/>
                <w:rtl/>
              </w:rPr>
            </w:pPr>
            <w:r>
              <w:rPr>
                <w:rtl/>
              </w:rPr>
              <w:t>אופן הגשת הדוח וצורתו</w:t>
            </w:r>
          </w:p>
        </w:tc>
        <w:tc>
          <w:tcPr>
            <w:tcW w:w="567" w:type="dxa"/>
          </w:tcPr>
          <w:p w:rsidR="008C7AE2" w:rsidRPr="008C7AE2" w:rsidRDefault="008C7AE2" w:rsidP="008C7AE2">
            <w:pPr>
              <w:rPr>
                <w:rStyle w:val="Hyperlink"/>
                <w:rFonts w:hint="cs"/>
                <w:rtl/>
              </w:rPr>
            </w:pPr>
            <w:hyperlink w:anchor="Seif4" w:tooltip="אופן הגשת הדוח וצורתו"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5 </w:t>
            </w:r>
          </w:p>
        </w:tc>
        <w:tc>
          <w:tcPr>
            <w:tcW w:w="5669" w:type="dxa"/>
          </w:tcPr>
          <w:p w:rsidR="008C7AE2" w:rsidRPr="008C7AE2" w:rsidRDefault="008C7AE2" w:rsidP="008C7AE2">
            <w:pPr>
              <w:rPr>
                <w:rFonts w:cs="Frankruhel" w:hint="cs"/>
                <w:rtl/>
              </w:rPr>
            </w:pPr>
            <w:r>
              <w:rPr>
                <w:rtl/>
              </w:rPr>
              <w:t>אגרות</w:t>
            </w:r>
          </w:p>
        </w:tc>
        <w:tc>
          <w:tcPr>
            <w:tcW w:w="567" w:type="dxa"/>
          </w:tcPr>
          <w:p w:rsidR="008C7AE2" w:rsidRPr="008C7AE2" w:rsidRDefault="008C7AE2" w:rsidP="008C7AE2">
            <w:pPr>
              <w:rPr>
                <w:rStyle w:val="Hyperlink"/>
                <w:rFonts w:hint="cs"/>
                <w:rtl/>
              </w:rPr>
            </w:pPr>
            <w:hyperlink w:anchor="Seif5" w:tooltip="אגרות"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6 </w:t>
            </w:r>
          </w:p>
        </w:tc>
        <w:tc>
          <w:tcPr>
            <w:tcW w:w="5669" w:type="dxa"/>
          </w:tcPr>
          <w:p w:rsidR="008C7AE2" w:rsidRPr="008C7AE2" w:rsidRDefault="008C7AE2" w:rsidP="008C7AE2">
            <w:pPr>
              <w:rPr>
                <w:rFonts w:cs="Frankruhel" w:hint="cs"/>
                <w:rtl/>
              </w:rPr>
            </w:pPr>
            <w:r>
              <w:rPr>
                <w:rtl/>
              </w:rPr>
              <w:t>מודעות בעיתון</w:t>
            </w:r>
          </w:p>
        </w:tc>
        <w:tc>
          <w:tcPr>
            <w:tcW w:w="567" w:type="dxa"/>
          </w:tcPr>
          <w:p w:rsidR="008C7AE2" w:rsidRPr="008C7AE2" w:rsidRDefault="008C7AE2" w:rsidP="008C7AE2">
            <w:pPr>
              <w:rPr>
                <w:rStyle w:val="Hyperlink"/>
                <w:rFonts w:hint="cs"/>
                <w:rtl/>
              </w:rPr>
            </w:pPr>
            <w:hyperlink w:anchor="Seif6" w:tooltip="מודעות בעיתון"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7 </w:t>
            </w:r>
          </w:p>
        </w:tc>
        <w:tc>
          <w:tcPr>
            <w:tcW w:w="5669" w:type="dxa"/>
          </w:tcPr>
          <w:p w:rsidR="008C7AE2" w:rsidRPr="008C7AE2" w:rsidRDefault="008C7AE2" w:rsidP="008C7AE2">
            <w:pPr>
              <w:rPr>
                <w:rFonts w:cs="Frankruhel" w:hint="cs"/>
                <w:rtl/>
              </w:rPr>
            </w:pPr>
            <w:r>
              <w:rPr>
                <w:rtl/>
              </w:rPr>
              <w:t>דוח מקדמי</w:t>
            </w:r>
          </w:p>
        </w:tc>
        <w:tc>
          <w:tcPr>
            <w:tcW w:w="567" w:type="dxa"/>
          </w:tcPr>
          <w:p w:rsidR="008C7AE2" w:rsidRPr="008C7AE2" w:rsidRDefault="008C7AE2" w:rsidP="008C7AE2">
            <w:pPr>
              <w:rPr>
                <w:rStyle w:val="Hyperlink"/>
                <w:rFonts w:hint="cs"/>
                <w:rtl/>
              </w:rPr>
            </w:pPr>
            <w:hyperlink w:anchor="Seif7" w:tooltip="דוח מקדמי"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8 </w:t>
            </w:r>
          </w:p>
        </w:tc>
        <w:tc>
          <w:tcPr>
            <w:tcW w:w="5669" w:type="dxa"/>
          </w:tcPr>
          <w:p w:rsidR="008C7AE2" w:rsidRPr="008C7AE2" w:rsidRDefault="008C7AE2" w:rsidP="008C7AE2">
            <w:pPr>
              <w:rPr>
                <w:rFonts w:cs="Frankruhel" w:hint="cs"/>
                <w:rtl/>
              </w:rPr>
            </w:pPr>
            <w:r>
              <w:rPr>
                <w:rtl/>
              </w:rPr>
              <w:t>דוח מתקן</w:t>
            </w:r>
          </w:p>
        </w:tc>
        <w:tc>
          <w:tcPr>
            <w:tcW w:w="567" w:type="dxa"/>
          </w:tcPr>
          <w:p w:rsidR="008C7AE2" w:rsidRPr="008C7AE2" w:rsidRDefault="008C7AE2" w:rsidP="008C7AE2">
            <w:pPr>
              <w:rPr>
                <w:rStyle w:val="Hyperlink"/>
                <w:rFonts w:hint="cs"/>
                <w:rtl/>
              </w:rPr>
            </w:pPr>
            <w:hyperlink w:anchor="Seif8" w:tooltip="דוח מתקן"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9 </w:t>
            </w:r>
          </w:p>
        </w:tc>
        <w:tc>
          <w:tcPr>
            <w:tcW w:w="5669" w:type="dxa"/>
          </w:tcPr>
          <w:p w:rsidR="008C7AE2" w:rsidRPr="008C7AE2" w:rsidRDefault="008C7AE2" w:rsidP="008C7AE2">
            <w:pPr>
              <w:rPr>
                <w:rFonts w:cs="Frankruhel" w:hint="cs"/>
                <w:rtl/>
              </w:rPr>
            </w:pPr>
            <w:r>
              <w:rPr>
                <w:rtl/>
              </w:rPr>
              <w:t>עסקה חריגה שאינה טעונה אישור אסיפה</w:t>
            </w:r>
          </w:p>
        </w:tc>
        <w:tc>
          <w:tcPr>
            <w:tcW w:w="567" w:type="dxa"/>
          </w:tcPr>
          <w:p w:rsidR="008C7AE2" w:rsidRPr="008C7AE2" w:rsidRDefault="008C7AE2" w:rsidP="008C7AE2">
            <w:pPr>
              <w:rPr>
                <w:rStyle w:val="Hyperlink"/>
                <w:rFonts w:hint="cs"/>
                <w:rtl/>
              </w:rPr>
            </w:pPr>
            <w:hyperlink w:anchor="Seif9" w:tooltip="עסקה חריגה שאינה טעונה אישור אסיפה"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10 </w:t>
            </w:r>
          </w:p>
        </w:tc>
        <w:tc>
          <w:tcPr>
            <w:tcW w:w="5669" w:type="dxa"/>
          </w:tcPr>
          <w:p w:rsidR="008C7AE2" w:rsidRPr="008C7AE2" w:rsidRDefault="008C7AE2" w:rsidP="008C7AE2">
            <w:pPr>
              <w:rPr>
                <w:rFonts w:cs="Frankruhel" w:hint="cs"/>
                <w:rtl/>
              </w:rPr>
            </w:pPr>
            <w:r>
              <w:rPr>
                <w:rtl/>
              </w:rPr>
              <w:t>תוצאות אסיפה</w:t>
            </w:r>
          </w:p>
        </w:tc>
        <w:tc>
          <w:tcPr>
            <w:tcW w:w="567" w:type="dxa"/>
          </w:tcPr>
          <w:p w:rsidR="008C7AE2" w:rsidRPr="008C7AE2" w:rsidRDefault="008C7AE2" w:rsidP="008C7AE2">
            <w:pPr>
              <w:rPr>
                <w:rStyle w:val="Hyperlink"/>
                <w:rFonts w:hint="cs"/>
                <w:rtl/>
              </w:rPr>
            </w:pPr>
            <w:hyperlink w:anchor="Seif10" w:tooltip="תוצאות אסיפה"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11 </w:t>
            </w:r>
          </w:p>
        </w:tc>
        <w:tc>
          <w:tcPr>
            <w:tcW w:w="5669" w:type="dxa"/>
          </w:tcPr>
          <w:p w:rsidR="008C7AE2" w:rsidRPr="008C7AE2" w:rsidRDefault="008C7AE2" w:rsidP="008C7AE2">
            <w:pPr>
              <w:rPr>
                <w:rFonts w:cs="Frankruhel" w:hint="cs"/>
                <w:rtl/>
              </w:rPr>
            </w:pPr>
            <w:r>
              <w:rPr>
                <w:rtl/>
              </w:rPr>
              <w:t>ביטול</w:t>
            </w:r>
          </w:p>
        </w:tc>
        <w:tc>
          <w:tcPr>
            <w:tcW w:w="567" w:type="dxa"/>
          </w:tcPr>
          <w:p w:rsidR="008C7AE2" w:rsidRPr="008C7AE2" w:rsidRDefault="008C7AE2" w:rsidP="008C7AE2">
            <w:pPr>
              <w:rPr>
                <w:rStyle w:val="Hyperlink"/>
                <w:rFonts w:hint="cs"/>
                <w:rtl/>
              </w:rPr>
            </w:pPr>
            <w:hyperlink w:anchor="Seif11" w:tooltip="ביטול"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8C7AE2" w:rsidRPr="008C7AE2" w:rsidTr="008C7AE2">
        <w:tblPrEx>
          <w:tblCellMar>
            <w:top w:w="0" w:type="dxa"/>
            <w:bottom w:w="0" w:type="dxa"/>
          </w:tblCellMar>
        </w:tblPrEx>
        <w:tc>
          <w:tcPr>
            <w:tcW w:w="1247" w:type="dxa"/>
          </w:tcPr>
          <w:p w:rsidR="008C7AE2" w:rsidRPr="008C7AE2" w:rsidRDefault="008C7AE2" w:rsidP="008C7AE2">
            <w:pPr>
              <w:rPr>
                <w:rFonts w:cs="Frankruhel" w:hint="cs"/>
                <w:rtl/>
              </w:rPr>
            </w:pPr>
            <w:r>
              <w:rPr>
                <w:rtl/>
              </w:rPr>
              <w:t xml:space="preserve">סעיף 12 </w:t>
            </w:r>
          </w:p>
        </w:tc>
        <w:tc>
          <w:tcPr>
            <w:tcW w:w="5669" w:type="dxa"/>
          </w:tcPr>
          <w:p w:rsidR="008C7AE2" w:rsidRPr="008C7AE2" w:rsidRDefault="008C7AE2" w:rsidP="008C7AE2">
            <w:pPr>
              <w:rPr>
                <w:rFonts w:cs="Frankruhel" w:hint="cs"/>
                <w:rtl/>
              </w:rPr>
            </w:pPr>
            <w:r>
              <w:rPr>
                <w:rtl/>
              </w:rPr>
              <w:t>תחילה</w:t>
            </w:r>
          </w:p>
        </w:tc>
        <w:tc>
          <w:tcPr>
            <w:tcW w:w="567" w:type="dxa"/>
          </w:tcPr>
          <w:p w:rsidR="008C7AE2" w:rsidRPr="008C7AE2" w:rsidRDefault="008C7AE2" w:rsidP="008C7AE2">
            <w:pPr>
              <w:rPr>
                <w:rStyle w:val="Hyperlink"/>
                <w:rFonts w:hint="cs"/>
                <w:rtl/>
              </w:rPr>
            </w:pPr>
            <w:hyperlink w:anchor="Seif12" w:tooltip="תחילה" w:history="1">
              <w:r w:rsidRPr="008C7AE2">
                <w:rPr>
                  <w:rStyle w:val="Hyperlink"/>
                </w:rPr>
                <w:t>Go</w:t>
              </w:r>
            </w:hyperlink>
          </w:p>
        </w:tc>
        <w:tc>
          <w:tcPr>
            <w:tcW w:w="850" w:type="dxa"/>
          </w:tcPr>
          <w:p w:rsidR="008C7AE2" w:rsidRPr="008C7AE2" w:rsidRDefault="008C7AE2" w:rsidP="008C7A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bl>
    <w:p w:rsidR="000F7A65" w:rsidRDefault="000F7A65">
      <w:pPr>
        <w:pStyle w:val="big-header"/>
        <w:ind w:left="0" w:right="1134"/>
        <w:rPr>
          <w:rFonts w:cs="FrankRuehl" w:hint="cs"/>
          <w:sz w:val="32"/>
          <w:rtl/>
        </w:rPr>
      </w:pPr>
    </w:p>
    <w:p w:rsidR="007278E1" w:rsidRDefault="000F7A65" w:rsidP="00C01857">
      <w:pPr>
        <w:pStyle w:val="big-header"/>
        <w:ind w:left="0" w:right="1134"/>
        <w:rPr>
          <w:rStyle w:val="default"/>
          <w:rFonts w:hint="cs"/>
          <w:sz w:val="22"/>
          <w:szCs w:val="22"/>
          <w:rtl/>
        </w:rPr>
      </w:pPr>
      <w:r>
        <w:rPr>
          <w:rFonts w:cs="FrankRuehl"/>
          <w:sz w:val="32"/>
          <w:rtl/>
        </w:rPr>
        <w:br w:type="page"/>
      </w:r>
      <w:r w:rsidR="007278E1">
        <w:rPr>
          <w:rFonts w:cs="FrankRuehl" w:hint="cs"/>
          <w:sz w:val="32"/>
          <w:rtl/>
        </w:rPr>
        <w:lastRenderedPageBreak/>
        <w:t>כללים בדבר סדרי טיפול בדוחות על פי תקנות הצעה פרטית ותקנות עסקה עם בעלי שליטה, תשס"ד-2003</w:t>
      </w:r>
      <w:r w:rsidR="007278E1">
        <w:rPr>
          <w:rStyle w:val="default"/>
          <w:sz w:val="22"/>
          <w:szCs w:val="22"/>
          <w:rtl/>
        </w:rPr>
        <w:footnoteReference w:customMarkFollows="1" w:id="1"/>
        <w:t>*</w:t>
      </w:r>
    </w:p>
    <w:p w:rsidR="007278E1" w:rsidRDefault="007278E1">
      <w:pPr>
        <w:pStyle w:val="big-header"/>
        <w:spacing w:before="200" w:after="240"/>
        <w:ind w:left="0" w:right="1134"/>
        <w:rPr>
          <w:rFonts w:cs="Miriam" w:hint="cs"/>
          <w:szCs w:val="20"/>
          <w:rtl/>
        </w:rPr>
      </w:pPr>
      <w:r>
        <w:rPr>
          <w:rStyle w:val="default"/>
          <w:rFonts w:cs="Miriam" w:hint="cs"/>
          <w:sz w:val="20"/>
          <w:szCs w:val="20"/>
          <w:rtl/>
        </w:rPr>
        <w:t>לפי חוק ניירות ערך, התשכ"ח-1968</w:t>
      </w:r>
    </w:p>
    <w:p w:rsidR="007278E1" w:rsidRDefault="007278E1">
      <w:pPr>
        <w:pStyle w:val="P00"/>
        <w:spacing w:before="72"/>
        <w:ind w:left="0" w:right="1134"/>
        <w:rPr>
          <w:rStyle w:val="default"/>
          <w:rFonts w:cs="FrankRuehl" w:hint="cs"/>
          <w:rtl/>
        </w:rPr>
      </w:pPr>
      <w:r>
        <w:rPr>
          <w:rFonts w:cs="FrankRuehl"/>
          <w:sz w:val="26"/>
          <w:rtl/>
        </w:rPr>
        <w:tab/>
      </w:r>
      <w:r>
        <w:rPr>
          <w:rStyle w:val="default"/>
          <w:rFonts w:cs="FrankRuehl" w:hint="cs"/>
          <w:rtl/>
        </w:rPr>
        <w:t xml:space="preserve">ניתנת בזה הודעה, כי בתוקף סמכותה לפי סעיף 12(ה) לחוק ניירות ערך, התשכ"ח-1968 (להלן </w:t>
      </w:r>
      <w:r>
        <w:rPr>
          <w:rStyle w:val="default"/>
          <w:rFonts w:cs="FrankRuehl"/>
          <w:rtl/>
        </w:rPr>
        <w:t>–</w:t>
      </w:r>
      <w:r>
        <w:rPr>
          <w:rStyle w:val="default"/>
          <w:rFonts w:cs="FrankRuehl" w:hint="cs"/>
          <w:rtl/>
        </w:rPr>
        <w:t xml:space="preserve"> החוק), ובאישור שר האוצר, קבעה רשות ניירות ערך (להלן </w:t>
      </w:r>
      <w:r>
        <w:rPr>
          <w:rStyle w:val="default"/>
          <w:rFonts w:cs="FrankRuehl"/>
          <w:rtl/>
        </w:rPr>
        <w:t>–</w:t>
      </w:r>
      <w:r>
        <w:rPr>
          <w:rStyle w:val="default"/>
          <w:rFonts w:cs="FrankRuehl" w:hint="cs"/>
          <w:rtl/>
        </w:rPr>
        <w:t xml:space="preserve"> הרשות) כללים בדבר סדרי טיפול בדוחות על פי תקנות ניירות ערך (הצעה פרטית של ניירות ערך בחברה רשומה), התש"ס-2000 (להלן </w:t>
      </w:r>
      <w:r>
        <w:rPr>
          <w:rStyle w:val="default"/>
          <w:rFonts w:cs="FrankRuehl"/>
          <w:rtl/>
        </w:rPr>
        <w:t>–</w:t>
      </w:r>
      <w:r>
        <w:rPr>
          <w:rStyle w:val="default"/>
          <w:rFonts w:cs="FrankRuehl" w:hint="cs"/>
          <w:rtl/>
        </w:rPr>
        <w:t xml:space="preserve"> תקנות הצעה פרטית), ועל פי תקנות ניירות ערך (עסקה בין חברה רשומה לבין בעל שליטה בה), התשס"א-2001 (להלן </w:t>
      </w:r>
      <w:r>
        <w:rPr>
          <w:rStyle w:val="default"/>
          <w:rFonts w:cs="FrankRuehl"/>
          <w:rtl/>
        </w:rPr>
        <w:t>–</w:t>
      </w:r>
      <w:r>
        <w:rPr>
          <w:rStyle w:val="default"/>
          <w:rFonts w:cs="FrankRuehl" w:hint="cs"/>
          <w:rtl/>
        </w:rPr>
        <w:t xml:space="preserve"> תקנות בעלי שליטה), כדלקמן:</w:t>
      </w:r>
    </w:p>
    <w:p w:rsidR="007278E1" w:rsidRDefault="007278E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8.95pt;z-index:251652096"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בכללים אלה </w:t>
      </w:r>
      <w:r>
        <w:rPr>
          <w:rStyle w:val="default"/>
          <w:rFonts w:cs="FrankRuehl"/>
          <w:rtl/>
        </w:rPr>
        <w:t>–</w:t>
      </w:r>
    </w:p>
    <w:p w:rsidR="007278E1" w:rsidRDefault="007278E1">
      <w:pPr>
        <w:pStyle w:val="P00"/>
        <w:spacing w:before="72"/>
        <w:ind w:left="0" w:right="1134"/>
        <w:rPr>
          <w:rStyle w:val="default"/>
          <w:rFonts w:cs="FrankRuehl" w:hint="cs"/>
          <w:rtl/>
        </w:rPr>
      </w:pPr>
      <w:r>
        <w:rPr>
          <w:rStyle w:val="default"/>
          <w:rFonts w:cs="FrankRuehl" w:hint="cs"/>
          <w:rtl/>
        </w:rPr>
        <w:tab/>
        <w:t xml:space="preserve">"טופס" </w:t>
      </w:r>
      <w:r>
        <w:rPr>
          <w:rStyle w:val="default"/>
          <w:rFonts w:cs="FrankRuehl"/>
          <w:rtl/>
        </w:rPr>
        <w:t>–</w:t>
      </w:r>
      <w:r>
        <w:rPr>
          <w:rStyle w:val="default"/>
          <w:rFonts w:cs="FrankRuehl" w:hint="cs"/>
          <w:rtl/>
        </w:rPr>
        <w:t xml:space="preserve"> טופס דיווח כהגדרתו בתקנות דיווח אלקטרוני;</w:t>
      </w:r>
    </w:p>
    <w:p w:rsidR="007278E1" w:rsidRDefault="007278E1">
      <w:pPr>
        <w:pStyle w:val="P00"/>
        <w:spacing w:before="72"/>
        <w:ind w:left="0" w:right="1134"/>
        <w:rPr>
          <w:rStyle w:val="default"/>
          <w:rFonts w:cs="FrankRuehl" w:hint="cs"/>
          <w:rtl/>
        </w:rPr>
      </w:pPr>
      <w:r>
        <w:rPr>
          <w:rStyle w:val="default"/>
          <w:rFonts w:cs="FrankRuehl" w:hint="cs"/>
          <w:rtl/>
        </w:rPr>
        <w:tab/>
        <w:t xml:space="preserve">"תקנות דיווח אלקטרוני" </w:t>
      </w:r>
      <w:r>
        <w:rPr>
          <w:rStyle w:val="default"/>
          <w:rFonts w:cs="FrankRuehl"/>
          <w:rtl/>
        </w:rPr>
        <w:t>–</w:t>
      </w:r>
      <w:r>
        <w:rPr>
          <w:rStyle w:val="default"/>
          <w:rFonts w:cs="FrankRuehl" w:hint="cs"/>
          <w:rtl/>
        </w:rPr>
        <w:t xml:space="preserve"> תקנות ניירות ערך (חתימה ודיווח אלקטרוני), התשס"ג-2003.</w:t>
      </w:r>
    </w:p>
    <w:p w:rsidR="007278E1" w:rsidRDefault="007278E1">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11.3pt;z-index:251653120" o:allowincell="f" filled="f" stroked="f" strokecolor="lime" strokeweight=".25pt">
            <v:textbox style="mso-next-textbox:#_x0000_s1032" inset="0,0,0,0">
              <w:txbxContent>
                <w:p w:rsidR="007278E1" w:rsidRDefault="007278E1">
                  <w:pPr>
                    <w:spacing w:line="160" w:lineRule="exact"/>
                    <w:rPr>
                      <w:rFonts w:cs="Miriam" w:hint="cs"/>
                      <w:noProof/>
                      <w:sz w:val="18"/>
                      <w:szCs w:val="18"/>
                      <w:rtl/>
                    </w:rPr>
                  </w:pPr>
                  <w:r>
                    <w:rPr>
                      <w:rFonts w:cs="Miriam" w:hint="cs"/>
                      <w:sz w:val="18"/>
                      <w:szCs w:val="18"/>
                      <w:rtl/>
                    </w:rPr>
                    <w:t>חתימה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 xml:space="preserve">דוח המוגש לרשות לפי תקנות הצעה פרטית או תקנות בעלי שליטה, לרבות כל חוות דעת, אישור או מסמך אחר המוגשים יחד עמו (להלן </w:t>
      </w:r>
      <w:r>
        <w:rPr>
          <w:rStyle w:val="default"/>
          <w:rFonts w:cs="FrankRuehl"/>
          <w:rtl/>
        </w:rPr>
        <w:t>–</w:t>
      </w:r>
      <w:r>
        <w:rPr>
          <w:rStyle w:val="default"/>
          <w:rFonts w:cs="FrankRuehl" w:hint="cs"/>
          <w:rtl/>
        </w:rPr>
        <w:t xml:space="preserve"> הדוח), ייחתם לפי הוראות תקנה 2(א) ו-(ב) לתקנות דיווח אלקטרוני.</w:t>
      </w:r>
    </w:p>
    <w:p w:rsidR="007278E1" w:rsidRDefault="007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 הדוח דוחות עספיים, ייחתמו דוח המבקר או הסקירה על הדוחות הכספיים, לפי הענין, בהתאם להוראות בתקנה 2(ד) לתקנות דיווח אלקטרוני.</w:t>
      </w:r>
    </w:p>
    <w:p w:rsidR="007278E1" w:rsidRDefault="007278E1">
      <w:pPr>
        <w:pStyle w:val="P00"/>
        <w:spacing w:before="72"/>
        <w:ind w:left="0" w:right="1134"/>
        <w:rPr>
          <w:rStyle w:val="default"/>
          <w:rFonts w:cs="FrankRuehl" w:hint="cs"/>
          <w:rtl/>
        </w:rPr>
      </w:pPr>
      <w:bookmarkStart w:id="2" w:name="Seif3"/>
      <w:bookmarkEnd w:id="2"/>
      <w:r>
        <w:rPr>
          <w:rFonts w:cs="Miriam"/>
          <w:lang w:val="he-IL"/>
        </w:rPr>
        <w:pict>
          <v:rect id="_x0000_s1036" style="position:absolute;left:0;text-align:left;margin-left:464.5pt;margin-top:8.05pt;width:75.05pt;height:8.95pt;z-index:251654144" o:allowincell="f" filled="f" stroked="f" strokecolor="lime" strokeweight=".25pt">
            <v:textbox style="mso-next-textbox:#_x0000_s1036" inset="0,0,0,0">
              <w:txbxContent>
                <w:p w:rsidR="007278E1" w:rsidRDefault="007278E1">
                  <w:pPr>
                    <w:spacing w:line="160" w:lineRule="exact"/>
                    <w:rPr>
                      <w:rFonts w:cs="Miriam" w:hint="cs"/>
                      <w:noProof/>
                      <w:sz w:val="18"/>
                      <w:szCs w:val="18"/>
                      <w:rtl/>
                    </w:rPr>
                  </w:pPr>
                  <w:r>
                    <w:rPr>
                      <w:rFonts w:cs="Miriam" w:hint="cs"/>
                      <w:sz w:val="18"/>
                      <w:szCs w:val="18"/>
                      <w:rtl/>
                    </w:rPr>
                    <w:t>תאריך הגשת הדוח</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תאריך הגשת הדוח לענין סמכות הרשות לדרישת הסבר, פירוט, ידיעות ומסמכים ולתיקון הדוח על פי תקנות הצעה פרטית או תקנות בעלי שליטה, יהיה המועד שבו הוגשו לרשות כל המסמכים שיש לצרפם לפי התקנות האמורות וכללים אלה.</w:t>
      </w:r>
    </w:p>
    <w:p w:rsidR="007278E1" w:rsidRDefault="007278E1">
      <w:pPr>
        <w:pStyle w:val="P00"/>
        <w:spacing w:before="72"/>
        <w:ind w:left="0" w:right="1134"/>
        <w:rPr>
          <w:rStyle w:val="default"/>
          <w:rFonts w:cs="FrankRuehl" w:hint="cs"/>
          <w:rtl/>
        </w:rPr>
      </w:pPr>
      <w:bookmarkStart w:id="3" w:name="Seif4"/>
      <w:bookmarkEnd w:id="3"/>
      <w:r>
        <w:rPr>
          <w:rFonts w:cs="Miriam"/>
          <w:lang w:val="he-IL"/>
        </w:rPr>
        <w:pict>
          <v:rect id="_x0000_s1062" style="position:absolute;left:0;text-align:left;margin-left:464.5pt;margin-top:8.05pt;width:75.05pt;height:22.25pt;z-index:251655168" o:allowincell="f" filled="f" stroked="f" strokecolor="lime" strokeweight=".25pt">
            <v:textbox style="mso-next-textbox:#_x0000_s1062" inset="0,0,0,0">
              <w:txbxContent>
                <w:p w:rsidR="007278E1" w:rsidRDefault="007278E1">
                  <w:pPr>
                    <w:spacing w:line="160" w:lineRule="exact"/>
                    <w:rPr>
                      <w:rFonts w:cs="Miriam" w:hint="cs"/>
                      <w:noProof/>
                      <w:sz w:val="18"/>
                      <w:szCs w:val="18"/>
                      <w:rtl/>
                    </w:rPr>
                  </w:pPr>
                  <w:r>
                    <w:rPr>
                      <w:rFonts w:cs="Miriam" w:hint="cs"/>
                      <w:sz w:val="18"/>
                      <w:szCs w:val="18"/>
                      <w:rtl/>
                    </w:rPr>
                    <w:t>אופן הגשת הדוח וצורתו</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דוח מיידי על הצעה פרטית לפי תקנות 4, 17(ג), 20 או 21 לתקנות הצעה פרטית יוגש בטופס "דוח מיידי על הצעה פרטית" (ת-138); דוח מיידי לפי תקנה 3 לתקנות בעלי שליטה יוגש בטופס "דוח מיידי על עסקה בין חברה לבין בעל שליטה בה" (ת-133); דוח לפי תקנה 4 לתקנות הצעה פרטית ותקנה 3 לתקנות בעלי שליטה יוגש בטופס "דוח על הצעה פרטית ועסקה עם בעל שליטה" (ת-142).</w:t>
      </w:r>
    </w:p>
    <w:p w:rsidR="007278E1" w:rsidRDefault="007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כמפורט בסעיף קטן (א) ייערך בהתאם לכללים אלה:</w:t>
      </w:r>
    </w:p>
    <w:p w:rsidR="007278E1" w:rsidRDefault="007278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עמודי הטקסט ימוספרו החל בעמוד הראשון, ויהיו בגודל </w:t>
      </w:r>
      <w:r>
        <w:rPr>
          <w:rStyle w:val="default"/>
          <w:rFonts w:cs="FrankRuehl"/>
          <w:sz w:val="20"/>
          <w:szCs w:val="20"/>
        </w:rPr>
        <w:t>A4</w:t>
      </w:r>
      <w:r>
        <w:rPr>
          <w:rStyle w:val="default"/>
          <w:rFonts w:cs="FrankRuehl" w:hint="cs"/>
          <w:rtl/>
        </w:rPr>
        <w:t xml:space="preserve"> (רוחב </w:t>
      </w:r>
      <w:r>
        <w:rPr>
          <w:rStyle w:val="default"/>
          <w:rFonts w:cs="FrankRuehl"/>
          <w:rtl/>
        </w:rPr>
        <w:t>–</w:t>
      </w:r>
      <w:r>
        <w:rPr>
          <w:rStyle w:val="default"/>
          <w:rFonts w:cs="FrankRuehl" w:hint="cs"/>
          <w:rtl/>
        </w:rPr>
        <w:t xml:space="preserve"> 21 ס"מ, גובה 29.7 ס"מ);</w:t>
      </w:r>
    </w:p>
    <w:p w:rsidR="007278E1" w:rsidRDefault="007278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טקסט בעברית, למעט הערות שוליים וכותרות, ייכתב בגופן בגודל 12;</w:t>
      </w:r>
    </w:p>
    <w:p w:rsidR="007278E1" w:rsidRDefault="007278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טקסט באותיות לטיניות, למעט הערות שוליים וכותרות, ייכתב בגופן בגודל 11;</w:t>
      </w:r>
    </w:p>
    <w:p w:rsidR="007278E1" w:rsidRDefault="007278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כלל הדוח הגדרה של מונחים </w:t>
      </w:r>
      <w:r>
        <w:rPr>
          <w:rStyle w:val="default"/>
          <w:rFonts w:cs="FrankRuehl"/>
          <w:rtl/>
        </w:rPr>
        <w:t>–</w:t>
      </w:r>
      <w:r>
        <w:rPr>
          <w:rStyle w:val="default"/>
          <w:rFonts w:cs="FrankRuehl" w:hint="cs"/>
          <w:rtl/>
        </w:rPr>
        <w:t xml:space="preserve"> תיכתב ההגדרה בגופן מודגש (</w:t>
      </w:r>
      <w:r>
        <w:rPr>
          <w:rStyle w:val="default"/>
          <w:rFonts w:cs="FrankRuehl"/>
          <w:sz w:val="20"/>
          <w:szCs w:val="20"/>
        </w:rPr>
        <w:t>Bold</w:t>
      </w:r>
      <w:r>
        <w:rPr>
          <w:rStyle w:val="default"/>
          <w:rFonts w:cs="FrankRuehl" w:hint="cs"/>
          <w:rtl/>
        </w:rPr>
        <w:t>);</w:t>
      </w:r>
    </w:p>
    <w:p w:rsidR="007278E1" w:rsidRDefault="007278E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המרווח בין שורות הטקסט יהיה של שורה וחצי;</w:t>
      </w:r>
    </w:p>
    <w:p w:rsidR="007278E1" w:rsidRDefault="007278E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יש להותיר שוליים עליונים ותחתונים של 2.54 ס"מ לפחות, ושוליים צדדיים של 3.17 ס"מ לפחות.</w:t>
      </w:r>
    </w:p>
    <w:p w:rsidR="007278E1" w:rsidRDefault="007278E1">
      <w:pPr>
        <w:pStyle w:val="P00"/>
        <w:spacing w:before="72"/>
        <w:ind w:left="0" w:right="1134"/>
        <w:rPr>
          <w:rStyle w:val="default"/>
          <w:rFonts w:cs="FrankRuehl" w:hint="cs"/>
          <w:rtl/>
        </w:rPr>
      </w:pPr>
      <w:bookmarkStart w:id="4" w:name="Seif5"/>
      <w:bookmarkEnd w:id="4"/>
      <w:r>
        <w:rPr>
          <w:rFonts w:cs="Miriam"/>
          <w:lang w:val="he-IL"/>
        </w:rPr>
        <w:pict>
          <v:rect id="_x0000_s1064" style="position:absolute;left:0;text-align:left;margin-left:464.5pt;margin-top:8.05pt;width:75.05pt;height:8.95pt;z-index:251656192"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שולמה אגרה לפי תקנות ניירות ערך (אגרת הקצאת פרטית), התשנ"ט-1998 (להלן </w:t>
      </w:r>
      <w:r>
        <w:rPr>
          <w:rStyle w:val="default"/>
          <w:rFonts w:cs="FrankRuehl"/>
          <w:rtl/>
        </w:rPr>
        <w:t>–</w:t>
      </w:r>
      <w:r>
        <w:rPr>
          <w:rStyle w:val="default"/>
          <w:rFonts w:cs="FrankRuehl" w:hint="cs"/>
          <w:rtl/>
        </w:rPr>
        <w:t xml:space="preserve"> האגרה), טרם הגשת דוח לפי תקנות הצעה פרטית, יצוין בשדה המתאים בדף הלוואי לדוח מספר האסמכתה של השובר המעיד על תשלום האגרה והסכום ששולם.</w:t>
      </w:r>
    </w:p>
    <w:p w:rsidR="007278E1" w:rsidRDefault="007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שולמה אגרה עד למועד הגשת הדוח לפי תקנות הצעה פרטית, יוגש לרשות בתוך יום עסקים אחד מיום הגשת הדוח, העתק של השובר המעיד על התשלום; ההגשה תתבצע בטופס "התכתבות עם רשות ניירות ערך" (ת-206), שיצוין בו מספר האסמכתה של הדוח ויצורף לו קובץ בפורמט </w:t>
      </w:r>
      <w:r>
        <w:rPr>
          <w:rStyle w:val="default"/>
          <w:rFonts w:cs="FrankRuehl"/>
          <w:sz w:val="20"/>
          <w:szCs w:val="20"/>
        </w:rPr>
        <w:t>PDF</w:t>
      </w:r>
      <w:r>
        <w:rPr>
          <w:rStyle w:val="default"/>
          <w:rFonts w:cs="FrankRuehl" w:hint="cs"/>
          <w:rtl/>
        </w:rPr>
        <w:t xml:space="preserve"> (</w:t>
      </w:r>
      <w:r>
        <w:rPr>
          <w:rStyle w:val="default"/>
          <w:rFonts w:cs="FrankRuehl"/>
          <w:sz w:val="20"/>
          <w:szCs w:val="20"/>
        </w:rPr>
        <w:t>Portable Document Format</w:t>
      </w:r>
      <w:r>
        <w:rPr>
          <w:rStyle w:val="default"/>
          <w:rFonts w:cs="FrankRuehl" w:hint="cs"/>
          <w:rtl/>
        </w:rPr>
        <w:t>), הכולל העתק סרוק של שובר התשלום.</w:t>
      </w:r>
    </w:p>
    <w:p w:rsidR="007278E1" w:rsidRDefault="007278E1">
      <w:pPr>
        <w:pStyle w:val="P00"/>
        <w:spacing w:before="72"/>
        <w:ind w:left="0" w:right="1134"/>
        <w:rPr>
          <w:rStyle w:val="default"/>
          <w:rFonts w:cs="FrankRuehl" w:hint="cs"/>
          <w:rtl/>
        </w:rPr>
      </w:pPr>
      <w:bookmarkStart w:id="5" w:name="Seif6"/>
      <w:bookmarkEnd w:id="5"/>
      <w:r>
        <w:rPr>
          <w:rFonts w:cs="Miriam"/>
          <w:lang w:val="he-IL"/>
        </w:rPr>
        <w:lastRenderedPageBreak/>
        <w:pict>
          <v:rect id="_x0000_s1065" style="position:absolute;left:0;text-align:left;margin-left:464.5pt;margin-top:8.05pt;width:75.05pt;height:10pt;z-index:251657216"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מודעות בעיתון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בתוך שלושה ימי עסקים מיום הגשת הדוח, יוגש לרשות העתק המודעות שפורסמו בשני עיתונים יומיים, כאמור בתקנות הצעה פרטית או בתקנות בעלי שליטה, לפי הענין, בציון שמות העיתונים ותאריך הפרסום; ההגשה תיעשה בטופס "התכתבות עם רשות ניירות ערך" (ת-206), שיצוין בו מספר האסמכתה של הדוח ויצורף לו קובץ בפורמט </w:t>
      </w:r>
      <w:r>
        <w:rPr>
          <w:rStyle w:val="default"/>
          <w:rFonts w:cs="FrankRuehl"/>
          <w:sz w:val="20"/>
          <w:szCs w:val="20"/>
        </w:rPr>
        <w:t>PDF</w:t>
      </w:r>
      <w:r>
        <w:rPr>
          <w:rStyle w:val="default"/>
          <w:rFonts w:cs="FrankRuehl" w:hint="cs"/>
          <w:rtl/>
        </w:rPr>
        <w:t>, הכולל העתק סרוק של המודעות בעיתונים.</w:t>
      </w:r>
    </w:p>
    <w:p w:rsidR="007278E1" w:rsidRDefault="007278E1">
      <w:pPr>
        <w:pStyle w:val="P00"/>
        <w:spacing w:before="72"/>
        <w:ind w:left="0" w:right="1134"/>
        <w:rPr>
          <w:rStyle w:val="default"/>
          <w:rFonts w:cs="FrankRuehl" w:hint="cs"/>
          <w:rtl/>
        </w:rPr>
      </w:pPr>
      <w:bookmarkStart w:id="6" w:name="Seif7"/>
      <w:bookmarkEnd w:id="6"/>
      <w:r>
        <w:rPr>
          <w:rFonts w:cs="Miriam"/>
          <w:lang w:val="he-IL"/>
        </w:rPr>
        <w:pict>
          <v:rect id="_x0000_s1066" style="position:absolute;left:0;text-align:left;margin-left:464.5pt;margin-top:8.05pt;width:75.05pt;height:10.1pt;z-index:251658240"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דוח מקדמי</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הפקידה חברה בידי הרשות דוח מקדמי כהגדרתו בתקנה 19(א) לתקנות הצעה פרטית או בתקנה 12(א) לתקנות בעלי שליטה (להלן </w:t>
      </w:r>
      <w:r>
        <w:rPr>
          <w:rStyle w:val="default"/>
          <w:rFonts w:cs="FrankRuehl"/>
          <w:rtl/>
        </w:rPr>
        <w:t>–</w:t>
      </w:r>
      <w:r>
        <w:rPr>
          <w:rStyle w:val="default"/>
          <w:rFonts w:cs="FrankRuehl" w:hint="cs"/>
          <w:rtl/>
        </w:rPr>
        <w:t xml:space="preserve"> דוח מקדמי), יחולו על דוח כאמור הוראות סעיפים 1 עד 5 ו-8, ועל דוח שהוגש בעקבותיו לא יחול סעיף 5.</w:t>
      </w:r>
    </w:p>
    <w:p w:rsidR="007278E1" w:rsidRDefault="007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מקדמי לפי תקנה 12(א) לתקנות בעלי שליטה יוגש בטופס "דוח מקדמי על עסקה בין חברה לבין בעל שליטה בה" (ת-130); דוח מיידי לפי תקנה 12(ב) לתקנות בעלי שליטה יוגש בטופס "דוח מיידי על הפקדת דוח מקדמי על עסקה עם בעל שליטה ("דוח תמצית")" (ת-131).</w:t>
      </w:r>
    </w:p>
    <w:p w:rsidR="007278E1" w:rsidRDefault="007278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דוח מקדמי לפי תקנה 19(א) לתקנות הצעה פרטית יוגש בטופס "דוח מקדמי על הצעה פרטית חריגה" (ת-139); דוח מיידי לפי תקנה 19(ב) לתקנות הצעה פרטית יוגש בטופס "דוח מיידי על הפקדת דוח מקדמי על הצעה פרטית חריגה ("דוח תמצית")" (ת-140).</w:t>
      </w:r>
    </w:p>
    <w:p w:rsidR="007278E1" w:rsidRDefault="007278E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דוח מקדמי לפי תקנה 19(א) לתקנות הצעה פרטית ותקנה 12(א) לתקנות בעלי שליטה יוגש בטופס "דוח מקדמי על הצעה פרטית ועסקה עם בעל שליטה" (ת-141).</w:t>
      </w:r>
    </w:p>
    <w:p w:rsidR="007278E1" w:rsidRDefault="007278E1">
      <w:pPr>
        <w:pStyle w:val="P00"/>
        <w:spacing w:before="72"/>
        <w:ind w:left="0" w:right="1134"/>
        <w:rPr>
          <w:rStyle w:val="default"/>
          <w:rFonts w:cs="FrankRuehl" w:hint="cs"/>
          <w:rtl/>
        </w:rPr>
      </w:pPr>
      <w:bookmarkStart w:id="7" w:name="Seif8"/>
      <w:bookmarkEnd w:id="7"/>
      <w:r>
        <w:rPr>
          <w:rFonts w:cs="Miriam"/>
          <w:lang w:val="he-IL"/>
        </w:rPr>
        <w:pict>
          <v:rect id="_x0000_s1067" style="position:absolute;left:0;text-align:left;margin-left:464.5pt;margin-top:8.05pt;width:75.05pt;height:11.35pt;z-index:251659264"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דוח מתקן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דרשה הרשות הבהרות או תיקונים לדוח או לדוח מקדמי, תגיש החברה טיוטת דוח מתוקן ערוכה לפי סעיף 4(ב), שסומנה בו בבירור כל תוספת, השמטה או שינוי שנעשו ביחס לדוח שפורסם, לדוח המקדמי או לטיוטה קודמת שהוגשו לרשות, המאוחר שביניהם; סימון השינויים יתבצע כמפורט להלן:</w:t>
      </w:r>
    </w:p>
    <w:p w:rsidR="007278E1" w:rsidRDefault="007278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בראש על אחד מעמודי הטקסט יסומן מספרה הסידורי של הטיוטה;</w:t>
      </w:r>
    </w:p>
    <w:p w:rsidR="007278E1" w:rsidRDefault="007278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טקסט חדש שהוסף יסומן בצבע כחול ויודגש באמצעות קו תחתון;</w:t>
      </w:r>
    </w:p>
    <w:p w:rsidR="007278E1" w:rsidRDefault="007278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טקסט שנמחק יסומן בצבע אדום עם קו חוצה;</w:t>
      </w:r>
    </w:p>
    <w:p w:rsidR="007278E1" w:rsidRDefault="007278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הועברה פסקה למקום אחר בדוח, יצוין הדבר בהערה בסוגריים במקום שממנו הועברה ובמקום שאליו הועברה; נעשו שינויים בתוכן הפסקה שהועברה </w:t>
      </w:r>
      <w:r>
        <w:rPr>
          <w:rStyle w:val="default"/>
          <w:rFonts w:cs="FrankRuehl"/>
          <w:rtl/>
        </w:rPr>
        <w:t>–</w:t>
      </w:r>
      <w:r>
        <w:rPr>
          <w:rStyle w:val="default"/>
          <w:rFonts w:cs="FrankRuehl" w:hint="cs"/>
          <w:rtl/>
        </w:rPr>
        <w:t xml:space="preserve"> יסומנו השינויים כאמור בפסקאות (2) ו-(3).</w:t>
      </w:r>
    </w:p>
    <w:p w:rsidR="007278E1" w:rsidRDefault="007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טיוטת תיקון לדוח או לדוח מקדמי לפי תקנות הצעה פרטית תוגש בטופס "טיוטת תיקון לדוח מיידי/דוח מקדמי על הצעה פרטית (ת-135); טיוטת תיקון לדוח או לדוח מקדמי לפי תקנות בעלי שליטה תוגש בטופס "טיוטת תיקון לדוח המיידי'לדוח המקדמי המקורי על עסקה בין חברה לבין בעל שליטה בה" (ת-134).</w:t>
      </w:r>
    </w:p>
    <w:p w:rsidR="007278E1" w:rsidRDefault="007278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הגישה חברה תיקון לדוח או דוח מתוקן, יחולו עליו הוראות סעיפים 1 עד 4 ו-6.</w:t>
      </w:r>
    </w:p>
    <w:p w:rsidR="007278E1" w:rsidRDefault="007278E1">
      <w:pPr>
        <w:pStyle w:val="P00"/>
        <w:spacing w:before="72"/>
        <w:ind w:left="0" w:right="1134"/>
        <w:rPr>
          <w:rStyle w:val="default"/>
          <w:rFonts w:cs="FrankRuehl" w:hint="cs"/>
          <w:rtl/>
        </w:rPr>
      </w:pPr>
      <w:bookmarkStart w:id="8" w:name="Seif9"/>
      <w:bookmarkEnd w:id="8"/>
      <w:r>
        <w:rPr>
          <w:rFonts w:cs="Miriam"/>
          <w:lang w:val="he-IL"/>
        </w:rPr>
        <w:pict>
          <v:rect id="_x0000_s1068" style="position:absolute;left:0;text-align:left;margin-left:464.5pt;margin-top:8.05pt;width:75.05pt;height:21.85pt;z-index:251660288"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עסקה חריגה שאינה טעונה אישור אסיפה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דוח מיידי לפי תקנה 14 לתקנות בעלי שליטה יוגש בטופס "דוח מיידי על עסקה חריגה עם בעל שליטה שאינה טעונה אישור אסיפה כללית" (ת-136).</w:t>
      </w:r>
    </w:p>
    <w:p w:rsidR="007278E1" w:rsidRDefault="007278E1">
      <w:pPr>
        <w:pStyle w:val="P00"/>
        <w:spacing w:before="72"/>
        <w:ind w:left="0" w:right="1134"/>
        <w:rPr>
          <w:rStyle w:val="default"/>
          <w:rFonts w:cs="FrankRuehl" w:hint="cs"/>
          <w:rtl/>
        </w:rPr>
      </w:pPr>
      <w:bookmarkStart w:id="9" w:name="Seif10"/>
      <w:bookmarkEnd w:id="9"/>
      <w:r>
        <w:rPr>
          <w:rFonts w:cs="Miriam"/>
          <w:lang w:val="he-IL"/>
        </w:rPr>
        <w:pict>
          <v:rect id="_x0000_s1069" style="position:absolute;left:0;text-align:left;margin-left:464.5pt;margin-top:8.05pt;width:75.05pt;height:8.95pt;z-index:251661312"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תוצאות אסיפה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דוח מיידי על תוצאות אסיפה לפי תקנה 22 לתקנות הצעה פרטית או תקנה 13 לתקנות בעלי שליטה יוגש בטופס "דוח מיידי על תוצאות אסיפה לאישור עסקה עם בעל שליטה ו/או לאישור הצעה פרטית" (ת-49).</w:t>
      </w:r>
    </w:p>
    <w:p w:rsidR="007278E1" w:rsidRDefault="007278E1">
      <w:pPr>
        <w:pStyle w:val="P00"/>
        <w:spacing w:before="72"/>
        <w:ind w:left="0" w:right="1134"/>
        <w:rPr>
          <w:rStyle w:val="default"/>
          <w:rFonts w:cs="FrankRuehl" w:hint="cs"/>
          <w:rtl/>
        </w:rPr>
      </w:pPr>
      <w:bookmarkStart w:id="10" w:name="Seif11"/>
      <w:bookmarkEnd w:id="10"/>
      <w:r>
        <w:rPr>
          <w:rFonts w:cs="Miriam"/>
          <w:lang w:val="he-IL"/>
        </w:rPr>
        <w:pict>
          <v:rect id="_x0000_s1070" style="position:absolute;left:0;text-align:left;margin-left:464.5pt;margin-top:8.05pt;width:75.05pt;height:8.95pt;z-index:251662336"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ההודעה בדבר סדרי טיפול בדוחות על פי תקנות הצעה פרטית ותקנות עסקאות עם בעלי שליטה </w:t>
      </w:r>
      <w:r>
        <w:rPr>
          <w:rStyle w:val="default"/>
          <w:rFonts w:cs="FrankRuehl"/>
          <w:rtl/>
        </w:rPr>
        <w:t>–</w:t>
      </w:r>
      <w:r>
        <w:rPr>
          <w:rStyle w:val="default"/>
          <w:rFonts w:cs="FrankRuehl" w:hint="cs"/>
          <w:rtl/>
        </w:rPr>
        <w:t xml:space="preserve"> בטלה.</w:t>
      </w:r>
    </w:p>
    <w:p w:rsidR="007278E1" w:rsidRDefault="007278E1">
      <w:pPr>
        <w:pStyle w:val="P00"/>
        <w:spacing w:before="72"/>
        <w:ind w:left="0" w:right="1134"/>
        <w:rPr>
          <w:rStyle w:val="default"/>
          <w:rFonts w:cs="FrankRuehl" w:hint="cs"/>
          <w:rtl/>
        </w:rPr>
      </w:pPr>
      <w:bookmarkStart w:id="11" w:name="Seif12"/>
      <w:bookmarkEnd w:id="11"/>
      <w:r>
        <w:rPr>
          <w:rFonts w:cs="Miriam"/>
          <w:lang w:val="he-IL"/>
        </w:rPr>
        <w:pict>
          <v:rect id="_x0000_s1071" style="position:absolute;left:0;text-align:left;margin-left:464.5pt;margin-top:8.05pt;width:75.05pt;height:9.1pt;z-index:251663360" o:allowincell="f" filled="f" stroked="f" strokecolor="lime" strokeweight=".25pt">
            <v:textbox inset="0,0,0,0">
              <w:txbxContent>
                <w:p w:rsidR="007278E1" w:rsidRDefault="007278E1">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תחילתה של הודעה זו במועד שיקבע יושב ראש הרשות כמועד תחילת דיווח אלקטרוני חובה של תאגידים מדווחים לפי תקנות דיווח אלקטרוני, והיא תחול ביחס לכל דוח שיוגש לרשות החל באותו מועד.</w:t>
      </w:r>
    </w:p>
    <w:p w:rsidR="007278E1" w:rsidRDefault="007278E1">
      <w:pPr>
        <w:pStyle w:val="page"/>
        <w:widowControl/>
        <w:ind w:right="1134"/>
        <w:rPr>
          <w:rStyle w:val="default"/>
          <w:rFonts w:cs="FrankRuehl"/>
          <w:position w:val="0"/>
          <w:rtl/>
        </w:rPr>
      </w:pPr>
    </w:p>
    <w:p w:rsidR="007278E1" w:rsidRDefault="007278E1">
      <w:pPr>
        <w:pStyle w:val="page"/>
        <w:widowControl/>
        <w:ind w:right="1134"/>
        <w:rPr>
          <w:rStyle w:val="default"/>
          <w:rFonts w:cs="FrankRuehl"/>
          <w:position w:val="0"/>
          <w:rtl/>
        </w:rPr>
      </w:pPr>
    </w:p>
    <w:p w:rsidR="007278E1" w:rsidRDefault="007278E1">
      <w:pPr>
        <w:pStyle w:val="sig-0"/>
        <w:ind w:left="0" w:right="1134"/>
        <w:rPr>
          <w:rFonts w:cs="FrankRuehl" w:hint="cs"/>
          <w:sz w:val="26"/>
          <w:rtl/>
        </w:rPr>
      </w:pPr>
      <w:r>
        <w:rPr>
          <w:rFonts w:cs="FrankRuehl" w:hint="cs"/>
          <w:sz w:val="26"/>
          <w:rtl/>
        </w:rPr>
        <w:t>כ"ה בתשרי התשס"ד (21 באוקטובר 2003)</w:t>
      </w:r>
    </w:p>
    <w:p w:rsidR="007278E1" w:rsidRDefault="007278E1">
      <w:pPr>
        <w:pStyle w:val="sig-0"/>
        <w:ind w:left="0" w:right="1134"/>
        <w:rPr>
          <w:rFonts w:cs="FrankRuehl" w:hint="cs"/>
          <w:sz w:val="26"/>
          <w:rtl/>
        </w:rPr>
      </w:pPr>
      <w:r>
        <w:rPr>
          <w:rFonts w:cs="FrankRuehl" w:hint="cs"/>
          <w:sz w:val="26"/>
          <w:rtl/>
        </w:rPr>
        <w:tab/>
        <w:t>משה טרי</w:t>
      </w:r>
    </w:p>
    <w:p w:rsidR="007278E1" w:rsidRDefault="007278E1">
      <w:pPr>
        <w:pStyle w:val="sig-0"/>
        <w:ind w:left="0" w:right="1134"/>
        <w:rPr>
          <w:rFonts w:cs="FrankRuehl" w:hint="cs"/>
          <w:sz w:val="22"/>
          <w:szCs w:val="22"/>
          <w:rtl/>
        </w:rPr>
      </w:pPr>
      <w:r>
        <w:rPr>
          <w:rFonts w:cs="FrankRuehl" w:hint="cs"/>
          <w:sz w:val="22"/>
          <w:szCs w:val="22"/>
          <w:rtl/>
        </w:rPr>
        <w:tab/>
        <w:t>יושב ראש רשות ניירות ערך</w:t>
      </w:r>
    </w:p>
    <w:p w:rsidR="008C7AE2" w:rsidRDefault="008C7AE2">
      <w:pPr>
        <w:pStyle w:val="sig-1"/>
        <w:widowControl/>
        <w:ind w:left="0" w:right="1134"/>
        <w:rPr>
          <w:rFonts w:cs="FrankRuehl"/>
          <w:sz w:val="22"/>
          <w:rtl/>
        </w:rPr>
      </w:pPr>
    </w:p>
    <w:p w:rsidR="008C7AE2" w:rsidRDefault="008C7AE2">
      <w:pPr>
        <w:pStyle w:val="sig-1"/>
        <w:widowControl/>
        <w:ind w:left="0" w:right="1134"/>
        <w:rPr>
          <w:rFonts w:cs="FrankRuehl"/>
          <w:sz w:val="22"/>
          <w:rtl/>
        </w:rPr>
      </w:pPr>
    </w:p>
    <w:p w:rsidR="008C7AE2" w:rsidRDefault="008C7AE2" w:rsidP="008C7AE2">
      <w:pPr>
        <w:pStyle w:val="sig-1"/>
        <w:widowControl/>
        <w:ind w:left="0" w:right="1134"/>
        <w:jc w:val="center"/>
        <w:rPr>
          <w:rFonts w:cs="David"/>
          <w:color w:val="0000FF"/>
          <w:sz w:val="22"/>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7278E1" w:rsidRPr="008C7AE2" w:rsidRDefault="007278E1" w:rsidP="008C7AE2">
      <w:pPr>
        <w:pStyle w:val="sig-1"/>
        <w:widowControl/>
        <w:ind w:left="0" w:right="1134"/>
        <w:jc w:val="center"/>
        <w:rPr>
          <w:rFonts w:cs="David"/>
          <w:color w:val="0000FF"/>
          <w:sz w:val="22"/>
          <w:szCs w:val="24"/>
          <w:u w:val="single"/>
          <w:rtl/>
        </w:rPr>
      </w:pPr>
    </w:p>
    <w:sectPr w:rsidR="007278E1" w:rsidRPr="008C7AE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A26" w:rsidRDefault="00F00A26">
      <w:r>
        <w:separator/>
      </w:r>
    </w:p>
  </w:endnote>
  <w:endnote w:type="continuationSeparator" w:id="0">
    <w:p w:rsidR="00F00A26" w:rsidRDefault="00F0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8E1" w:rsidRDefault="007278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78E1" w:rsidRDefault="007278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78E1" w:rsidRDefault="007278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F:\Yael\hakika\111703\999_217.doc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8E1" w:rsidRDefault="007278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7AE2">
      <w:rPr>
        <w:rFonts w:hAnsi="FrankRuehl" w:cs="FrankRuehl"/>
        <w:noProof/>
        <w:sz w:val="24"/>
        <w:szCs w:val="24"/>
        <w:rtl/>
      </w:rPr>
      <w:t>3</w:t>
    </w:r>
    <w:r>
      <w:rPr>
        <w:rFonts w:hAnsi="FrankRuehl" w:cs="FrankRuehl"/>
        <w:sz w:val="24"/>
        <w:szCs w:val="24"/>
        <w:rtl/>
      </w:rPr>
      <w:fldChar w:fldCharType="end"/>
    </w:r>
  </w:p>
  <w:p w:rsidR="007278E1" w:rsidRDefault="007278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78E1" w:rsidRDefault="007278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F:\Yael\hakika\111703\999_217.doc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A26" w:rsidRDefault="00F00A26">
      <w:r>
        <w:separator/>
      </w:r>
    </w:p>
  </w:footnote>
  <w:footnote w:type="continuationSeparator" w:id="0">
    <w:p w:rsidR="00F00A26" w:rsidRDefault="00F00A26">
      <w:r>
        <w:continuationSeparator/>
      </w:r>
    </w:p>
  </w:footnote>
  <w:footnote w:id="1">
    <w:p w:rsidR="007278E1" w:rsidRDefault="007278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59651E">
          <w:rPr>
            <w:rStyle w:val="Hyperlink"/>
            <w:rFonts w:cs="FrankRuehl" w:hint="cs"/>
            <w:rtl/>
          </w:rPr>
          <w:t>י"פ תשס"ד מס' 5233</w:t>
        </w:r>
      </w:hyperlink>
      <w:r>
        <w:rPr>
          <w:rFonts w:cs="FrankRuehl" w:hint="cs"/>
          <w:rtl/>
        </w:rPr>
        <w:t xml:space="preserve"> מיום 30.10.2003 עמ' 184.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8E1" w:rsidRDefault="007278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278E1" w:rsidRDefault="007278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78E1" w:rsidRDefault="007278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8E1" w:rsidRDefault="007278E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כללים בדבר סדרי טיפול בדוחות על פי תקנות הצעה פרטית ותקנות עסקה עם בעלי שליטה, תשס"ד-2003</w:t>
    </w:r>
  </w:p>
  <w:p w:rsidR="007278E1" w:rsidRDefault="007278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78E1" w:rsidRDefault="007278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3466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51E"/>
    <w:rsid w:val="000F7A65"/>
    <w:rsid w:val="0059651E"/>
    <w:rsid w:val="005A7AB5"/>
    <w:rsid w:val="00607A5B"/>
    <w:rsid w:val="007278E1"/>
    <w:rsid w:val="008C7AE2"/>
    <w:rsid w:val="00C01857"/>
    <w:rsid w:val="00F00A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E1010FF6-EE21-4368-8FA0-E1C79D92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52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6801</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7340039</vt:i4>
      </vt:variant>
      <vt:variant>
        <vt:i4>0</vt:i4>
      </vt:variant>
      <vt:variant>
        <vt:i4>0</vt:i4>
      </vt:variant>
      <vt:variant>
        <vt:i4>5</vt:i4>
      </vt:variant>
      <vt:variant>
        <vt:lpwstr>http://www.nevo.co.il/Law_word/law10/YALKUT-5233.pdf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כללים בדבר סדרי טיפול בדוחות על פי תקנות הצעה פרטית ותקנות עסקה עם בעלי שליטה, תשס"ד-2003</vt:lpwstr>
  </property>
  <property fmtid="{D5CDD505-2E9C-101B-9397-08002B2CF9AE}" pid="4" name="LAWNUMBER">
    <vt:lpwstr>0218</vt:lpwstr>
  </property>
  <property fmtid="{D5CDD505-2E9C-101B-9397-08002B2CF9AE}" pid="5" name="TYPE">
    <vt:lpwstr>01</vt:lpwstr>
  </property>
  <property fmtid="{D5CDD505-2E9C-101B-9397-08002B2CF9AE}" pid="6" name="CHNAME">
    <vt:lpwstr>ניירות ערך</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ניירות ערך</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תאגידים וניירות ערך</vt:lpwstr>
  </property>
  <property fmtid="{D5CDD505-2E9C-101B-9397-08002B2CF9AE}" pid="13" name="NOSE32">
    <vt:lpwstr>חברות</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בנקאות</vt:lpwstr>
  </property>
  <property fmtid="{D5CDD505-2E9C-101B-9397-08002B2CF9AE}" pid="18" name="NOSE43">
    <vt:lpwstr>ניירות ערך</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