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DE612" w14:textId="77777777" w:rsidR="00045923" w:rsidRDefault="004E7754">
      <w:pPr>
        <w:pStyle w:val="big-header"/>
        <w:ind w:left="0" w:right="1134"/>
        <w:rPr>
          <w:rFonts w:cs="FrankRuehl" w:hint="cs"/>
          <w:sz w:val="32"/>
        </w:rPr>
      </w:pPr>
      <w:r>
        <w:rPr>
          <w:rFonts w:cs="FrankRuehl"/>
          <w:sz w:val="32"/>
          <w:rtl/>
        </w:rPr>
        <w:t>פקודת אניות סוחר (טלגרף אלחוטי)</w:t>
      </w:r>
    </w:p>
    <w:p w14:paraId="27E00181" w14:textId="77777777" w:rsidR="00E87270" w:rsidRPr="00E87270" w:rsidRDefault="00E87270" w:rsidP="00E87270">
      <w:pPr>
        <w:spacing w:line="320" w:lineRule="auto"/>
        <w:jc w:val="left"/>
        <w:rPr>
          <w:rFonts w:cs="FrankRuehl"/>
          <w:szCs w:val="26"/>
          <w:rtl/>
        </w:rPr>
      </w:pPr>
    </w:p>
    <w:p w14:paraId="57A677D8" w14:textId="77777777" w:rsidR="00E87270" w:rsidRDefault="00E87270" w:rsidP="00E87270">
      <w:pPr>
        <w:spacing w:line="320" w:lineRule="auto"/>
        <w:jc w:val="left"/>
        <w:rPr>
          <w:rtl/>
        </w:rPr>
      </w:pPr>
    </w:p>
    <w:p w14:paraId="28508C56" w14:textId="77777777" w:rsidR="00E87270" w:rsidRDefault="00E87270" w:rsidP="00E87270">
      <w:pPr>
        <w:spacing w:line="320" w:lineRule="auto"/>
        <w:jc w:val="left"/>
        <w:rPr>
          <w:rFonts w:cs="FrankRuehl"/>
          <w:szCs w:val="26"/>
          <w:rtl/>
        </w:rPr>
      </w:pPr>
      <w:r w:rsidRPr="00E87270">
        <w:rPr>
          <w:rFonts w:cs="Miriam"/>
          <w:szCs w:val="22"/>
          <w:rtl/>
        </w:rPr>
        <w:t>רשויות ומשפט מנהלי</w:t>
      </w:r>
      <w:r w:rsidRPr="00E87270">
        <w:rPr>
          <w:rFonts w:cs="FrankRuehl"/>
          <w:szCs w:val="26"/>
          <w:rtl/>
        </w:rPr>
        <w:t xml:space="preserve"> – תשתיות – ספנות ונמלים – כלי שיט</w:t>
      </w:r>
    </w:p>
    <w:p w14:paraId="3524842D" w14:textId="77777777" w:rsidR="00E87270" w:rsidRDefault="00E87270" w:rsidP="00E87270">
      <w:pPr>
        <w:spacing w:line="320" w:lineRule="auto"/>
        <w:jc w:val="left"/>
        <w:rPr>
          <w:rFonts w:cs="FrankRuehl"/>
          <w:szCs w:val="26"/>
          <w:rtl/>
        </w:rPr>
      </w:pPr>
      <w:r w:rsidRPr="00E87270">
        <w:rPr>
          <w:rFonts w:cs="Miriam"/>
          <w:szCs w:val="22"/>
          <w:rtl/>
        </w:rPr>
        <w:t>רשויות ומשפט מנהלי</w:t>
      </w:r>
      <w:r w:rsidRPr="00E87270">
        <w:rPr>
          <w:rFonts w:cs="FrankRuehl"/>
          <w:szCs w:val="26"/>
          <w:rtl/>
        </w:rPr>
        <w:t xml:space="preserve"> – תקשורת – רדיו וטלגרף</w:t>
      </w:r>
    </w:p>
    <w:p w14:paraId="54EF9062" w14:textId="77777777" w:rsidR="00E87270" w:rsidRPr="00E87270" w:rsidRDefault="00E87270" w:rsidP="00E87270">
      <w:pPr>
        <w:spacing w:line="320" w:lineRule="auto"/>
        <w:jc w:val="left"/>
        <w:rPr>
          <w:rFonts w:cs="Miriam"/>
          <w:szCs w:val="22"/>
          <w:rtl/>
        </w:rPr>
      </w:pPr>
      <w:r w:rsidRPr="00E87270">
        <w:rPr>
          <w:rFonts w:cs="Miriam"/>
          <w:szCs w:val="22"/>
          <w:rtl/>
        </w:rPr>
        <w:t>משפט פרטי וכלכלה</w:t>
      </w:r>
      <w:r w:rsidRPr="00E87270">
        <w:rPr>
          <w:rFonts w:cs="FrankRuehl"/>
          <w:szCs w:val="26"/>
          <w:rtl/>
        </w:rPr>
        <w:t xml:space="preserve"> – מסחר </w:t>
      </w:r>
    </w:p>
    <w:p w14:paraId="0582D7DF" w14:textId="77777777" w:rsidR="00045923" w:rsidRDefault="00045923">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045923" w14:paraId="1A98C196" w14:textId="77777777">
        <w:tblPrEx>
          <w:tblCellMar>
            <w:top w:w="0" w:type="dxa"/>
            <w:bottom w:w="0" w:type="dxa"/>
          </w:tblCellMar>
        </w:tblPrEx>
        <w:tc>
          <w:tcPr>
            <w:tcW w:w="850" w:type="dxa"/>
          </w:tcPr>
          <w:p w14:paraId="07A03871" w14:textId="77777777" w:rsidR="00045923" w:rsidRDefault="00045923">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8A203E5" w14:textId="77777777" w:rsidR="00045923" w:rsidRDefault="00045923">
            <w:pPr>
              <w:spacing w:line="240" w:lineRule="auto"/>
              <w:rPr>
                <w:sz w:val="24"/>
              </w:rPr>
            </w:pPr>
            <w:hyperlink w:anchor="Seif0" w:tooltip="שם קצר" w:history="1">
              <w:r>
                <w:rPr>
                  <w:rStyle w:val="Hyperlink"/>
                </w:rPr>
                <w:t>Go</w:t>
              </w:r>
            </w:hyperlink>
          </w:p>
        </w:tc>
        <w:tc>
          <w:tcPr>
            <w:tcW w:w="5669" w:type="dxa"/>
          </w:tcPr>
          <w:p w14:paraId="6A7C2E8C" w14:textId="77777777" w:rsidR="00045923" w:rsidRDefault="00045923">
            <w:pPr>
              <w:spacing w:line="240" w:lineRule="auto"/>
              <w:rPr>
                <w:sz w:val="24"/>
                <w:rtl/>
              </w:rPr>
            </w:pPr>
            <w:r>
              <w:rPr>
                <w:sz w:val="24"/>
                <w:rtl/>
              </w:rPr>
              <w:t>שם קצר</w:t>
            </w:r>
          </w:p>
        </w:tc>
        <w:tc>
          <w:tcPr>
            <w:tcW w:w="1247" w:type="dxa"/>
          </w:tcPr>
          <w:p w14:paraId="3912A034" w14:textId="77777777" w:rsidR="00045923" w:rsidRDefault="00045923">
            <w:pPr>
              <w:spacing w:line="240" w:lineRule="auto"/>
              <w:rPr>
                <w:sz w:val="24"/>
              </w:rPr>
            </w:pPr>
            <w:r>
              <w:rPr>
                <w:sz w:val="24"/>
                <w:rtl/>
              </w:rPr>
              <w:t xml:space="preserve">סעיף 1 </w:t>
            </w:r>
          </w:p>
        </w:tc>
      </w:tr>
      <w:tr w:rsidR="00045923" w14:paraId="6CDCD9F2" w14:textId="77777777">
        <w:tblPrEx>
          <w:tblCellMar>
            <w:top w:w="0" w:type="dxa"/>
            <w:bottom w:w="0" w:type="dxa"/>
          </w:tblCellMar>
        </w:tblPrEx>
        <w:tc>
          <w:tcPr>
            <w:tcW w:w="850" w:type="dxa"/>
          </w:tcPr>
          <w:p w14:paraId="71475109" w14:textId="77777777" w:rsidR="00045923" w:rsidRDefault="00045923">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7FCB34A" w14:textId="77777777" w:rsidR="00045923" w:rsidRDefault="00045923">
            <w:pPr>
              <w:spacing w:line="240" w:lineRule="auto"/>
              <w:rPr>
                <w:sz w:val="24"/>
              </w:rPr>
            </w:pPr>
            <w:hyperlink w:anchor="Seif1" w:tooltip="דרישות טלגרף אלחוטי" w:history="1">
              <w:r>
                <w:rPr>
                  <w:rStyle w:val="Hyperlink"/>
                </w:rPr>
                <w:t>Go</w:t>
              </w:r>
            </w:hyperlink>
          </w:p>
        </w:tc>
        <w:tc>
          <w:tcPr>
            <w:tcW w:w="5669" w:type="dxa"/>
          </w:tcPr>
          <w:p w14:paraId="147702D0" w14:textId="77777777" w:rsidR="00045923" w:rsidRDefault="00045923">
            <w:pPr>
              <w:spacing w:line="240" w:lineRule="auto"/>
              <w:rPr>
                <w:sz w:val="24"/>
                <w:rtl/>
              </w:rPr>
            </w:pPr>
            <w:r>
              <w:rPr>
                <w:sz w:val="24"/>
                <w:rtl/>
              </w:rPr>
              <w:t>דרישות טלגרף אלחוטי</w:t>
            </w:r>
          </w:p>
        </w:tc>
        <w:tc>
          <w:tcPr>
            <w:tcW w:w="1247" w:type="dxa"/>
          </w:tcPr>
          <w:p w14:paraId="34B3B2BD" w14:textId="77777777" w:rsidR="00045923" w:rsidRDefault="00045923">
            <w:pPr>
              <w:spacing w:line="240" w:lineRule="auto"/>
              <w:rPr>
                <w:sz w:val="24"/>
              </w:rPr>
            </w:pPr>
            <w:r>
              <w:rPr>
                <w:sz w:val="24"/>
                <w:rtl/>
              </w:rPr>
              <w:t xml:space="preserve">סעיף 2 </w:t>
            </w:r>
          </w:p>
        </w:tc>
      </w:tr>
      <w:tr w:rsidR="00045923" w14:paraId="0EFAF918" w14:textId="77777777">
        <w:tblPrEx>
          <w:tblCellMar>
            <w:top w:w="0" w:type="dxa"/>
            <w:bottom w:w="0" w:type="dxa"/>
          </w:tblCellMar>
        </w:tblPrEx>
        <w:tc>
          <w:tcPr>
            <w:tcW w:w="850" w:type="dxa"/>
          </w:tcPr>
          <w:p w14:paraId="6FA1F838" w14:textId="77777777" w:rsidR="00045923" w:rsidRDefault="00045923">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3BC7E58" w14:textId="77777777" w:rsidR="00045923" w:rsidRDefault="00045923">
            <w:pPr>
              <w:spacing w:line="240" w:lineRule="auto"/>
              <w:rPr>
                <w:sz w:val="24"/>
              </w:rPr>
            </w:pPr>
            <w:hyperlink w:anchor="Seif2" w:tooltip="מינוי פקידים" w:history="1">
              <w:r>
                <w:rPr>
                  <w:rStyle w:val="Hyperlink"/>
                </w:rPr>
                <w:t>Go</w:t>
              </w:r>
            </w:hyperlink>
          </w:p>
        </w:tc>
        <w:tc>
          <w:tcPr>
            <w:tcW w:w="5669" w:type="dxa"/>
          </w:tcPr>
          <w:p w14:paraId="6147D580" w14:textId="77777777" w:rsidR="00045923" w:rsidRDefault="00045923">
            <w:pPr>
              <w:spacing w:line="240" w:lineRule="auto"/>
              <w:rPr>
                <w:sz w:val="24"/>
                <w:rtl/>
              </w:rPr>
            </w:pPr>
            <w:r>
              <w:rPr>
                <w:sz w:val="24"/>
                <w:rtl/>
              </w:rPr>
              <w:t>מינוי פקידים</w:t>
            </w:r>
          </w:p>
        </w:tc>
        <w:tc>
          <w:tcPr>
            <w:tcW w:w="1247" w:type="dxa"/>
          </w:tcPr>
          <w:p w14:paraId="1BD6800B" w14:textId="77777777" w:rsidR="00045923" w:rsidRDefault="00045923">
            <w:pPr>
              <w:spacing w:line="240" w:lineRule="auto"/>
              <w:rPr>
                <w:sz w:val="24"/>
              </w:rPr>
            </w:pPr>
            <w:r>
              <w:rPr>
                <w:sz w:val="24"/>
                <w:rtl/>
              </w:rPr>
              <w:t xml:space="preserve">סעיף 3 </w:t>
            </w:r>
          </w:p>
        </w:tc>
      </w:tr>
      <w:tr w:rsidR="00045923" w14:paraId="551C709E" w14:textId="77777777">
        <w:tblPrEx>
          <w:tblCellMar>
            <w:top w:w="0" w:type="dxa"/>
            <w:bottom w:w="0" w:type="dxa"/>
          </w:tblCellMar>
        </w:tblPrEx>
        <w:tc>
          <w:tcPr>
            <w:tcW w:w="850" w:type="dxa"/>
          </w:tcPr>
          <w:p w14:paraId="4D32D20E" w14:textId="77777777" w:rsidR="00045923" w:rsidRDefault="00045923">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1B12FBD" w14:textId="77777777" w:rsidR="00045923" w:rsidRDefault="00045923">
            <w:pPr>
              <w:spacing w:line="240" w:lineRule="auto"/>
              <w:rPr>
                <w:sz w:val="24"/>
              </w:rPr>
            </w:pPr>
            <w:hyperlink w:anchor="Seif3" w:tooltip="עונשין" w:history="1">
              <w:r>
                <w:rPr>
                  <w:rStyle w:val="Hyperlink"/>
                </w:rPr>
                <w:t>Go</w:t>
              </w:r>
            </w:hyperlink>
          </w:p>
        </w:tc>
        <w:tc>
          <w:tcPr>
            <w:tcW w:w="5669" w:type="dxa"/>
          </w:tcPr>
          <w:p w14:paraId="75813887" w14:textId="77777777" w:rsidR="00045923" w:rsidRDefault="00045923">
            <w:pPr>
              <w:spacing w:line="240" w:lineRule="auto"/>
              <w:rPr>
                <w:sz w:val="24"/>
                <w:rtl/>
              </w:rPr>
            </w:pPr>
            <w:r>
              <w:rPr>
                <w:sz w:val="24"/>
                <w:rtl/>
              </w:rPr>
              <w:t>עונשין</w:t>
            </w:r>
          </w:p>
        </w:tc>
        <w:tc>
          <w:tcPr>
            <w:tcW w:w="1247" w:type="dxa"/>
          </w:tcPr>
          <w:p w14:paraId="79628F32" w14:textId="77777777" w:rsidR="00045923" w:rsidRDefault="00045923">
            <w:pPr>
              <w:spacing w:line="240" w:lineRule="auto"/>
              <w:rPr>
                <w:sz w:val="24"/>
              </w:rPr>
            </w:pPr>
            <w:r>
              <w:rPr>
                <w:sz w:val="24"/>
                <w:rtl/>
              </w:rPr>
              <w:t xml:space="preserve">סעיף 4 </w:t>
            </w:r>
          </w:p>
        </w:tc>
      </w:tr>
      <w:tr w:rsidR="00045923" w14:paraId="2A782B56" w14:textId="77777777">
        <w:tblPrEx>
          <w:tblCellMar>
            <w:top w:w="0" w:type="dxa"/>
            <w:bottom w:w="0" w:type="dxa"/>
          </w:tblCellMar>
        </w:tblPrEx>
        <w:tc>
          <w:tcPr>
            <w:tcW w:w="850" w:type="dxa"/>
          </w:tcPr>
          <w:p w14:paraId="3F193630" w14:textId="77777777" w:rsidR="00045923" w:rsidRDefault="00045923">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4540B2A4" w14:textId="77777777" w:rsidR="00045923" w:rsidRDefault="00045923">
            <w:pPr>
              <w:spacing w:line="240" w:lineRule="auto"/>
              <w:rPr>
                <w:sz w:val="24"/>
              </w:rPr>
            </w:pPr>
            <w:hyperlink w:anchor="Seif4" w:tooltip="תקנות" w:history="1">
              <w:r>
                <w:rPr>
                  <w:rStyle w:val="Hyperlink"/>
                </w:rPr>
                <w:t>Go</w:t>
              </w:r>
            </w:hyperlink>
          </w:p>
        </w:tc>
        <w:tc>
          <w:tcPr>
            <w:tcW w:w="5669" w:type="dxa"/>
          </w:tcPr>
          <w:p w14:paraId="5E122A4C" w14:textId="77777777" w:rsidR="00045923" w:rsidRDefault="00045923">
            <w:pPr>
              <w:spacing w:line="240" w:lineRule="auto"/>
              <w:rPr>
                <w:sz w:val="24"/>
                <w:rtl/>
              </w:rPr>
            </w:pPr>
            <w:r>
              <w:rPr>
                <w:sz w:val="24"/>
                <w:rtl/>
              </w:rPr>
              <w:t>תקנות</w:t>
            </w:r>
          </w:p>
        </w:tc>
        <w:tc>
          <w:tcPr>
            <w:tcW w:w="1247" w:type="dxa"/>
          </w:tcPr>
          <w:p w14:paraId="79ED94F3" w14:textId="77777777" w:rsidR="00045923" w:rsidRDefault="00045923">
            <w:pPr>
              <w:spacing w:line="240" w:lineRule="auto"/>
              <w:rPr>
                <w:sz w:val="24"/>
              </w:rPr>
            </w:pPr>
            <w:r>
              <w:rPr>
                <w:sz w:val="24"/>
                <w:rtl/>
              </w:rPr>
              <w:t xml:space="preserve">סעיף 5 </w:t>
            </w:r>
          </w:p>
        </w:tc>
      </w:tr>
    </w:tbl>
    <w:p w14:paraId="5F233BDC" w14:textId="77777777" w:rsidR="00045923" w:rsidRDefault="00045923">
      <w:pPr>
        <w:pStyle w:val="big-header"/>
        <w:ind w:left="0" w:right="1134"/>
        <w:rPr>
          <w:rFonts w:cs="FrankRuehl"/>
          <w:sz w:val="32"/>
          <w:rtl/>
        </w:rPr>
      </w:pPr>
    </w:p>
    <w:p w14:paraId="65BC5AE9" w14:textId="77777777" w:rsidR="00045923" w:rsidRDefault="00045923" w:rsidP="004E7754">
      <w:pPr>
        <w:pStyle w:val="big-header"/>
        <w:ind w:left="0" w:right="1134"/>
        <w:rPr>
          <w:rFonts w:cs="FrankRuehl" w:hint="cs"/>
          <w:sz w:val="32"/>
          <w:rtl/>
        </w:rPr>
      </w:pPr>
      <w:r>
        <w:rPr>
          <w:rFonts w:cs="FrankRuehl"/>
          <w:sz w:val="32"/>
          <w:rtl/>
        </w:rPr>
        <w:br w:type="page"/>
      </w:r>
      <w:r>
        <w:rPr>
          <w:rFonts w:cs="FrankRuehl"/>
          <w:sz w:val="32"/>
          <w:rtl/>
        </w:rPr>
        <w:lastRenderedPageBreak/>
        <w:t>פק</w:t>
      </w:r>
      <w:r w:rsidR="004E7754">
        <w:rPr>
          <w:rFonts w:cs="FrankRuehl" w:hint="cs"/>
          <w:sz w:val="32"/>
          <w:rtl/>
        </w:rPr>
        <w:t>ודת אניות סוחר (טלגרף אלחוטי)</w:t>
      </w:r>
      <w:r w:rsidR="004E7754">
        <w:rPr>
          <w:rStyle w:val="a6"/>
          <w:rFonts w:cs="FrankRuehl"/>
          <w:sz w:val="32"/>
          <w:rtl/>
        </w:rPr>
        <w:footnoteReference w:customMarkFollows="1" w:id="1"/>
        <w:t>*</w:t>
      </w:r>
    </w:p>
    <w:p w14:paraId="05F87D61" w14:textId="77777777" w:rsidR="00045923" w:rsidRDefault="00045923">
      <w:pPr>
        <w:pStyle w:val="medium-header"/>
        <w:keepNext w:val="0"/>
        <w:keepLines w:val="0"/>
        <w:ind w:left="0" w:right="1134"/>
        <w:rPr>
          <w:rStyle w:val="default"/>
          <w:rFonts w:cs="FrankRuehl" w:hint="cs"/>
          <w:rtl/>
        </w:rPr>
      </w:pPr>
      <w:r>
        <w:rPr>
          <w:rFonts w:cs="FrankRuehl"/>
          <w:sz w:val="26"/>
          <w:rtl/>
        </w:rPr>
        <w:t>מס</w:t>
      </w:r>
      <w:r>
        <w:rPr>
          <w:rFonts w:cs="FrankRuehl" w:hint="cs"/>
          <w:sz w:val="26"/>
          <w:rtl/>
        </w:rPr>
        <w:t>' 21 לש' 1937</w:t>
      </w:r>
      <w:r w:rsidR="004E7754">
        <w:rPr>
          <w:rStyle w:val="a6"/>
          <w:rFonts w:cs="FrankRuehl"/>
          <w:sz w:val="26"/>
          <w:rtl/>
        </w:rPr>
        <w:footnoteReference w:id="2"/>
      </w:r>
    </w:p>
    <w:p w14:paraId="28EEB8D3" w14:textId="77777777" w:rsidR="00045923" w:rsidRDefault="00045923">
      <w:pPr>
        <w:pStyle w:val="header-2"/>
        <w:ind w:left="0" w:right="1134"/>
        <w:rPr>
          <w:rFonts w:cs="Miriam"/>
          <w:rtl/>
        </w:rPr>
      </w:pPr>
      <w:r>
        <w:rPr>
          <w:rFonts w:cs="Miriam"/>
          <w:rtl/>
        </w:rPr>
        <w:t>פק</w:t>
      </w:r>
      <w:r>
        <w:rPr>
          <w:rFonts w:cs="Miriam" w:hint="cs"/>
          <w:rtl/>
        </w:rPr>
        <w:t>ודה הקובעת הוראות בענין טלגרף אלחוטי באניות</w:t>
      </w:r>
    </w:p>
    <w:p w14:paraId="69352E2C" w14:textId="77777777" w:rsidR="00045923" w:rsidRDefault="00045923">
      <w:pPr>
        <w:pStyle w:val="P00"/>
        <w:spacing w:before="72"/>
        <w:ind w:left="0" w:right="1134"/>
        <w:rPr>
          <w:rStyle w:val="default"/>
          <w:rFonts w:cs="FrankRuehl"/>
          <w:rtl/>
        </w:rPr>
      </w:pPr>
      <w:bookmarkStart w:id="0" w:name="Seif0"/>
      <w:bookmarkEnd w:id="0"/>
      <w:r>
        <w:rPr>
          <w:lang w:val="he-IL"/>
        </w:rPr>
        <w:pict w14:anchorId="73092B17">
          <v:rect id="_x0000_s1026" style="position:absolute;left:0;text-align:left;margin-left:464.5pt;margin-top:8.05pt;width:75.05pt;height:8pt;z-index:251655680" o:allowincell="f" filled="f" stroked="f" strokecolor="lime" strokeweight=".25pt">
            <v:textbox inset="0,0,0,0">
              <w:txbxContent>
                <w:p w14:paraId="10BF0735" w14:textId="77777777" w:rsidR="00045923" w:rsidRDefault="00045923">
                  <w:pPr>
                    <w:spacing w:line="160" w:lineRule="exact"/>
                    <w:jc w:val="left"/>
                    <w:rPr>
                      <w:rFonts w:cs="Miriam"/>
                      <w:noProof/>
                      <w:sz w:val="18"/>
                      <w:szCs w:val="18"/>
                      <w:rtl/>
                    </w:rPr>
                  </w:pPr>
                  <w:r>
                    <w:rPr>
                      <w:rFonts w:cs="Miriam"/>
                      <w:sz w:val="18"/>
                      <w:szCs w:val="18"/>
                      <w:rtl/>
                    </w:rPr>
                    <w:t>שם</w:t>
                  </w:r>
                  <w:r>
                    <w:rPr>
                      <w:rFonts w:cs="Miriam" w:hint="cs"/>
                      <w:sz w:val="18"/>
                      <w:szCs w:val="18"/>
                      <w:rtl/>
                    </w:rPr>
                    <w:t xml:space="preserve"> קצר</w:t>
                  </w:r>
                </w:p>
              </w:txbxContent>
            </v:textbox>
            <w10:anchorlock/>
          </v:rect>
        </w:pict>
      </w:r>
      <w:r>
        <w:rPr>
          <w:rStyle w:val="big-number"/>
          <w:rFonts w:cs="Miriam"/>
          <w:rtl/>
        </w:rPr>
        <w:t>1.</w:t>
      </w:r>
      <w:r>
        <w:rPr>
          <w:rStyle w:val="big-number"/>
          <w:rFonts w:cs="Miriam"/>
          <w:rtl/>
        </w:rPr>
        <w:tab/>
      </w:r>
      <w:r>
        <w:rPr>
          <w:rStyle w:val="default"/>
          <w:rFonts w:cs="FrankRuehl"/>
          <w:rtl/>
        </w:rPr>
        <w:t>פק</w:t>
      </w:r>
      <w:r>
        <w:rPr>
          <w:rStyle w:val="default"/>
          <w:rFonts w:cs="FrankRuehl" w:hint="cs"/>
          <w:rtl/>
        </w:rPr>
        <w:t>ודה זו תיקרא פקודת אניות סוחר (טלגרף אלחוטי), 1937.</w:t>
      </w:r>
    </w:p>
    <w:p w14:paraId="38393EAD" w14:textId="77777777" w:rsidR="00045923" w:rsidRDefault="00045923">
      <w:pPr>
        <w:pStyle w:val="P00"/>
        <w:spacing w:before="72"/>
        <w:ind w:left="0" w:right="1134"/>
        <w:rPr>
          <w:rStyle w:val="default"/>
          <w:rFonts w:cs="FrankRuehl"/>
          <w:rtl/>
        </w:rPr>
      </w:pPr>
      <w:bookmarkStart w:id="1" w:name="Seif1"/>
      <w:bookmarkEnd w:id="1"/>
      <w:r>
        <w:rPr>
          <w:lang w:val="he-IL"/>
        </w:rPr>
        <w:pict w14:anchorId="41C705DF">
          <v:rect id="_x0000_s1027" style="position:absolute;left:0;text-align:left;margin-left:464.5pt;margin-top:8.05pt;width:75.05pt;height:8pt;z-index:251656704" o:allowincell="f" filled="f" stroked="f" strokecolor="lime" strokeweight=".25pt">
            <v:textbox inset="0,0,0,0">
              <w:txbxContent>
                <w:p w14:paraId="6C4CC664" w14:textId="77777777" w:rsidR="00045923" w:rsidRDefault="00045923">
                  <w:pPr>
                    <w:spacing w:line="160" w:lineRule="exact"/>
                    <w:jc w:val="left"/>
                    <w:rPr>
                      <w:rFonts w:cs="Miriam"/>
                      <w:noProof/>
                      <w:sz w:val="18"/>
                      <w:szCs w:val="18"/>
                      <w:rtl/>
                    </w:rPr>
                  </w:pPr>
                  <w:r>
                    <w:rPr>
                      <w:rFonts w:cs="Miriam"/>
                      <w:sz w:val="18"/>
                      <w:szCs w:val="18"/>
                      <w:rtl/>
                    </w:rPr>
                    <w:t>דר</w:t>
                  </w:r>
                  <w:r>
                    <w:rPr>
                      <w:rFonts w:cs="Miriam" w:hint="cs"/>
                      <w:sz w:val="18"/>
                      <w:szCs w:val="18"/>
                      <w:rtl/>
                    </w:rPr>
                    <w:t>ישות טלגרף אלחוטי</w:t>
                  </w:r>
                </w:p>
              </w:txbxContent>
            </v:textbox>
            <w10:anchorlock/>
          </v:rect>
        </w:pict>
      </w:r>
      <w:r>
        <w:rPr>
          <w:rStyle w:val="big-number"/>
          <w:rFonts w:cs="Miriam"/>
          <w:rtl/>
        </w:rPr>
        <w:t>2.</w:t>
      </w:r>
      <w:r>
        <w:rPr>
          <w:rStyle w:val="big-number"/>
          <w:rFonts w:cs="Miriam"/>
          <w:rtl/>
        </w:rPr>
        <w:tab/>
      </w:r>
      <w:r>
        <w:rPr>
          <w:rStyle w:val="default"/>
          <w:rFonts w:cs="FrankRuehl"/>
          <w:rtl/>
        </w:rPr>
        <w:t>(1)</w:t>
      </w:r>
      <w:r>
        <w:rPr>
          <w:rStyle w:val="default"/>
          <w:rFonts w:cs="FrankRuehl"/>
          <w:rtl/>
        </w:rPr>
        <w:tab/>
        <w:t>ה</w:t>
      </w:r>
      <w:r>
        <w:rPr>
          <w:rStyle w:val="default"/>
          <w:rFonts w:cs="FrankRuehl" w:hint="cs"/>
          <w:rtl/>
        </w:rPr>
        <w:t>וראות פקודה זו תחולנה על אניות המפליגות בים מן הסוגים המפורטים בתוספת לפקו</w:t>
      </w:r>
      <w:r>
        <w:rPr>
          <w:rStyle w:val="default"/>
          <w:rFonts w:cs="FrankRuehl"/>
          <w:rtl/>
        </w:rPr>
        <w:t>דה</w:t>
      </w:r>
      <w:r>
        <w:rPr>
          <w:rStyle w:val="default"/>
          <w:rFonts w:cs="FrankRuehl" w:hint="cs"/>
          <w:rtl/>
        </w:rPr>
        <w:t xml:space="preserve"> זו שנרשמו בארץ-ישראל בהתאם להוראות פקודת הנמלים או בהתאם להוראות כל פקודה הנוהגת באותה שעה והקובעת הוראות בענין אניות בארץ-ישראל.</w:t>
      </w:r>
    </w:p>
    <w:p w14:paraId="072653E2" w14:textId="77777777" w:rsidR="00045923" w:rsidRDefault="00045923">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ל אניה שפקודה זו חלה עליה צריך שתהא מצויידת במיתקן טלגרף אלחוטי ותהא מנהלת שירות טלגרף-אלחוטי שיהא</w:t>
      </w:r>
      <w:r>
        <w:rPr>
          <w:rStyle w:val="default"/>
          <w:rFonts w:cs="FrankRuehl"/>
          <w:rtl/>
        </w:rPr>
        <w:t xml:space="preserve"> </w:t>
      </w:r>
      <w:r>
        <w:rPr>
          <w:rStyle w:val="default"/>
          <w:rFonts w:cs="FrankRuehl" w:hint="cs"/>
          <w:rtl/>
        </w:rPr>
        <w:t>מספיק לפחות לשם קי</w:t>
      </w:r>
      <w:r>
        <w:rPr>
          <w:rStyle w:val="default"/>
          <w:rFonts w:cs="FrankRuehl"/>
          <w:rtl/>
        </w:rPr>
        <w:t>ום</w:t>
      </w:r>
      <w:r>
        <w:rPr>
          <w:rStyle w:val="default"/>
          <w:rFonts w:cs="FrankRuehl" w:hint="cs"/>
          <w:rtl/>
        </w:rPr>
        <w:t xml:space="preserve"> התקנות שהותקנו לצורך זה עפ"י פקודה זו, ויהיו בה לפחות מכונן אחד וצופה אחד מוסמכים או יותר ממכונן אחד וצופה אחד מוסמכים בהתאם לאותן תקנות.</w:t>
      </w:r>
    </w:p>
    <w:p w14:paraId="646CC131" w14:textId="77777777" w:rsidR="00045923" w:rsidRDefault="00045923">
      <w:pPr>
        <w:pStyle w:val="P00"/>
        <w:spacing w:before="72"/>
        <w:ind w:left="0" w:right="1134"/>
        <w:rPr>
          <w:rStyle w:val="default"/>
          <w:rFonts w:cs="FrankRuehl"/>
          <w:rtl/>
        </w:rPr>
      </w:pPr>
      <w:bookmarkStart w:id="2" w:name="Seif2"/>
      <w:bookmarkEnd w:id="2"/>
      <w:r>
        <w:rPr>
          <w:lang w:val="he-IL"/>
        </w:rPr>
        <w:pict w14:anchorId="0B3900E0">
          <v:rect id="_x0000_s1028" style="position:absolute;left:0;text-align:left;margin-left:464.5pt;margin-top:8.05pt;width:75.05pt;height:8pt;z-index:251657728" o:allowincell="f" filled="f" stroked="f" strokecolor="lime" strokeweight=".25pt">
            <v:textbox inset="0,0,0,0">
              <w:txbxContent>
                <w:p w14:paraId="0BA4FB1B" w14:textId="77777777" w:rsidR="00045923" w:rsidRDefault="00045923">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נוי </w:t>
                  </w:r>
                  <w:r>
                    <w:rPr>
                      <w:rFonts w:cs="Miriam"/>
                      <w:sz w:val="18"/>
                      <w:szCs w:val="18"/>
                      <w:rtl/>
                    </w:rPr>
                    <w:t>פק</w:t>
                  </w:r>
                  <w:r>
                    <w:rPr>
                      <w:rFonts w:cs="Miriam" w:hint="cs"/>
                      <w:sz w:val="18"/>
                      <w:szCs w:val="18"/>
                      <w:rtl/>
                    </w:rPr>
                    <w:t>ידים</w:t>
                  </w:r>
                </w:p>
              </w:txbxContent>
            </v:textbox>
            <w10:anchorlock/>
          </v:rect>
        </w:pict>
      </w:r>
      <w:r>
        <w:rPr>
          <w:rStyle w:val="big-number"/>
          <w:rFonts w:cs="Miriam"/>
          <w:rtl/>
        </w:rPr>
        <w:t>3.</w:t>
      </w:r>
      <w:r>
        <w:rPr>
          <w:rStyle w:val="big-number"/>
          <w:rFonts w:cs="Miriam"/>
          <w:rtl/>
        </w:rPr>
        <w:tab/>
      </w:r>
      <w:r>
        <w:rPr>
          <w:rStyle w:val="default"/>
          <w:rFonts w:cs="FrankRuehl"/>
          <w:rtl/>
        </w:rPr>
        <w:t>רש</w:t>
      </w:r>
      <w:r>
        <w:rPr>
          <w:rStyle w:val="default"/>
          <w:rFonts w:cs="FrankRuehl" w:hint="cs"/>
          <w:rtl/>
        </w:rPr>
        <w:t>אי שר התחבורה למנות מזמן לזמן במודעה שתתפרסם ברשומות אדם מתאים וראוי או בני</w:t>
      </w:r>
      <w:r>
        <w:rPr>
          <w:rStyle w:val="default"/>
          <w:rFonts w:cs="FrankRuehl"/>
          <w:rtl/>
        </w:rPr>
        <w:t xml:space="preserve"> </w:t>
      </w:r>
      <w:r>
        <w:rPr>
          <w:rStyle w:val="default"/>
          <w:rFonts w:cs="FrankRuehl" w:hint="cs"/>
          <w:rtl/>
        </w:rPr>
        <w:t xml:space="preserve">אדם מתאימים וראויים כדי לעזור או </w:t>
      </w:r>
      <w:r>
        <w:rPr>
          <w:rStyle w:val="default"/>
          <w:rFonts w:cs="FrankRuehl"/>
          <w:rtl/>
        </w:rPr>
        <w:t>לי</w:t>
      </w:r>
      <w:r>
        <w:rPr>
          <w:rStyle w:val="default"/>
          <w:rFonts w:cs="FrankRuehl" w:hint="cs"/>
          <w:rtl/>
        </w:rPr>
        <w:t>תן עצת-מומחה בענין ההוצאה לפועל של פקודה זו.</w:t>
      </w:r>
    </w:p>
    <w:p w14:paraId="3B3C6891" w14:textId="77777777" w:rsidR="00045923" w:rsidRDefault="00045923" w:rsidP="00CE16B1">
      <w:pPr>
        <w:pStyle w:val="P00"/>
        <w:spacing w:before="72"/>
        <w:ind w:left="0" w:right="1134"/>
        <w:rPr>
          <w:rStyle w:val="default"/>
          <w:rFonts w:cs="FrankRuehl"/>
          <w:rtl/>
        </w:rPr>
      </w:pPr>
      <w:bookmarkStart w:id="3" w:name="Seif3"/>
      <w:bookmarkEnd w:id="3"/>
      <w:r>
        <w:rPr>
          <w:lang w:val="he-IL"/>
        </w:rPr>
        <w:pict w14:anchorId="24E34215">
          <v:rect id="_x0000_s1029" style="position:absolute;left:0;text-align:left;margin-left:464.5pt;margin-top:8.05pt;width:75.05pt;height:8pt;z-index:251658752" o:allowincell="f" filled="f" stroked="f" strokecolor="lime" strokeweight=".25pt">
            <v:textbox inset="0,0,0,0">
              <w:txbxContent>
                <w:p w14:paraId="240310D2" w14:textId="77777777" w:rsidR="00045923" w:rsidRDefault="00045923">
                  <w:pPr>
                    <w:spacing w:line="160" w:lineRule="exact"/>
                    <w:jc w:val="left"/>
                    <w:rPr>
                      <w:rFonts w:cs="Miriam"/>
                      <w:noProof/>
                      <w:sz w:val="18"/>
                      <w:szCs w:val="18"/>
                      <w:rtl/>
                    </w:rPr>
                  </w:pPr>
                  <w:r>
                    <w:rPr>
                      <w:rFonts w:cs="Miriam"/>
                      <w:sz w:val="18"/>
                      <w:szCs w:val="18"/>
                      <w:rtl/>
                    </w:rPr>
                    <w:t>עו</w:t>
                  </w:r>
                  <w:r>
                    <w:rPr>
                      <w:rFonts w:cs="Miriam" w:hint="cs"/>
                      <w:sz w:val="18"/>
                      <w:szCs w:val="18"/>
                      <w:rtl/>
                    </w:rPr>
                    <w:t>נשין</w:t>
                  </w:r>
                </w:p>
              </w:txbxContent>
            </v:textbox>
            <w10:anchorlock/>
          </v:rect>
        </w:pict>
      </w:r>
      <w:r>
        <w:rPr>
          <w:rStyle w:val="big-number"/>
          <w:rFonts w:cs="Miriam"/>
          <w:rtl/>
        </w:rPr>
        <w:t>4.</w:t>
      </w:r>
      <w:r>
        <w:rPr>
          <w:rStyle w:val="big-number"/>
          <w:rFonts w:cs="Miriam"/>
          <w:rtl/>
        </w:rPr>
        <w:tab/>
      </w:r>
      <w:r>
        <w:rPr>
          <w:rStyle w:val="default"/>
          <w:rFonts w:cs="FrankRuehl"/>
          <w:rtl/>
        </w:rPr>
        <w:t>אניה</w:t>
      </w:r>
      <w:r>
        <w:rPr>
          <w:rStyle w:val="default"/>
          <w:rFonts w:cs="FrankRuehl" w:hint="cs"/>
          <w:rtl/>
        </w:rPr>
        <w:t xml:space="preserve"> שפקודה זו חלה עליה, ואינה ממלאה אחרי הוראות פקודה זו, יאשם רב-חובלה או בעליה בעבירה, ויהא צפוי למאסר שלושה חדשים או לקנס של חמישים לירות או לשני הענשים כאחד, ועל עבירה שניה או על עבירה שלאחריה </w:t>
      </w:r>
      <w:r w:rsidR="00CE16B1">
        <w:rPr>
          <w:rStyle w:val="default"/>
          <w:rFonts w:cs="FrankRuehl" w:hint="cs"/>
          <w:rtl/>
        </w:rPr>
        <w:t>-</w:t>
      </w:r>
      <w:r>
        <w:rPr>
          <w:rStyle w:val="default"/>
          <w:rFonts w:cs="FrankRuehl"/>
          <w:rtl/>
        </w:rPr>
        <w:t xml:space="preserve"> </w:t>
      </w:r>
      <w:r>
        <w:rPr>
          <w:rStyle w:val="default"/>
          <w:rFonts w:cs="FrankRuehl" w:hint="cs"/>
          <w:rtl/>
        </w:rPr>
        <w:t>למאסר ששה חדשים או לקנס של מאה לירות או לשני הענשים כאחד.</w:t>
      </w:r>
    </w:p>
    <w:p w14:paraId="17844E82" w14:textId="77777777" w:rsidR="00045923" w:rsidRDefault="00045923">
      <w:pPr>
        <w:pStyle w:val="P00"/>
        <w:spacing w:before="72"/>
        <w:ind w:left="0" w:right="1134"/>
        <w:rPr>
          <w:rStyle w:val="default"/>
          <w:rFonts w:cs="FrankRuehl"/>
          <w:rtl/>
        </w:rPr>
      </w:pPr>
      <w:bookmarkStart w:id="4" w:name="Seif4"/>
      <w:bookmarkEnd w:id="4"/>
      <w:r>
        <w:rPr>
          <w:lang w:val="he-IL"/>
        </w:rPr>
        <w:pict w14:anchorId="3D6AD5A7">
          <v:rect id="_x0000_s1030" style="position:absolute;left:0;text-align:left;margin-left:464.5pt;margin-top:8.05pt;width:75.05pt;height:8pt;z-index:251659776" o:allowincell="f" filled="f" stroked="f" strokecolor="lime" strokeweight=".25pt">
            <v:textbox inset="0,0,0,0">
              <w:txbxContent>
                <w:p w14:paraId="06C8C696" w14:textId="77777777" w:rsidR="00045923" w:rsidRDefault="00045923">
                  <w:pPr>
                    <w:spacing w:line="160" w:lineRule="exact"/>
                    <w:jc w:val="left"/>
                    <w:rPr>
                      <w:rFonts w:cs="Miriam"/>
                      <w:noProof/>
                      <w:sz w:val="18"/>
                      <w:szCs w:val="18"/>
                      <w:rtl/>
                    </w:rPr>
                  </w:pPr>
                  <w:r>
                    <w:rPr>
                      <w:rFonts w:cs="Miriam"/>
                      <w:sz w:val="18"/>
                      <w:szCs w:val="18"/>
                      <w:rtl/>
                    </w:rPr>
                    <w:t>תק</w:t>
                  </w:r>
                  <w:r>
                    <w:rPr>
                      <w:rFonts w:cs="Miriam" w:hint="cs"/>
                      <w:sz w:val="18"/>
                      <w:szCs w:val="18"/>
                      <w:rtl/>
                    </w:rPr>
                    <w:t>נות</w:t>
                  </w:r>
                </w:p>
              </w:txbxContent>
            </v:textbox>
            <w10:anchorlock/>
          </v:rect>
        </w:pict>
      </w:r>
      <w:r>
        <w:rPr>
          <w:rStyle w:val="big-number"/>
          <w:rFonts w:cs="Miriam"/>
          <w:rtl/>
        </w:rPr>
        <w:t>5.</w:t>
      </w:r>
      <w:r>
        <w:rPr>
          <w:rStyle w:val="big-number"/>
          <w:rFonts w:cs="Miriam"/>
          <w:rtl/>
        </w:rPr>
        <w:tab/>
      </w:r>
      <w:r>
        <w:rPr>
          <w:rStyle w:val="default"/>
          <w:rFonts w:cs="FrankRuehl"/>
          <w:rtl/>
        </w:rPr>
        <w:t>רש</w:t>
      </w:r>
      <w:r>
        <w:rPr>
          <w:rStyle w:val="default"/>
          <w:rFonts w:cs="FrankRuehl" w:hint="cs"/>
          <w:rtl/>
        </w:rPr>
        <w:t>אי שר התחבורה להתקין תקנות:</w:t>
      </w:r>
    </w:p>
    <w:p w14:paraId="49C47DCF" w14:textId="77777777" w:rsidR="00045923" w:rsidRDefault="00045923">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קובעות את טיבו של המיתקן של הטלגרף האלחוטי שיחזיקו באניות;</w:t>
      </w:r>
    </w:p>
    <w:p w14:paraId="121B4AF7" w14:textId="77777777" w:rsidR="00045923" w:rsidRDefault="0004592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קובעות את השירותים שיתנהלו באניה וכן את מספרם, דרגתם והכשרתם של המכוננים והצופים שימצאו באניה;</w:t>
      </w:r>
    </w:p>
    <w:p w14:paraId="3C179443" w14:textId="77777777" w:rsidR="00045923" w:rsidRDefault="0004592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פוטרות כל אניה או סוגים של אניות מהוראות פקודה זו </w:t>
      </w:r>
      <w:r>
        <w:rPr>
          <w:rStyle w:val="default"/>
          <w:rFonts w:cs="FrankRuehl"/>
          <w:rtl/>
        </w:rPr>
        <w:t>אם</w:t>
      </w:r>
      <w:r>
        <w:rPr>
          <w:rStyle w:val="default"/>
          <w:rFonts w:cs="FrankRuehl" w:hint="cs"/>
          <w:rtl/>
        </w:rPr>
        <w:t xml:space="preserve"> סבור שר התחבורה כי בהתחשב עם מהותן של הנסיעות שאניות אלה נוסעות או בהתחשב עם מסיבות אחרות של הענין אין צורך ואין טעם להוראה בענין ציודן של האניות במיתקן טלגרף אלחוטי;</w:t>
      </w:r>
    </w:p>
    <w:p w14:paraId="6F9FA075" w14:textId="77777777" w:rsidR="00045923" w:rsidRDefault="0004592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צורך מתן תוקף להוראות פקודה ז</w:t>
      </w:r>
      <w:r>
        <w:rPr>
          <w:rStyle w:val="default"/>
          <w:rFonts w:cs="FrankRuehl"/>
          <w:rtl/>
        </w:rPr>
        <w:t>ו</w:t>
      </w:r>
      <w:r>
        <w:rPr>
          <w:rStyle w:val="default"/>
          <w:rFonts w:cs="FrankRuehl" w:hint="cs"/>
          <w:rtl/>
        </w:rPr>
        <w:t xml:space="preserve"> בדרך כלל.</w:t>
      </w:r>
    </w:p>
    <w:p w14:paraId="59DBABB4" w14:textId="77777777" w:rsidR="00045923" w:rsidRDefault="00045923">
      <w:pPr>
        <w:pStyle w:val="header-2"/>
        <w:ind w:left="0" w:right="1134"/>
        <w:rPr>
          <w:rFonts w:cs="FrankRuehl"/>
          <w:b/>
          <w:bCs/>
          <w:sz w:val="24"/>
          <w:szCs w:val="24"/>
          <w:rtl/>
        </w:rPr>
      </w:pPr>
      <w:r>
        <w:rPr>
          <w:rFonts w:cs="FrankRuehl"/>
          <w:b/>
          <w:bCs/>
          <w:sz w:val="24"/>
          <w:szCs w:val="24"/>
          <w:rtl/>
        </w:rPr>
        <w:t>הת</w:t>
      </w:r>
      <w:r>
        <w:rPr>
          <w:rFonts w:cs="FrankRuehl" w:hint="cs"/>
          <w:b/>
          <w:bCs/>
          <w:sz w:val="24"/>
          <w:szCs w:val="24"/>
          <w:rtl/>
        </w:rPr>
        <w:t>וספת</w:t>
      </w:r>
    </w:p>
    <w:p w14:paraId="5B56F454" w14:textId="77777777" w:rsidR="00045923" w:rsidRDefault="00045923" w:rsidP="00CE16B1">
      <w:pPr>
        <w:pStyle w:val="P00"/>
        <w:spacing w:before="72"/>
        <w:ind w:left="0" w:right="1134"/>
        <w:rPr>
          <w:rStyle w:val="default"/>
          <w:rFonts w:cs="FrankRuehl"/>
          <w:rtl/>
        </w:rPr>
      </w:pPr>
      <w:r>
        <w:rPr>
          <w:rStyle w:val="default"/>
          <w:rFonts w:cs="FrankRuehl"/>
          <w:rtl/>
        </w:rPr>
        <w:t>סו</w:t>
      </w:r>
      <w:r>
        <w:rPr>
          <w:rStyle w:val="default"/>
          <w:rFonts w:cs="FrankRuehl" w:hint="cs"/>
          <w:rtl/>
        </w:rPr>
        <w:t xml:space="preserve">ג </w:t>
      </w:r>
      <w:r>
        <w:rPr>
          <w:rStyle w:val="default"/>
          <w:rFonts w:cs="FrankRuehl"/>
          <w:sz w:val="20"/>
        </w:rPr>
        <w:t>I</w:t>
      </w:r>
      <w:r>
        <w:rPr>
          <w:rStyle w:val="default"/>
          <w:rFonts w:cs="FrankRuehl"/>
          <w:rtl/>
        </w:rPr>
        <w:t xml:space="preserve"> </w:t>
      </w:r>
      <w:r w:rsidR="00CE16B1">
        <w:rPr>
          <w:rStyle w:val="default"/>
          <w:rFonts w:cs="FrankRuehl" w:hint="cs"/>
          <w:rtl/>
        </w:rPr>
        <w:t>-</w:t>
      </w:r>
      <w:r>
        <w:rPr>
          <w:rStyle w:val="default"/>
          <w:rFonts w:cs="FrankRuehl"/>
          <w:rtl/>
        </w:rPr>
        <w:t xml:space="preserve"> </w:t>
      </w:r>
      <w:r>
        <w:rPr>
          <w:rStyle w:val="default"/>
          <w:rFonts w:cs="FrankRuehl" w:hint="cs"/>
          <w:rtl/>
        </w:rPr>
        <w:t xml:space="preserve">אניות נוסעות בנות טונז' </w:t>
      </w:r>
      <w:r>
        <w:rPr>
          <w:rStyle w:val="default"/>
          <w:rFonts w:cs="FrankRuehl"/>
          <w:rtl/>
        </w:rPr>
        <w:t>בר</w:t>
      </w:r>
      <w:r>
        <w:rPr>
          <w:rStyle w:val="default"/>
          <w:rFonts w:cs="FrankRuehl" w:hint="cs"/>
          <w:rtl/>
        </w:rPr>
        <w:t>וטו של 3,000 טון או יותר מזה, ואניות משא בנות טונז' ברוטו של יותר מ-5,500 טון.</w:t>
      </w:r>
    </w:p>
    <w:p w14:paraId="31E80F7C" w14:textId="77777777" w:rsidR="00045923" w:rsidRDefault="00045923" w:rsidP="00CE16B1">
      <w:pPr>
        <w:pStyle w:val="P00"/>
        <w:spacing w:before="72"/>
        <w:ind w:left="0" w:right="1134"/>
        <w:rPr>
          <w:rFonts w:cs="FrankRuehl"/>
          <w:sz w:val="26"/>
          <w:rtl/>
        </w:rPr>
      </w:pPr>
      <w:r>
        <w:rPr>
          <w:rFonts w:cs="FrankRuehl"/>
          <w:sz w:val="26"/>
          <w:rtl/>
        </w:rPr>
        <w:t>סו</w:t>
      </w:r>
      <w:r>
        <w:rPr>
          <w:rFonts w:cs="FrankRuehl" w:hint="cs"/>
          <w:sz w:val="26"/>
          <w:rtl/>
        </w:rPr>
        <w:t xml:space="preserve">ג </w:t>
      </w:r>
      <w:r>
        <w:rPr>
          <w:rFonts w:cs="FrankRuehl"/>
        </w:rPr>
        <w:t>II</w:t>
      </w:r>
      <w:r>
        <w:rPr>
          <w:rFonts w:cs="FrankRuehl"/>
          <w:sz w:val="26"/>
          <w:rtl/>
        </w:rPr>
        <w:t xml:space="preserve"> </w:t>
      </w:r>
      <w:r w:rsidR="00CE16B1">
        <w:rPr>
          <w:rFonts w:cs="FrankRuehl" w:hint="cs"/>
          <w:sz w:val="26"/>
          <w:rtl/>
        </w:rPr>
        <w:t>-</w:t>
      </w:r>
      <w:r>
        <w:rPr>
          <w:rFonts w:cs="FrankRuehl"/>
          <w:sz w:val="26"/>
          <w:rtl/>
        </w:rPr>
        <w:t xml:space="preserve"> </w:t>
      </w:r>
      <w:r>
        <w:rPr>
          <w:rFonts w:cs="FrankRuehl" w:hint="cs"/>
          <w:sz w:val="26"/>
          <w:rtl/>
        </w:rPr>
        <w:t>אניות נוסעים בנות טונז' ברוטו של פחות מ-3,000 טון ואניות משא בנות טונז' ברוטו של 3,000 טון או יותר מזה, אך לא יותר מ-5,500 טון טונז' ברוטו.</w:t>
      </w:r>
    </w:p>
    <w:p w14:paraId="2EA6E123" w14:textId="77777777" w:rsidR="00045923" w:rsidRDefault="00045923" w:rsidP="00CE16B1">
      <w:pPr>
        <w:pStyle w:val="P00"/>
        <w:spacing w:before="72"/>
        <w:ind w:left="0" w:right="1134"/>
        <w:rPr>
          <w:rFonts w:cs="FrankRuehl"/>
          <w:sz w:val="26"/>
          <w:rtl/>
        </w:rPr>
      </w:pPr>
      <w:r>
        <w:rPr>
          <w:rFonts w:cs="FrankRuehl" w:hint="cs"/>
          <w:sz w:val="26"/>
          <w:rtl/>
        </w:rPr>
        <w:t>ס</w:t>
      </w:r>
      <w:r>
        <w:rPr>
          <w:rFonts w:cs="FrankRuehl"/>
          <w:sz w:val="26"/>
          <w:rtl/>
        </w:rPr>
        <w:t>ו</w:t>
      </w:r>
      <w:r>
        <w:rPr>
          <w:rFonts w:cs="FrankRuehl" w:hint="cs"/>
          <w:sz w:val="26"/>
          <w:rtl/>
        </w:rPr>
        <w:t xml:space="preserve">ג </w:t>
      </w:r>
      <w:r>
        <w:rPr>
          <w:rFonts w:cs="FrankRuehl"/>
        </w:rPr>
        <w:t>III</w:t>
      </w:r>
      <w:r>
        <w:rPr>
          <w:rFonts w:cs="FrankRuehl"/>
          <w:sz w:val="26"/>
          <w:rtl/>
        </w:rPr>
        <w:t xml:space="preserve"> </w:t>
      </w:r>
      <w:r w:rsidR="00CE16B1">
        <w:rPr>
          <w:rFonts w:cs="FrankRuehl" w:hint="cs"/>
          <w:sz w:val="26"/>
          <w:rtl/>
        </w:rPr>
        <w:t>-</w:t>
      </w:r>
      <w:r>
        <w:rPr>
          <w:rFonts w:cs="FrankRuehl"/>
          <w:sz w:val="26"/>
          <w:rtl/>
        </w:rPr>
        <w:t xml:space="preserve"> </w:t>
      </w:r>
      <w:r>
        <w:rPr>
          <w:rFonts w:cs="FrankRuehl" w:hint="cs"/>
          <w:sz w:val="26"/>
          <w:rtl/>
        </w:rPr>
        <w:t>אניות משא בנות ט</w:t>
      </w:r>
      <w:r>
        <w:rPr>
          <w:rFonts w:cs="FrankRuehl"/>
          <w:sz w:val="26"/>
          <w:rtl/>
        </w:rPr>
        <w:t>ונ</w:t>
      </w:r>
      <w:r>
        <w:rPr>
          <w:rFonts w:cs="FrankRuehl" w:hint="cs"/>
          <w:sz w:val="26"/>
          <w:rtl/>
        </w:rPr>
        <w:t>ז' ברוטו של 1,600 טון או יותר מזה אך פחות מ-3,000 טון טונז' ברוטו.</w:t>
      </w:r>
    </w:p>
    <w:p w14:paraId="5317D46E" w14:textId="77777777" w:rsidR="00045923" w:rsidRDefault="00045923">
      <w:pPr>
        <w:pStyle w:val="P00"/>
        <w:spacing w:before="72"/>
        <w:ind w:left="0" w:right="1134"/>
        <w:rPr>
          <w:rFonts w:cs="FrankRuehl"/>
          <w:sz w:val="26"/>
          <w:rtl/>
        </w:rPr>
      </w:pPr>
    </w:p>
    <w:p w14:paraId="543D5C32" w14:textId="77777777" w:rsidR="00045923" w:rsidRDefault="00045923">
      <w:pPr>
        <w:pStyle w:val="P00"/>
        <w:spacing w:before="72"/>
        <w:ind w:left="0" w:right="1134"/>
        <w:rPr>
          <w:rFonts w:cs="FrankRuehl"/>
          <w:sz w:val="26"/>
          <w:rtl/>
        </w:rPr>
      </w:pPr>
    </w:p>
    <w:p w14:paraId="5106DB01" w14:textId="77777777" w:rsidR="00045923" w:rsidRPr="00CE16B1" w:rsidRDefault="00045923" w:rsidP="00CE16B1">
      <w:pPr>
        <w:pStyle w:val="P00"/>
        <w:spacing w:before="72"/>
        <w:ind w:left="0" w:right="1134"/>
        <w:rPr>
          <w:rFonts w:cs="FrankRuehl"/>
          <w:sz w:val="26"/>
          <w:rtl/>
        </w:rPr>
      </w:pPr>
      <w:bookmarkStart w:id="5" w:name="LawPartEnd"/>
    </w:p>
    <w:bookmarkEnd w:id="5"/>
    <w:p w14:paraId="0F0CA456" w14:textId="77777777" w:rsidR="00045923" w:rsidRPr="00CE16B1" w:rsidRDefault="00045923" w:rsidP="00CE16B1">
      <w:pPr>
        <w:pStyle w:val="P00"/>
        <w:spacing w:before="72"/>
        <w:ind w:left="0" w:right="1134"/>
        <w:rPr>
          <w:rFonts w:cs="FrankRuehl"/>
          <w:sz w:val="26"/>
          <w:rtl/>
        </w:rPr>
      </w:pPr>
    </w:p>
    <w:sectPr w:rsidR="00045923" w:rsidRPr="00CE16B1">
      <w:headerReference w:type="even" r:id="rId6"/>
      <w:headerReference w:type="default" r:id="rId7"/>
      <w:footerReference w:type="even" r:id="rId8"/>
      <w:footerReference w:type="default" r:id="rId9"/>
      <w:headerReference w:type="first" r:id="rId10"/>
      <w:footerReference w:type="firs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81BD2" w14:textId="77777777" w:rsidR="004641AD" w:rsidRDefault="004641AD">
      <w:r>
        <w:separator/>
      </w:r>
    </w:p>
  </w:endnote>
  <w:endnote w:type="continuationSeparator" w:id="0">
    <w:p w14:paraId="336DCB02" w14:textId="77777777" w:rsidR="004641AD" w:rsidRDefault="00464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F0A8C" w14:textId="77777777" w:rsidR="00045923" w:rsidRDefault="0004592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E745A87" w14:textId="77777777" w:rsidR="00045923" w:rsidRDefault="0004592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0C1B353" w14:textId="77777777" w:rsidR="00045923" w:rsidRDefault="0004592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M:\0a-lishca\law\gideon-03-02-13\law01\023_002.doc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298DC" w14:textId="77777777" w:rsidR="00045923" w:rsidRDefault="0004592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92F09">
      <w:rPr>
        <w:rFonts w:hAnsi="FrankRuehl" w:cs="FrankRuehl"/>
        <w:noProof/>
        <w:sz w:val="24"/>
        <w:szCs w:val="24"/>
        <w:rtl/>
      </w:rPr>
      <w:t>1</w:t>
    </w:r>
    <w:r>
      <w:rPr>
        <w:rFonts w:hAnsi="FrankRuehl" w:cs="FrankRuehl"/>
        <w:sz w:val="24"/>
        <w:szCs w:val="24"/>
        <w:rtl/>
      </w:rPr>
      <w:fldChar w:fldCharType="end"/>
    </w:r>
  </w:p>
  <w:p w14:paraId="24CEE918" w14:textId="77777777" w:rsidR="00045923" w:rsidRDefault="0004592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0D107E6" w14:textId="77777777" w:rsidR="00045923" w:rsidRDefault="0004592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M:\0a-lishca\law\gideon-03-02-13\law01\023_002.doc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33F53" w14:textId="77777777" w:rsidR="00045923" w:rsidRDefault="00045923">
    <w:pPr>
      <w:pStyle w:val="a4"/>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34015" w14:textId="77777777" w:rsidR="004641AD" w:rsidRDefault="004641AD">
      <w:r>
        <w:separator/>
      </w:r>
    </w:p>
  </w:footnote>
  <w:footnote w:type="continuationSeparator" w:id="0">
    <w:p w14:paraId="31941A06" w14:textId="77777777" w:rsidR="004641AD" w:rsidRDefault="004641AD">
      <w:r>
        <w:continuationSeparator/>
      </w:r>
    </w:p>
  </w:footnote>
  <w:footnote w:id="1">
    <w:p w14:paraId="48101035" w14:textId="77777777" w:rsidR="004E7754" w:rsidRPr="004E7754" w:rsidRDefault="004E7754" w:rsidP="004E77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4E7754">
        <w:rPr>
          <w:rFonts w:cs="FrankRuehl"/>
          <w:rtl/>
        </w:rPr>
        <w:t xml:space="preserve">* </w:t>
      </w:r>
      <w:r>
        <w:rPr>
          <w:rFonts w:cs="FrankRuehl"/>
          <w:rtl/>
        </w:rPr>
        <w:t>פו</w:t>
      </w:r>
      <w:r>
        <w:rPr>
          <w:rFonts w:cs="FrankRuehl" w:hint="cs"/>
          <w:rtl/>
        </w:rPr>
        <w:t xml:space="preserve">רסמה </w:t>
      </w:r>
      <w:hyperlink r:id="rId1" w:history="1">
        <w:r w:rsidRPr="004E7754">
          <w:rPr>
            <w:rStyle w:val="Hyperlink"/>
            <w:rFonts w:cs="FrankRuehl" w:hint="cs"/>
            <w:rtl/>
          </w:rPr>
          <w:t>ע"ר מ</w:t>
        </w:r>
        <w:r w:rsidRPr="004E7754">
          <w:rPr>
            <w:rStyle w:val="Hyperlink"/>
            <w:rFonts w:cs="FrankRuehl" w:hint="cs"/>
            <w:rtl/>
          </w:rPr>
          <w:t>ס</w:t>
        </w:r>
        <w:r w:rsidRPr="004E7754">
          <w:rPr>
            <w:rStyle w:val="Hyperlink"/>
            <w:rFonts w:cs="FrankRuehl" w:hint="cs"/>
            <w:rtl/>
          </w:rPr>
          <w:t>' 711</w:t>
        </w:r>
      </w:hyperlink>
      <w:r>
        <w:rPr>
          <w:rFonts w:cs="FrankRuehl" w:hint="cs"/>
          <w:rtl/>
        </w:rPr>
        <w:t xml:space="preserve"> מיום 19.8.1937, תוס' 1, עמ' (ע) 164, (א) 191.</w:t>
      </w:r>
    </w:p>
  </w:footnote>
  <w:footnote w:id="2">
    <w:p w14:paraId="2B4AA19D" w14:textId="77777777" w:rsidR="004E7754" w:rsidRDefault="004E7754" w:rsidP="004E7754">
      <w:pPr>
        <w:pStyle w:val="a5"/>
        <w:spacing w:before="72" w:line="240" w:lineRule="auto"/>
        <w:ind w:right="1134"/>
        <w:rPr>
          <w:rFonts w:hint="cs"/>
        </w:rPr>
      </w:pPr>
      <w:r>
        <w:rPr>
          <w:rStyle w:val="a6"/>
        </w:rPr>
        <w:footnoteRef/>
      </w:r>
      <w:r w:rsidRPr="004E7754">
        <w:rPr>
          <w:sz w:val="22"/>
          <w:szCs w:val="22"/>
          <w:rtl/>
        </w:rPr>
        <w:t xml:space="preserve"> </w:t>
      </w:r>
      <w:r w:rsidRPr="004E7754">
        <w:rPr>
          <w:rFonts w:cs="FrankRuehl"/>
          <w:sz w:val="22"/>
          <w:szCs w:val="22"/>
          <w:rtl/>
        </w:rPr>
        <w:t>סמ</w:t>
      </w:r>
      <w:r w:rsidRPr="004E7754">
        <w:rPr>
          <w:rFonts w:cs="FrankRuehl" w:hint="cs"/>
          <w:sz w:val="22"/>
          <w:szCs w:val="22"/>
          <w:rtl/>
        </w:rPr>
        <w:t xml:space="preserve">כויות הנציב העליון הוענקו לשר התחבורה </w:t>
      </w:r>
      <w:r>
        <w:rPr>
          <w:rFonts w:cs="FrankRuehl"/>
          <w:sz w:val="22"/>
          <w:szCs w:val="22"/>
          <w:rtl/>
        </w:rPr>
        <w:t>–</w:t>
      </w:r>
      <w:r w:rsidRPr="004E7754">
        <w:rPr>
          <w:rFonts w:cs="FrankRuehl"/>
          <w:sz w:val="22"/>
          <w:szCs w:val="22"/>
          <w:rtl/>
        </w:rPr>
        <w:t xml:space="preserve"> </w:t>
      </w:r>
      <w:r w:rsidRPr="004E7754">
        <w:rPr>
          <w:rFonts w:cs="FrankRuehl" w:hint="cs"/>
          <w:sz w:val="22"/>
          <w:szCs w:val="22"/>
          <w:rtl/>
        </w:rPr>
        <w:t xml:space="preserve">ע"ר </w:t>
      </w:r>
      <w:r>
        <w:rPr>
          <w:rFonts w:cs="FrankRuehl" w:hint="cs"/>
          <w:sz w:val="22"/>
          <w:szCs w:val="22"/>
          <w:rtl/>
        </w:rPr>
        <w:t xml:space="preserve">תש"ח </w:t>
      </w:r>
      <w:r w:rsidRPr="004E7754">
        <w:rPr>
          <w:rFonts w:cs="FrankRuehl" w:hint="cs"/>
          <w:sz w:val="22"/>
          <w:szCs w:val="22"/>
          <w:rtl/>
        </w:rPr>
        <w:t xml:space="preserve">מס' 5 מיום </w:t>
      </w:r>
      <w:r>
        <w:rPr>
          <w:rFonts w:cs="FrankRuehl" w:hint="cs"/>
          <w:sz w:val="22"/>
          <w:szCs w:val="22"/>
          <w:rtl/>
        </w:rPr>
        <w:t>16.6.1948</w:t>
      </w:r>
      <w:r w:rsidRPr="004E7754">
        <w:rPr>
          <w:rFonts w:cs="FrankRuehl" w:hint="cs"/>
          <w:sz w:val="22"/>
          <w:szCs w:val="22"/>
          <w:rtl/>
        </w:rPr>
        <w:t xml:space="preserve"> עמ' 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9A486" w14:textId="77777777" w:rsidR="00045923" w:rsidRDefault="0004592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פקודת אניות סוחר (טלגרף אלחוטי),</w:t>
    </w:r>
  </w:p>
  <w:p w14:paraId="4F699044" w14:textId="77777777" w:rsidR="00045923" w:rsidRDefault="0004592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FD0724C" w14:textId="77777777" w:rsidR="00045923" w:rsidRDefault="0004592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A6259" w14:textId="77777777" w:rsidR="00045923" w:rsidRDefault="0004592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פקודת אניות סוחר (טלגרף אלחוטי),</w:t>
    </w:r>
  </w:p>
  <w:p w14:paraId="760BE897" w14:textId="77777777" w:rsidR="00045923" w:rsidRDefault="0004592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1E6D73A" w14:textId="77777777" w:rsidR="00045923" w:rsidRDefault="00045923">
    <w:pPr>
      <w:pStyle w:val="a3"/>
      <w:pBdr>
        <w:top w:val="single" w:sz="4" w:space="0" w:color="auto"/>
      </w:pBdr>
      <w:spacing w:line="220" w:lineRule="exact"/>
      <w:ind w:right="1134"/>
      <w:jc w:val="center"/>
      <w:rPr>
        <w:rFonts w:hAnsi="FrankRuehl" w:cs="FrankRuehl"/>
        <w:color w:val="00000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92C00" w14:textId="77777777" w:rsidR="00045923" w:rsidRDefault="00045923">
    <w:pPr>
      <w:pStyle w:val="a3"/>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87270"/>
    <w:rsid w:val="00045923"/>
    <w:rsid w:val="00192F09"/>
    <w:rsid w:val="004641AD"/>
    <w:rsid w:val="004D4245"/>
    <w:rsid w:val="004E7754"/>
    <w:rsid w:val="00B45B81"/>
    <w:rsid w:val="00CE16B1"/>
    <w:rsid w:val="00E8727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2DEC12A"/>
  <w15:chartTrackingRefBased/>
  <w15:docId w15:val="{65B03D1A-5B25-4441-BB95-88FE84728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4E7754"/>
    <w:rPr>
      <w:sz w:val="20"/>
      <w:szCs w:val="20"/>
    </w:rPr>
  </w:style>
  <w:style w:type="character" w:styleId="a6">
    <w:name w:val="footnote reference"/>
    <w:basedOn w:val="a0"/>
    <w:semiHidden/>
    <w:rsid w:val="004E7754"/>
    <w:rPr>
      <w:vertAlign w:val="superscript"/>
    </w:rPr>
  </w:style>
  <w:style w:type="character" w:styleId="FollowedHyperlink">
    <w:name w:val="FollowedHyperlink"/>
    <w:basedOn w:val="a0"/>
    <w:rsid w:val="00CE16B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55/er-071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פרק 23</vt:lpstr>
    </vt:vector>
  </TitlesOfParts>
  <Company/>
  <LinksUpToDate>false</LinksUpToDate>
  <CharactersWithSpaces>2489</CharactersWithSpaces>
  <SharedDoc>false</SharedDoc>
  <HLinks>
    <vt:vector size="36" baseType="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7798792</vt:i4>
      </vt:variant>
      <vt:variant>
        <vt:i4>0</vt:i4>
      </vt:variant>
      <vt:variant>
        <vt:i4>0</vt:i4>
      </vt:variant>
      <vt:variant>
        <vt:i4>5</vt:i4>
      </vt:variant>
      <vt:variant>
        <vt:lpwstr>http://www.nevo.co.il/Law_word/law55/er-0711.pdf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dc:title>
  <dc:subject/>
  <dc:creator>Shimon Doodkin</dc:creator>
  <cp:keywords/>
  <dc:description/>
  <cp:lastModifiedBy>Shimon Doodkin</cp:lastModifiedBy>
  <cp:revision>2</cp:revision>
  <dcterms:created xsi:type="dcterms:W3CDTF">2023-06-05T19:13:00Z</dcterms:created>
  <dcterms:modified xsi:type="dcterms:W3CDTF">2023-06-05T19:13:00Z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0023</vt:lpwstr>
  </property>
  <property fmtid="{D5CDD505-2E9C-101B-9397-08002B2CF9AE}" pid="3" name="CHNAME">
    <vt:lpwstr>אניות</vt:lpwstr>
  </property>
  <property fmtid="{D5CDD505-2E9C-101B-9397-08002B2CF9AE}" pid="4" name="LAWNAME">
    <vt:lpwstr>פקודת אניות סוחר (טלגרף אלחוטי)</vt:lpwstr>
  </property>
  <property fmtid="{D5CDD505-2E9C-101B-9397-08002B2CF9AE}" pid="5" name="LAWNUMBER">
    <vt:lpwstr>0002</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תשתיות</vt:lpwstr>
  </property>
  <property fmtid="{D5CDD505-2E9C-101B-9397-08002B2CF9AE}" pid="9" name="NOSE31">
    <vt:lpwstr>ספנות ונמלים</vt:lpwstr>
  </property>
  <property fmtid="{D5CDD505-2E9C-101B-9397-08002B2CF9AE}" pid="10" name="NOSE41">
    <vt:lpwstr>כלי שיט</vt:lpwstr>
  </property>
  <property fmtid="{D5CDD505-2E9C-101B-9397-08002B2CF9AE}" pid="11" name="NOSE12">
    <vt:lpwstr>רשויות ומשפט מנהלי</vt:lpwstr>
  </property>
  <property fmtid="{D5CDD505-2E9C-101B-9397-08002B2CF9AE}" pid="12" name="NOSE22">
    <vt:lpwstr>תקשורת</vt:lpwstr>
  </property>
  <property fmtid="{D5CDD505-2E9C-101B-9397-08002B2CF9AE}" pid="13" name="NOSE32">
    <vt:lpwstr>רדיו וטלגרף</vt:lpwstr>
  </property>
  <property fmtid="{D5CDD505-2E9C-101B-9397-08002B2CF9AE}" pid="14" name="NOSE42">
    <vt:lpwstr/>
  </property>
  <property fmtid="{D5CDD505-2E9C-101B-9397-08002B2CF9AE}" pid="15" name="NOSE13">
    <vt:lpwstr>משפט פרטי וכלכלה</vt:lpwstr>
  </property>
  <property fmtid="{D5CDD505-2E9C-101B-9397-08002B2CF9AE}" pid="16" name="NOSE23">
    <vt:lpwstr>מסחר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
  </property>
  <property fmtid="{D5CDD505-2E9C-101B-9397-08002B2CF9AE}" pid="49" name="LINKK2">
    <vt:lpwstr/>
  </property>
  <property fmtid="{D5CDD505-2E9C-101B-9397-08002B2CF9AE}" pid="50" name="LINKK3">
    <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