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BBB" w:rsidRDefault="009E7BBB">
      <w:pPr>
        <w:pStyle w:val="big-header"/>
        <w:ind w:left="0" w:right="1134"/>
        <w:rPr>
          <w:rFonts w:cs="FrankRuehl"/>
          <w:sz w:val="32"/>
        </w:rPr>
      </w:pPr>
      <w:r>
        <w:rPr>
          <w:rFonts w:cs="FrankRuehl"/>
          <w:sz w:val="32"/>
          <w:rtl/>
        </w:rPr>
        <w:t>פקודת המוכתרים</w:t>
      </w:r>
    </w:p>
    <w:p w:rsidR="00095073" w:rsidRPr="00095073" w:rsidRDefault="00095073" w:rsidP="00095073">
      <w:pPr>
        <w:spacing w:line="320" w:lineRule="auto"/>
        <w:jc w:val="left"/>
        <w:rPr>
          <w:rFonts w:cs="FrankRuehl"/>
          <w:szCs w:val="26"/>
          <w:rtl/>
        </w:rPr>
      </w:pPr>
    </w:p>
    <w:p w:rsidR="00095073" w:rsidRDefault="00095073" w:rsidP="00095073">
      <w:pPr>
        <w:spacing w:line="320" w:lineRule="auto"/>
        <w:jc w:val="left"/>
        <w:rPr>
          <w:rtl/>
        </w:rPr>
      </w:pPr>
    </w:p>
    <w:p w:rsidR="00095073" w:rsidRPr="00095073" w:rsidRDefault="00095073" w:rsidP="00095073">
      <w:pPr>
        <w:spacing w:line="320" w:lineRule="auto"/>
        <w:jc w:val="left"/>
        <w:rPr>
          <w:rFonts w:cs="Miriam"/>
          <w:szCs w:val="22"/>
          <w:rtl/>
        </w:rPr>
      </w:pPr>
      <w:r w:rsidRPr="00095073">
        <w:rPr>
          <w:rFonts w:cs="Miriam"/>
          <w:szCs w:val="22"/>
          <w:rtl/>
        </w:rPr>
        <w:t>רשויות ומשפט מנהלי</w:t>
      </w:r>
      <w:r w:rsidRPr="00095073">
        <w:rPr>
          <w:rFonts w:cs="FrankRuehl"/>
          <w:szCs w:val="26"/>
          <w:rtl/>
        </w:rPr>
        <w:t xml:space="preserve"> – רשויות מקומיות – כפרים והנהלתם – מוכתרים</w:t>
      </w:r>
    </w:p>
    <w:p w:rsidR="009E7BBB" w:rsidRDefault="009E7BB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0" w:tooltip="השם הקצר" w:history="1">
              <w:r>
                <w:rPr>
                  <w:rStyle w:val="Hyperlink"/>
                </w:rPr>
                <w:t>Go</w:t>
              </w:r>
            </w:hyperlink>
          </w:p>
        </w:tc>
        <w:tc>
          <w:tcPr>
            <w:tcW w:w="5669" w:type="dxa"/>
          </w:tcPr>
          <w:p w:rsidR="009E7BBB" w:rsidRDefault="009E7BBB">
            <w:pPr>
              <w:spacing w:line="240" w:lineRule="auto"/>
              <w:rPr>
                <w:sz w:val="24"/>
                <w:rtl/>
              </w:rPr>
            </w:pPr>
            <w:r>
              <w:rPr>
                <w:sz w:val="24"/>
                <w:rtl/>
              </w:rPr>
              <w:t>השם הקצר</w:t>
            </w:r>
          </w:p>
        </w:tc>
        <w:tc>
          <w:tcPr>
            <w:tcW w:w="1247" w:type="dxa"/>
          </w:tcPr>
          <w:p w:rsidR="009E7BBB" w:rsidRDefault="009E7BBB">
            <w:pPr>
              <w:spacing w:line="240" w:lineRule="auto"/>
              <w:rPr>
                <w:sz w:val="24"/>
              </w:rPr>
            </w:pPr>
            <w:r>
              <w:rPr>
                <w:sz w:val="24"/>
                <w:rtl/>
              </w:rPr>
              <w:t xml:space="preserve">סעיף 1 </w:t>
            </w:r>
          </w:p>
        </w:tc>
      </w:tr>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1" w:tooltip="פירוש" w:history="1">
              <w:r>
                <w:rPr>
                  <w:rStyle w:val="Hyperlink"/>
                </w:rPr>
                <w:t>Go</w:t>
              </w:r>
            </w:hyperlink>
          </w:p>
        </w:tc>
        <w:tc>
          <w:tcPr>
            <w:tcW w:w="5669" w:type="dxa"/>
          </w:tcPr>
          <w:p w:rsidR="009E7BBB" w:rsidRDefault="009E7BBB">
            <w:pPr>
              <w:spacing w:line="240" w:lineRule="auto"/>
              <w:rPr>
                <w:sz w:val="24"/>
                <w:rtl/>
              </w:rPr>
            </w:pPr>
            <w:r>
              <w:rPr>
                <w:sz w:val="24"/>
                <w:rtl/>
              </w:rPr>
              <w:t>פירוש</w:t>
            </w:r>
          </w:p>
        </w:tc>
        <w:tc>
          <w:tcPr>
            <w:tcW w:w="1247" w:type="dxa"/>
          </w:tcPr>
          <w:p w:rsidR="009E7BBB" w:rsidRDefault="009E7BBB">
            <w:pPr>
              <w:spacing w:line="240" w:lineRule="auto"/>
              <w:rPr>
                <w:sz w:val="24"/>
              </w:rPr>
            </w:pPr>
            <w:r>
              <w:rPr>
                <w:sz w:val="24"/>
                <w:rtl/>
              </w:rPr>
              <w:t xml:space="preserve">סעיף 2 </w:t>
            </w:r>
          </w:p>
        </w:tc>
      </w:tr>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2" w:tooltip="מינוי מוכתרים" w:history="1">
              <w:r>
                <w:rPr>
                  <w:rStyle w:val="Hyperlink"/>
                </w:rPr>
                <w:t>Go</w:t>
              </w:r>
            </w:hyperlink>
          </w:p>
        </w:tc>
        <w:tc>
          <w:tcPr>
            <w:tcW w:w="5669" w:type="dxa"/>
          </w:tcPr>
          <w:p w:rsidR="009E7BBB" w:rsidRDefault="009E7BBB">
            <w:pPr>
              <w:spacing w:line="240" w:lineRule="auto"/>
              <w:rPr>
                <w:sz w:val="24"/>
                <w:rtl/>
              </w:rPr>
            </w:pPr>
            <w:r>
              <w:rPr>
                <w:sz w:val="24"/>
                <w:rtl/>
              </w:rPr>
              <w:t>מינוי מוכתרים</w:t>
            </w:r>
          </w:p>
        </w:tc>
        <w:tc>
          <w:tcPr>
            <w:tcW w:w="1247" w:type="dxa"/>
          </w:tcPr>
          <w:p w:rsidR="009E7BBB" w:rsidRDefault="009E7BBB">
            <w:pPr>
              <w:spacing w:line="240" w:lineRule="auto"/>
              <w:rPr>
                <w:sz w:val="24"/>
              </w:rPr>
            </w:pPr>
            <w:r>
              <w:rPr>
                <w:sz w:val="24"/>
                <w:rtl/>
              </w:rPr>
              <w:t xml:space="preserve">סעיף 3 </w:t>
            </w:r>
          </w:p>
        </w:tc>
      </w:tr>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3" w:tooltip="סמכויותיהם וחובותיהם של המוכתרים" w:history="1">
              <w:r>
                <w:rPr>
                  <w:rStyle w:val="Hyperlink"/>
                </w:rPr>
                <w:t>Go</w:t>
              </w:r>
            </w:hyperlink>
          </w:p>
        </w:tc>
        <w:tc>
          <w:tcPr>
            <w:tcW w:w="5669" w:type="dxa"/>
          </w:tcPr>
          <w:p w:rsidR="009E7BBB" w:rsidRDefault="009E7BBB">
            <w:pPr>
              <w:spacing w:line="240" w:lineRule="auto"/>
              <w:rPr>
                <w:sz w:val="24"/>
                <w:rtl/>
              </w:rPr>
            </w:pPr>
            <w:r>
              <w:rPr>
                <w:sz w:val="24"/>
                <w:rtl/>
              </w:rPr>
              <w:t>סמכויותיהם וחובותיהם של המוכתרים</w:t>
            </w:r>
          </w:p>
        </w:tc>
        <w:tc>
          <w:tcPr>
            <w:tcW w:w="1247" w:type="dxa"/>
          </w:tcPr>
          <w:p w:rsidR="009E7BBB" w:rsidRDefault="009E7BBB">
            <w:pPr>
              <w:spacing w:line="240" w:lineRule="auto"/>
              <w:rPr>
                <w:sz w:val="24"/>
              </w:rPr>
            </w:pPr>
            <w:r>
              <w:rPr>
                <w:sz w:val="24"/>
                <w:rtl/>
              </w:rPr>
              <w:t xml:space="preserve">סעיף 4 </w:t>
            </w:r>
          </w:p>
        </w:tc>
      </w:tr>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4" w:tooltip="פיטורי מוכתרים ומינויים למשרות שנתפנו וכו" w:history="1">
              <w:r>
                <w:rPr>
                  <w:rStyle w:val="Hyperlink"/>
                </w:rPr>
                <w:t>Go</w:t>
              </w:r>
            </w:hyperlink>
          </w:p>
        </w:tc>
        <w:tc>
          <w:tcPr>
            <w:tcW w:w="5669" w:type="dxa"/>
          </w:tcPr>
          <w:p w:rsidR="009E7BBB" w:rsidRDefault="009E7BBB">
            <w:pPr>
              <w:spacing w:line="240" w:lineRule="auto"/>
              <w:rPr>
                <w:sz w:val="24"/>
                <w:rtl/>
              </w:rPr>
            </w:pPr>
            <w:r>
              <w:rPr>
                <w:sz w:val="24"/>
                <w:rtl/>
              </w:rPr>
              <w:t>פיטורי מוכתרים ומינויים למשרות שנתפנו וכו</w:t>
            </w:r>
          </w:p>
        </w:tc>
        <w:tc>
          <w:tcPr>
            <w:tcW w:w="1247" w:type="dxa"/>
          </w:tcPr>
          <w:p w:rsidR="009E7BBB" w:rsidRDefault="009E7BBB">
            <w:pPr>
              <w:spacing w:line="240" w:lineRule="auto"/>
              <w:rPr>
                <w:sz w:val="24"/>
              </w:rPr>
            </w:pPr>
            <w:r>
              <w:rPr>
                <w:sz w:val="24"/>
                <w:rtl/>
              </w:rPr>
              <w:t xml:space="preserve">סעיף 5 </w:t>
            </w:r>
          </w:p>
        </w:tc>
      </w:tr>
      <w:tr w:rsidR="009E7BBB">
        <w:tblPrEx>
          <w:tblCellMar>
            <w:top w:w="0" w:type="dxa"/>
            <w:bottom w:w="0" w:type="dxa"/>
          </w:tblCellMar>
        </w:tblPrEx>
        <w:tc>
          <w:tcPr>
            <w:tcW w:w="850" w:type="dxa"/>
          </w:tcPr>
          <w:p w:rsidR="009E7BBB" w:rsidRDefault="009E7BB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F1A37">
              <w:rPr>
                <w:noProof/>
                <w:sz w:val="24"/>
                <w:rtl/>
              </w:rPr>
              <w:t>2</w:t>
            </w:r>
            <w:r>
              <w:rPr>
                <w:sz w:val="24"/>
                <w:rtl/>
              </w:rPr>
              <w:fldChar w:fldCharType="end"/>
            </w:r>
          </w:p>
        </w:tc>
        <w:tc>
          <w:tcPr>
            <w:tcW w:w="567" w:type="dxa"/>
          </w:tcPr>
          <w:p w:rsidR="009E7BBB" w:rsidRDefault="009E7BBB">
            <w:pPr>
              <w:spacing w:line="240" w:lineRule="auto"/>
              <w:rPr>
                <w:sz w:val="24"/>
              </w:rPr>
            </w:pPr>
            <w:hyperlink w:anchor="Seif5" w:tooltip="הקניית תוקף" w:history="1">
              <w:r>
                <w:rPr>
                  <w:rStyle w:val="Hyperlink"/>
                </w:rPr>
                <w:t>Go</w:t>
              </w:r>
            </w:hyperlink>
          </w:p>
        </w:tc>
        <w:tc>
          <w:tcPr>
            <w:tcW w:w="5669" w:type="dxa"/>
          </w:tcPr>
          <w:p w:rsidR="009E7BBB" w:rsidRDefault="009E7BBB">
            <w:pPr>
              <w:spacing w:line="240" w:lineRule="auto"/>
              <w:rPr>
                <w:sz w:val="24"/>
                <w:rtl/>
              </w:rPr>
            </w:pPr>
            <w:r>
              <w:rPr>
                <w:sz w:val="24"/>
                <w:rtl/>
              </w:rPr>
              <w:t>הקניית תוקף</w:t>
            </w:r>
          </w:p>
        </w:tc>
        <w:tc>
          <w:tcPr>
            <w:tcW w:w="1247" w:type="dxa"/>
          </w:tcPr>
          <w:p w:rsidR="009E7BBB" w:rsidRDefault="009E7BBB">
            <w:pPr>
              <w:spacing w:line="240" w:lineRule="auto"/>
              <w:rPr>
                <w:sz w:val="24"/>
              </w:rPr>
            </w:pPr>
            <w:r>
              <w:rPr>
                <w:sz w:val="24"/>
                <w:rtl/>
              </w:rPr>
              <w:t xml:space="preserve">סעיף 6 </w:t>
            </w:r>
          </w:p>
        </w:tc>
      </w:tr>
    </w:tbl>
    <w:p w:rsidR="009E7BBB" w:rsidRDefault="009E7BBB">
      <w:pPr>
        <w:pStyle w:val="big-header"/>
        <w:ind w:left="0" w:right="1134"/>
        <w:rPr>
          <w:rFonts w:cs="FrankRuehl"/>
          <w:sz w:val="32"/>
          <w:rtl/>
        </w:rPr>
      </w:pPr>
    </w:p>
    <w:p w:rsidR="009E7BBB" w:rsidRDefault="009E7BBB" w:rsidP="00095073">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המוכתרים (מינוי)</w:t>
      </w:r>
      <w:r w:rsidR="00CF1A37">
        <w:rPr>
          <w:rStyle w:val="a6"/>
          <w:rFonts w:cs="FrankRuehl"/>
          <w:sz w:val="32"/>
          <w:rtl/>
        </w:rPr>
        <w:footnoteReference w:customMarkFollows="1" w:id="1"/>
        <w:t>*</w:t>
      </w:r>
    </w:p>
    <w:p w:rsidR="009E7BBB" w:rsidRDefault="009E7BBB">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21 לש' 1942</w:t>
      </w:r>
      <w:r w:rsidR="00CF1A37">
        <w:rPr>
          <w:rStyle w:val="a6"/>
          <w:rFonts w:cs="FrankRuehl"/>
          <w:sz w:val="26"/>
          <w:rtl/>
        </w:rPr>
        <w:footnoteReference w:id="2"/>
      </w:r>
    </w:p>
    <w:p w:rsidR="009E7BBB" w:rsidRDefault="009E7BBB">
      <w:pPr>
        <w:pStyle w:val="header-2"/>
        <w:ind w:left="0" w:right="1134"/>
        <w:rPr>
          <w:rFonts w:cs="Miriam"/>
          <w:rtl/>
        </w:rPr>
      </w:pPr>
      <w:r>
        <w:rPr>
          <w:rFonts w:cs="Miriam"/>
          <w:rtl/>
        </w:rPr>
        <w:t>פק</w:t>
      </w:r>
      <w:r>
        <w:rPr>
          <w:rFonts w:cs="Miriam" w:hint="cs"/>
          <w:rtl/>
        </w:rPr>
        <w:t>ודה הקובעת הוראות בענין מינוי מוכתרים</w:t>
      </w:r>
    </w:p>
    <w:p w:rsidR="009E7BBB" w:rsidRDefault="009E7BBB">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5168"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המוכתרים (מינוי), 1942.</w:t>
      </w:r>
    </w:p>
    <w:p w:rsidR="009E7BBB" w:rsidRDefault="009E7BBB">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8pt;z-index:251656192"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w:t>
      </w:r>
      <w:r w:rsidR="00CF1A37">
        <w:rPr>
          <w:rStyle w:val="default"/>
          <w:rFonts w:cs="FrankRuehl"/>
          <w:rtl/>
        </w:rPr>
        <w:t>–</w:t>
      </w:r>
    </w:p>
    <w:p w:rsidR="009E7BBB" w:rsidRDefault="009E7BB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וכתר" פירושו מוכתר או עוזר למוכתר של כפר (כפי שהוגדר בפקודה זו) או של חלק או של רובע </w:t>
      </w:r>
      <w:r>
        <w:rPr>
          <w:rStyle w:val="default"/>
          <w:rFonts w:cs="FrankRuehl"/>
          <w:rtl/>
        </w:rPr>
        <w:t>הי</w:t>
      </w:r>
      <w:r>
        <w:rPr>
          <w:rStyle w:val="default"/>
          <w:rFonts w:cs="FrankRuehl" w:hint="cs"/>
          <w:rtl/>
        </w:rPr>
        <w:t>מנו;</w:t>
      </w:r>
    </w:p>
    <w:p w:rsidR="009E7BBB" w:rsidRDefault="009E7BBB">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פר" פירושו מקום שהוכרז או שיוכרז להבא ככפר או כיחידת-שבט עפ"י סעיף 11 מדבר המלך במועצה על ארץ ישראל, 1922.</w:t>
      </w:r>
    </w:p>
    <w:p w:rsidR="009E7BBB" w:rsidRDefault="009E7BB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7216"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מי</w:t>
                  </w:r>
                  <w:r>
                    <w:rPr>
                      <w:rFonts w:cs="Miriam" w:hint="cs"/>
                      <w:sz w:val="18"/>
                      <w:szCs w:val="18"/>
                      <w:rtl/>
                    </w:rPr>
                    <w:t>נוי מוכתרים</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אי ממונה על מחוז למנות מוכתר לכל כפר או לכל חלק או רובע הימנו.</w:t>
      </w:r>
    </w:p>
    <w:p w:rsidR="009E7BBB" w:rsidRDefault="009E7BB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pt;z-index:251658240"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סמ</w:t>
                  </w:r>
                  <w:r>
                    <w:rPr>
                      <w:rFonts w:cs="Miriam" w:hint="cs"/>
                      <w:sz w:val="18"/>
                      <w:szCs w:val="18"/>
                      <w:rtl/>
                    </w:rPr>
                    <w:t>כויותיהם וחובותיהם של המוכתרים</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וכת</w:t>
      </w:r>
      <w:r>
        <w:rPr>
          <w:rStyle w:val="default"/>
          <w:rFonts w:cs="FrankRuehl"/>
          <w:rtl/>
        </w:rPr>
        <w:t>ר</w:t>
      </w:r>
      <w:r>
        <w:rPr>
          <w:rStyle w:val="default"/>
          <w:rFonts w:cs="FrankRuehl" w:hint="cs"/>
          <w:rtl/>
        </w:rPr>
        <w:t xml:space="preserve"> ישמש בכל אותן הסמכויות וימלא את כל אותם התפקידים המסורים למ</w:t>
      </w:r>
      <w:r>
        <w:rPr>
          <w:rStyle w:val="default"/>
          <w:rFonts w:cs="FrankRuehl"/>
          <w:rtl/>
        </w:rPr>
        <w:t>וכ</w:t>
      </w:r>
      <w:r>
        <w:rPr>
          <w:rStyle w:val="default"/>
          <w:rFonts w:cs="FrankRuehl" w:hint="cs"/>
          <w:rtl/>
        </w:rPr>
        <w:t>תר לפי המנהג או עפ"י כל פקודה או חוק אחר שיש להם תוקף בזמן מתן התוקף לפקודה זו, וכן את כל אותם הסמכויות והתפקידים שייחדום להבא למוכתר עפ"י כל פקודה או חוק אחר.</w:t>
      </w:r>
    </w:p>
    <w:p w:rsidR="009E7BBB" w:rsidRDefault="009E7BBB" w:rsidP="00CF1A3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59264"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פי</w:t>
                  </w:r>
                  <w:r>
                    <w:rPr>
                      <w:rFonts w:cs="Miriam" w:hint="cs"/>
                      <w:sz w:val="18"/>
                      <w:szCs w:val="18"/>
                      <w:rtl/>
                    </w:rPr>
                    <w:t>טורי מוכתרים ומינויים למשרות שנ</w:t>
                  </w:r>
                  <w:r>
                    <w:rPr>
                      <w:rFonts w:cs="Miriam"/>
                      <w:sz w:val="18"/>
                      <w:szCs w:val="18"/>
                      <w:rtl/>
                    </w:rPr>
                    <w:t>ת</w:t>
                  </w:r>
                  <w:r>
                    <w:rPr>
                      <w:rFonts w:cs="Miriam" w:hint="cs"/>
                      <w:sz w:val="18"/>
                      <w:szCs w:val="18"/>
                      <w:rtl/>
                    </w:rPr>
                    <w:t>פנו וכו'</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וכתר צפוי להיות מפוטר ע"י הממונה על המחוז מחמת</w:t>
      </w:r>
      <w:r>
        <w:rPr>
          <w:rStyle w:val="default"/>
          <w:rFonts w:cs="FrankRuehl"/>
          <w:rtl/>
        </w:rPr>
        <w:t xml:space="preserve"> ה</w:t>
      </w:r>
      <w:r>
        <w:rPr>
          <w:rStyle w:val="default"/>
          <w:rFonts w:cs="FrankRuehl" w:hint="cs"/>
          <w:rtl/>
        </w:rPr>
        <w:t xml:space="preserve">תנהגות רעה או מחמת הזנחת תפקידיו או </w:t>
      </w:r>
      <w:r>
        <w:rPr>
          <w:rStyle w:val="default"/>
          <w:rFonts w:cs="FrankRuehl"/>
          <w:rtl/>
        </w:rPr>
        <w:t>מח</w:t>
      </w:r>
      <w:r>
        <w:rPr>
          <w:rStyle w:val="default"/>
          <w:rFonts w:cs="FrankRuehl" w:hint="cs"/>
          <w:rtl/>
        </w:rPr>
        <w:t>מת כל סיבה מספקת אחרת, ואם מת מוכתר או נעשה פסול או נטול יכולת למלא את תפקידיו או שהתפטר או פוטר, רשאי הממונה על המחוז למנות מיד אדם אחר כמוכתר.</w:t>
      </w:r>
    </w:p>
    <w:p w:rsidR="009E7BBB" w:rsidRDefault="009E7BBB">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העדרו של מוכתר באופן זמני מכפרו ימלא את תפקידיו אותו אדם שיתמנה ע"י אותו מוכתר, אלא אם כן יצווה הממונה </w:t>
      </w:r>
      <w:r>
        <w:rPr>
          <w:rStyle w:val="default"/>
          <w:rFonts w:cs="FrankRuehl"/>
          <w:rtl/>
        </w:rPr>
        <w:t>על</w:t>
      </w:r>
      <w:r>
        <w:rPr>
          <w:rStyle w:val="default"/>
          <w:rFonts w:cs="FrankRuehl" w:hint="cs"/>
          <w:rtl/>
        </w:rPr>
        <w:t xml:space="preserve"> המחוז או פקיד המחוז אחרת.</w:t>
      </w:r>
    </w:p>
    <w:p w:rsidR="009E7BBB" w:rsidRDefault="009E7BBB" w:rsidP="00CF1A3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וכתר רשאי להתפטר ממשרתו בהסכמתו של הממונה על</w:t>
      </w:r>
      <w:r>
        <w:rPr>
          <w:rStyle w:val="default"/>
          <w:rFonts w:cs="FrankRuehl"/>
          <w:rtl/>
        </w:rPr>
        <w:t xml:space="preserve"> ה</w:t>
      </w:r>
      <w:r>
        <w:rPr>
          <w:rStyle w:val="default"/>
          <w:rFonts w:cs="FrankRuehl" w:hint="cs"/>
          <w:rtl/>
        </w:rPr>
        <w:t>מחוז.</w:t>
      </w:r>
    </w:p>
    <w:p w:rsidR="009E7BBB" w:rsidRDefault="009E7BB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60288" o:allowincell="f" filled="f" stroked="f" strokecolor="lime" strokeweight=".25pt">
            <v:textbox inset="0,0,0,0">
              <w:txbxContent>
                <w:p w:rsidR="009E7BBB" w:rsidRDefault="009E7BBB">
                  <w:pPr>
                    <w:spacing w:line="160" w:lineRule="exact"/>
                    <w:jc w:val="left"/>
                    <w:rPr>
                      <w:rFonts w:cs="Miriam"/>
                      <w:noProof/>
                      <w:sz w:val="18"/>
                      <w:szCs w:val="18"/>
                      <w:rtl/>
                    </w:rPr>
                  </w:pPr>
                  <w:r>
                    <w:rPr>
                      <w:rFonts w:cs="Miriam"/>
                      <w:sz w:val="18"/>
                      <w:szCs w:val="18"/>
                      <w:rtl/>
                    </w:rPr>
                    <w:t>הק</w:t>
                  </w:r>
                  <w:r>
                    <w:rPr>
                      <w:rFonts w:cs="Miriam" w:hint="cs"/>
                      <w:sz w:val="18"/>
                      <w:szCs w:val="18"/>
                      <w:rtl/>
                    </w:rPr>
                    <w:t>ניית תוקף</w:t>
                  </w:r>
                </w:p>
              </w:txbxContent>
            </v:textbox>
            <w10:anchorlock/>
          </v:rect>
        </w:pict>
      </w:r>
      <w:r>
        <w:rPr>
          <w:rStyle w:val="big-number"/>
          <w:rFonts w:cs="Miriam"/>
          <w:rtl/>
        </w:rPr>
        <w:t>6.</w:t>
      </w:r>
      <w:r>
        <w:rPr>
          <w:rStyle w:val="big-number"/>
          <w:rFonts w:cs="Miriam"/>
          <w:rtl/>
        </w:rPr>
        <w:tab/>
      </w:r>
      <w:r>
        <w:rPr>
          <w:rStyle w:val="default"/>
          <w:rFonts w:cs="FrankRuehl"/>
          <w:rtl/>
        </w:rPr>
        <w:t>אם</w:t>
      </w:r>
      <w:r>
        <w:rPr>
          <w:rStyle w:val="default"/>
          <w:rFonts w:cs="FrankRuehl" w:hint="cs"/>
          <w:rtl/>
        </w:rPr>
        <w:t xml:space="preserve"> לאחר ה-1 ביולי, 1920, ולפני תחילת התוקף של פקודה זו נתמנה אדם כמוכתר ע"י מושל מחוז או ע"י פקיד מחוז, רואים מינוי זה כאילו נעשה כחוק ואם השתמש מוכתר בכל סמכות או מילא כל תפקיד שנמסרו לו עפ"י כל חוק או מנהג או </w:t>
      </w:r>
      <w:r>
        <w:rPr>
          <w:rStyle w:val="default"/>
          <w:rFonts w:cs="FrankRuehl"/>
          <w:rtl/>
        </w:rPr>
        <w:t>אם</w:t>
      </w:r>
      <w:r>
        <w:rPr>
          <w:rStyle w:val="default"/>
          <w:rFonts w:cs="FrankRuehl" w:hint="cs"/>
          <w:rtl/>
        </w:rPr>
        <w:t xml:space="preserve"> נראה כאילו שימש באותה סמכות או מילא אותו תפקיד, רואים את השימוש בסמכות ואת מילוי התפקיד כחוקיים, כאילו היה לפקודה זו תוקף ביום 1 ביול</w:t>
      </w:r>
      <w:r>
        <w:rPr>
          <w:rStyle w:val="default"/>
          <w:rFonts w:cs="FrankRuehl"/>
          <w:rtl/>
        </w:rPr>
        <w:t>י</w:t>
      </w:r>
      <w:r>
        <w:rPr>
          <w:rStyle w:val="default"/>
          <w:rFonts w:cs="FrankRuehl" w:hint="cs"/>
          <w:rtl/>
        </w:rPr>
        <w:t xml:space="preserve"> 1920.</w:t>
      </w:r>
    </w:p>
    <w:p w:rsidR="009E7BBB" w:rsidRDefault="009E7BBB">
      <w:pPr>
        <w:pStyle w:val="P00"/>
        <w:spacing w:before="72"/>
        <w:ind w:left="0" w:right="1134"/>
        <w:rPr>
          <w:rStyle w:val="default"/>
          <w:rFonts w:cs="FrankRuehl"/>
          <w:rtl/>
        </w:rPr>
      </w:pPr>
    </w:p>
    <w:p w:rsidR="009E7BBB" w:rsidRDefault="009E7BBB">
      <w:pPr>
        <w:pStyle w:val="P00"/>
        <w:spacing w:before="72"/>
        <w:ind w:left="0" w:right="1134"/>
        <w:rPr>
          <w:rStyle w:val="default"/>
          <w:rFonts w:cs="FrankRuehl"/>
          <w:rtl/>
        </w:rPr>
      </w:pPr>
    </w:p>
    <w:p w:rsidR="009E7BBB" w:rsidRDefault="009E7BBB">
      <w:pPr>
        <w:pStyle w:val="P00"/>
        <w:spacing w:before="72"/>
        <w:ind w:left="0" w:right="1134"/>
        <w:rPr>
          <w:rStyle w:val="default"/>
          <w:rFonts w:cs="FrankRuehl"/>
          <w:rtl/>
        </w:rPr>
      </w:pPr>
    </w:p>
    <w:p w:rsidR="009E7BBB" w:rsidRDefault="009E7BBB">
      <w:pPr>
        <w:ind w:right="1134"/>
        <w:rPr>
          <w:rFonts w:cs="David"/>
          <w:sz w:val="24"/>
          <w:rtl/>
        </w:rPr>
      </w:pPr>
    </w:p>
    <w:sectPr w:rsidR="009E7BB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7C2E" w:rsidRDefault="00ED7C2E">
      <w:r>
        <w:separator/>
      </w:r>
    </w:p>
  </w:endnote>
  <w:endnote w:type="continuationSeparator" w:id="0">
    <w:p w:rsidR="00ED7C2E" w:rsidRDefault="00ED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BBB" w:rsidRDefault="009E7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7BBB" w:rsidRDefault="009E7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E7BBB" w:rsidRDefault="009E7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1A37">
      <w:rPr>
        <w:rFonts w:cs="TopType Jerushalmi"/>
        <w:noProof/>
        <w:color w:val="000000"/>
        <w:sz w:val="14"/>
        <w:szCs w:val="14"/>
      </w:rPr>
      <w:t>D:\Yael\hakika</w:t>
    </w:r>
    <w:r w:rsidR="00CF1A37" w:rsidRPr="00CF1A37">
      <w:rPr>
        <w:rFonts w:cs="TopType Jerushalmi"/>
        <w:noProof/>
        <w:color w:val="000000"/>
        <w:sz w:val="14"/>
        <w:szCs w:val="14"/>
        <w:rtl/>
      </w:rPr>
      <w:t>\חוקי</w:t>
    </w:r>
    <w:r w:rsidR="00CF1A37">
      <w:rPr>
        <w:noProof/>
        <w:color w:val="000000"/>
        <w:sz w:val="14"/>
        <w:szCs w:val="14"/>
        <w:rtl/>
      </w:rPr>
      <w:t xml:space="preserve"> ארץ ישראל\106_003.</w:t>
    </w:r>
    <w:r w:rsidR="00CF1A37">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BBB" w:rsidRDefault="009E7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1A37">
      <w:rPr>
        <w:rFonts w:hAnsi="FrankRuehl" w:cs="FrankRuehl"/>
        <w:noProof/>
        <w:sz w:val="24"/>
        <w:szCs w:val="24"/>
        <w:rtl/>
      </w:rPr>
      <w:t>2</w:t>
    </w:r>
    <w:r>
      <w:rPr>
        <w:rFonts w:hAnsi="FrankRuehl" w:cs="FrankRuehl"/>
        <w:sz w:val="24"/>
        <w:szCs w:val="24"/>
        <w:rtl/>
      </w:rPr>
      <w:fldChar w:fldCharType="end"/>
    </w:r>
  </w:p>
  <w:p w:rsidR="009E7BBB" w:rsidRDefault="009E7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E7BBB" w:rsidRDefault="009E7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1A37">
      <w:rPr>
        <w:rFonts w:cs="TopType Jerushalmi"/>
        <w:noProof/>
        <w:color w:val="000000"/>
        <w:sz w:val="14"/>
        <w:szCs w:val="14"/>
      </w:rPr>
      <w:t>D:\Yael\hakika</w:t>
    </w:r>
    <w:r w:rsidR="00CF1A37" w:rsidRPr="00CF1A37">
      <w:rPr>
        <w:rFonts w:cs="TopType Jerushalmi"/>
        <w:noProof/>
        <w:color w:val="000000"/>
        <w:sz w:val="14"/>
        <w:szCs w:val="14"/>
        <w:rtl/>
      </w:rPr>
      <w:t>\חוקי</w:t>
    </w:r>
    <w:r w:rsidR="00CF1A37">
      <w:rPr>
        <w:noProof/>
        <w:color w:val="000000"/>
        <w:sz w:val="14"/>
        <w:szCs w:val="14"/>
        <w:rtl/>
      </w:rPr>
      <w:t xml:space="preserve"> ארץ ישראל\106_003.</w:t>
    </w:r>
    <w:r w:rsidR="00CF1A37">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7C2E" w:rsidRDefault="00ED7C2E" w:rsidP="00CF1A37">
      <w:pPr>
        <w:spacing w:before="60" w:line="240" w:lineRule="auto"/>
        <w:ind w:right="1134"/>
      </w:pPr>
      <w:r>
        <w:separator/>
      </w:r>
    </w:p>
  </w:footnote>
  <w:footnote w:type="continuationSeparator" w:id="0">
    <w:p w:rsidR="00ED7C2E" w:rsidRDefault="00ED7C2E" w:rsidP="00CF1A37">
      <w:pPr>
        <w:spacing w:before="60" w:line="240" w:lineRule="auto"/>
        <w:ind w:right="1134"/>
      </w:pPr>
      <w:r>
        <w:separator/>
      </w:r>
    </w:p>
  </w:footnote>
  <w:footnote w:id="1">
    <w:p w:rsidR="00CF1A37" w:rsidRPr="00CF1A37" w:rsidRDefault="00CF1A37" w:rsidP="00CF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F1A37">
        <w:rPr>
          <w:rFonts w:cs="FrankRuehl"/>
          <w:rtl/>
        </w:rPr>
        <w:t xml:space="preserve">* </w:t>
      </w:r>
      <w:r>
        <w:rPr>
          <w:rFonts w:cs="FrankRuehl"/>
          <w:rtl/>
        </w:rPr>
        <w:t>פו</w:t>
      </w:r>
      <w:r>
        <w:rPr>
          <w:rFonts w:cs="FrankRuehl" w:hint="cs"/>
          <w:rtl/>
        </w:rPr>
        <w:t xml:space="preserve">רסמה </w:t>
      </w:r>
      <w:hyperlink r:id="rId1" w:history="1">
        <w:r w:rsidRPr="00CF1A37">
          <w:rPr>
            <w:rStyle w:val="Hyperlink"/>
            <w:rFonts w:cs="FrankRuehl" w:hint="cs"/>
            <w:rtl/>
          </w:rPr>
          <w:t>ע"ר מס' 1204</w:t>
        </w:r>
      </w:hyperlink>
      <w:r>
        <w:rPr>
          <w:rFonts w:cs="FrankRuehl" w:hint="cs"/>
          <w:rtl/>
        </w:rPr>
        <w:t xml:space="preserve"> מיום 25.6.1942, תוס' 1, עמ' (ע) 57, (א) 75.</w:t>
      </w:r>
    </w:p>
  </w:footnote>
  <w:footnote w:id="2">
    <w:p w:rsidR="00CF1A37" w:rsidRDefault="00CF1A37" w:rsidP="00CF1A37">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sidRPr="00CF1A37">
        <w:rPr>
          <w:rFonts w:cs="FrankRuehl" w:hint="cs"/>
          <w:rtl/>
        </w:rPr>
        <w:t>סמכויות הנציב העליון לפי פקודה זו הועברו לשר הפנים</w:t>
      </w:r>
      <w:r>
        <w:rPr>
          <w:rFonts w:cs="FrankRuehl" w:hint="cs"/>
          <w:rtl/>
        </w:rPr>
        <w:t>:</w:t>
      </w:r>
      <w:r w:rsidRPr="00CF1A37">
        <w:rPr>
          <w:rFonts w:cs="FrankRuehl" w:hint="cs"/>
          <w:rtl/>
        </w:rPr>
        <w:t xml:space="preserve"> </w:t>
      </w:r>
      <w:hyperlink r:id="rId2" w:history="1">
        <w:r w:rsidRPr="00CF1A37">
          <w:rPr>
            <w:rStyle w:val="Hyperlink"/>
            <w:rFonts w:cs="FrankRuehl"/>
            <w:rtl/>
          </w:rPr>
          <w:t>ע</w:t>
        </w:r>
        <w:r w:rsidRPr="00CF1A37">
          <w:rPr>
            <w:rStyle w:val="Hyperlink"/>
            <w:rFonts w:cs="FrankRuehl" w:hint="cs"/>
            <w:rtl/>
          </w:rPr>
          <w:t>"ר תש"ח מס' 5</w:t>
        </w:r>
      </w:hyperlink>
      <w:r w:rsidRPr="00CF1A37">
        <w:rPr>
          <w:rFonts w:cs="FrankRuehl" w:hint="cs"/>
          <w:rtl/>
        </w:rPr>
        <w:t xml:space="preserve"> מיום 16.6.</w:t>
      </w:r>
      <w:r w:rsidRPr="00CF1A37">
        <w:rPr>
          <w:rFonts w:cs="FrankRuehl"/>
          <w:rtl/>
        </w:rPr>
        <w:t>19</w:t>
      </w:r>
      <w:r>
        <w:rPr>
          <w:rFonts w:cs="FrankRuehl"/>
          <w:rtl/>
        </w:rPr>
        <w:t>48</w:t>
      </w:r>
      <w:r w:rsidRPr="00CF1A37">
        <w:rPr>
          <w:rFonts w:cs="FrankRuehl"/>
          <w:rtl/>
        </w:rPr>
        <w:t xml:space="preserve"> ע</w:t>
      </w:r>
      <w:r w:rsidRPr="00CF1A37">
        <w:rPr>
          <w:rFonts w:cs="FrankRuehl" w:hint="cs"/>
          <w:rtl/>
        </w:rPr>
        <w:t>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BBB" w:rsidRDefault="009E7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המוכתרים</w:t>
    </w:r>
  </w:p>
  <w:p w:rsidR="009E7BBB" w:rsidRDefault="009E7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7BBB" w:rsidRDefault="009E7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BBB" w:rsidRDefault="009E7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המוכתרים</w:t>
    </w:r>
  </w:p>
  <w:p w:rsidR="009E7BBB" w:rsidRDefault="009E7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7BBB" w:rsidRDefault="009E7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073"/>
    <w:rsid w:val="00095073"/>
    <w:rsid w:val="00951060"/>
    <w:rsid w:val="009E7BBB"/>
    <w:rsid w:val="00CF1A37"/>
    <w:rsid w:val="00ED7C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95D64EA-1164-4072-8D6B-017A30D3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F1A37"/>
    <w:rPr>
      <w:sz w:val="20"/>
      <w:szCs w:val="20"/>
    </w:rPr>
  </w:style>
  <w:style w:type="character" w:styleId="a6">
    <w:name w:val="footnote reference"/>
    <w:basedOn w:val="a0"/>
    <w:semiHidden/>
    <w:rsid w:val="00CF1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html/law12/er-005.pdf" TargetMode="External"/><Relationship Id="rId1" Type="http://schemas.openxmlformats.org/officeDocument/2006/relationships/hyperlink" Target="http://www.nevo.co.il/Law_word/law55/er-12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פרק 106</vt:lpstr>
    </vt:vector>
  </TitlesOfParts>
  <Company/>
  <LinksUpToDate>false</LinksUpToDate>
  <CharactersWithSpaces>2156</CharactersWithSpaces>
  <SharedDoc>false</SharedDoc>
  <HLinks>
    <vt:vector size="48"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589874</vt:i4>
      </vt:variant>
      <vt:variant>
        <vt:i4>3</vt:i4>
      </vt:variant>
      <vt:variant>
        <vt:i4>0</vt:i4>
      </vt:variant>
      <vt:variant>
        <vt:i4>5</vt:i4>
      </vt:variant>
      <vt:variant>
        <vt:lpwstr>http://www.nevo.co.il/law_html/law12/er-005.pdf</vt:lpwstr>
      </vt:variant>
      <vt:variant>
        <vt:lpwstr/>
      </vt:variant>
      <vt:variant>
        <vt:i4>7798792</vt:i4>
      </vt:variant>
      <vt:variant>
        <vt:i4>0</vt:i4>
      </vt:variant>
      <vt:variant>
        <vt:i4>0</vt:i4>
      </vt:variant>
      <vt:variant>
        <vt:i4>5</vt:i4>
      </vt:variant>
      <vt:variant>
        <vt:lpwstr>http://www.nevo.co.il/Law_word/law55/er-1204.pdf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106</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0106</vt:lpwstr>
  </property>
  <property fmtid="{D5CDD505-2E9C-101B-9397-08002B2CF9AE}" pid="3" name="CHNAME">
    <vt:lpwstr>הנהלת כפרים</vt:lpwstr>
  </property>
  <property fmtid="{D5CDD505-2E9C-101B-9397-08002B2CF9AE}" pid="4" name="LAWNAME">
    <vt:lpwstr>פקודת המוכתרים</vt:lpwstr>
  </property>
  <property fmtid="{D5CDD505-2E9C-101B-9397-08002B2CF9AE}" pid="5" name="LAWNUMBER">
    <vt:lpwstr>0003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כפרים והנהלתם</vt:lpwstr>
  </property>
  <property fmtid="{D5CDD505-2E9C-101B-9397-08002B2CF9AE}" pid="10" name="NOSE41">
    <vt:lpwstr>מוכתרים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