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77EF0" w14:textId="77777777" w:rsidR="0078056E" w:rsidRDefault="0078056E">
      <w:pPr>
        <w:pStyle w:val="big-header"/>
        <w:ind w:left="0" w:right="1134"/>
        <w:rPr>
          <w:rFonts w:cs="FrankRuehl"/>
          <w:sz w:val="32"/>
        </w:rPr>
      </w:pPr>
      <w:r>
        <w:rPr>
          <w:rFonts w:cs="FrankRuehl"/>
          <w:sz w:val="32"/>
          <w:rtl/>
        </w:rPr>
        <w:t>פקודת הנזיקין הנגרמים על ידי ספינות בניווט</w:t>
      </w:r>
    </w:p>
    <w:p w14:paraId="07BDB633" w14:textId="77777777" w:rsidR="008C1E7F" w:rsidRPr="008C1E7F" w:rsidRDefault="008C1E7F" w:rsidP="008C1E7F">
      <w:pPr>
        <w:spacing w:line="320" w:lineRule="auto"/>
        <w:jc w:val="left"/>
        <w:rPr>
          <w:rFonts w:cs="FrankRuehl"/>
          <w:szCs w:val="26"/>
          <w:rtl/>
        </w:rPr>
      </w:pPr>
    </w:p>
    <w:p w14:paraId="1403837E" w14:textId="77777777" w:rsidR="008C1E7F" w:rsidRDefault="008C1E7F" w:rsidP="008C1E7F">
      <w:pPr>
        <w:spacing w:line="320" w:lineRule="auto"/>
        <w:jc w:val="left"/>
        <w:rPr>
          <w:rtl/>
        </w:rPr>
      </w:pPr>
    </w:p>
    <w:p w14:paraId="65D83EC1" w14:textId="77777777" w:rsidR="008C1E7F" w:rsidRDefault="008C1E7F" w:rsidP="008C1E7F">
      <w:pPr>
        <w:spacing w:line="320" w:lineRule="auto"/>
        <w:jc w:val="left"/>
        <w:rPr>
          <w:rFonts w:cs="FrankRuehl"/>
          <w:szCs w:val="26"/>
          <w:rtl/>
        </w:rPr>
      </w:pPr>
      <w:r w:rsidRPr="008C1E7F">
        <w:rPr>
          <w:rFonts w:cs="Miriam"/>
          <w:szCs w:val="22"/>
          <w:rtl/>
        </w:rPr>
        <w:t>משפט פרטי וכלכלה</w:t>
      </w:r>
      <w:r w:rsidRPr="008C1E7F">
        <w:rPr>
          <w:rFonts w:cs="FrankRuehl"/>
          <w:szCs w:val="26"/>
          <w:rtl/>
        </w:rPr>
        <w:t xml:space="preserve"> – חיובים – נזיקין</w:t>
      </w:r>
    </w:p>
    <w:p w14:paraId="33EC64FB" w14:textId="77777777" w:rsidR="008C1E7F" w:rsidRPr="008C1E7F" w:rsidRDefault="008C1E7F" w:rsidP="008C1E7F">
      <w:pPr>
        <w:spacing w:line="320" w:lineRule="auto"/>
        <w:jc w:val="left"/>
        <w:rPr>
          <w:rFonts w:cs="Miriam"/>
          <w:szCs w:val="22"/>
          <w:rtl/>
        </w:rPr>
      </w:pPr>
      <w:r w:rsidRPr="008C1E7F">
        <w:rPr>
          <w:rFonts w:cs="Miriam"/>
          <w:szCs w:val="22"/>
          <w:rtl/>
        </w:rPr>
        <w:t>רשויות ומשפט מנהלי</w:t>
      </w:r>
      <w:r w:rsidRPr="008C1E7F">
        <w:rPr>
          <w:rFonts w:cs="FrankRuehl"/>
          <w:szCs w:val="26"/>
          <w:rtl/>
        </w:rPr>
        <w:t xml:space="preserve"> – תשתיות – ספנות ונמלים – כלי שיט</w:t>
      </w:r>
    </w:p>
    <w:p w14:paraId="0EEAB61F" w14:textId="77777777" w:rsidR="0078056E" w:rsidRDefault="0078056E">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8056E" w14:paraId="367366AA" w14:textId="77777777">
        <w:tblPrEx>
          <w:tblCellMar>
            <w:top w:w="0" w:type="dxa"/>
            <w:bottom w:w="0" w:type="dxa"/>
          </w:tblCellMar>
        </w:tblPrEx>
        <w:tc>
          <w:tcPr>
            <w:tcW w:w="850" w:type="dxa"/>
          </w:tcPr>
          <w:p w14:paraId="5D597AEF" w14:textId="77777777" w:rsidR="0078056E" w:rsidRDefault="0078056E">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CCDFB17" w14:textId="77777777" w:rsidR="0078056E" w:rsidRDefault="0078056E">
            <w:pPr>
              <w:spacing w:line="240" w:lineRule="auto"/>
              <w:rPr>
                <w:sz w:val="24"/>
              </w:rPr>
            </w:pPr>
            <w:hyperlink w:anchor="Seif0" w:tooltip="השם הקצר" w:history="1">
              <w:r>
                <w:rPr>
                  <w:rStyle w:val="Hyperlink"/>
                </w:rPr>
                <w:t>Go</w:t>
              </w:r>
            </w:hyperlink>
          </w:p>
        </w:tc>
        <w:tc>
          <w:tcPr>
            <w:tcW w:w="5669" w:type="dxa"/>
          </w:tcPr>
          <w:p w14:paraId="15267A26" w14:textId="77777777" w:rsidR="0078056E" w:rsidRDefault="0078056E">
            <w:pPr>
              <w:spacing w:line="240" w:lineRule="auto"/>
              <w:rPr>
                <w:sz w:val="24"/>
                <w:rtl/>
              </w:rPr>
            </w:pPr>
            <w:r>
              <w:rPr>
                <w:sz w:val="24"/>
                <w:rtl/>
              </w:rPr>
              <w:t>השם הקצר</w:t>
            </w:r>
          </w:p>
        </w:tc>
        <w:tc>
          <w:tcPr>
            <w:tcW w:w="1247" w:type="dxa"/>
          </w:tcPr>
          <w:p w14:paraId="0028C0A7" w14:textId="77777777" w:rsidR="0078056E" w:rsidRDefault="0078056E">
            <w:pPr>
              <w:spacing w:line="240" w:lineRule="auto"/>
              <w:rPr>
                <w:sz w:val="24"/>
              </w:rPr>
            </w:pPr>
            <w:r>
              <w:rPr>
                <w:sz w:val="24"/>
                <w:rtl/>
              </w:rPr>
              <w:t xml:space="preserve">סעיף 1 </w:t>
            </w:r>
          </w:p>
        </w:tc>
      </w:tr>
      <w:tr w:rsidR="0078056E" w14:paraId="6F7D6883" w14:textId="77777777">
        <w:tblPrEx>
          <w:tblCellMar>
            <w:top w:w="0" w:type="dxa"/>
            <w:bottom w:w="0" w:type="dxa"/>
          </w:tblCellMar>
        </w:tblPrEx>
        <w:tc>
          <w:tcPr>
            <w:tcW w:w="850" w:type="dxa"/>
          </w:tcPr>
          <w:p w14:paraId="043650BE" w14:textId="77777777" w:rsidR="0078056E" w:rsidRDefault="0078056E">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2C447BD" w14:textId="77777777" w:rsidR="0078056E" w:rsidRDefault="0078056E">
            <w:pPr>
              <w:spacing w:line="240" w:lineRule="auto"/>
              <w:rPr>
                <w:sz w:val="24"/>
              </w:rPr>
            </w:pPr>
            <w:hyperlink w:anchor="Seif1" w:tooltip="אחריות בעליה או רב חובלה של ספינה בניווט לנזק שנגרם על ידה" w:history="1">
              <w:r>
                <w:rPr>
                  <w:rStyle w:val="Hyperlink"/>
                </w:rPr>
                <w:t>Go</w:t>
              </w:r>
            </w:hyperlink>
          </w:p>
        </w:tc>
        <w:tc>
          <w:tcPr>
            <w:tcW w:w="5669" w:type="dxa"/>
          </w:tcPr>
          <w:p w14:paraId="2F00F8C6" w14:textId="77777777" w:rsidR="0078056E" w:rsidRDefault="0078056E">
            <w:pPr>
              <w:spacing w:line="240" w:lineRule="auto"/>
              <w:rPr>
                <w:sz w:val="24"/>
                <w:rtl/>
              </w:rPr>
            </w:pPr>
            <w:r>
              <w:rPr>
                <w:sz w:val="24"/>
                <w:rtl/>
              </w:rPr>
              <w:t>אחריות בעליה או רב חובלה של ספינה בניווט לנזק שנגרם על ידה</w:t>
            </w:r>
          </w:p>
        </w:tc>
        <w:tc>
          <w:tcPr>
            <w:tcW w:w="1247" w:type="dxa"/>
          </w:tcPr>
          <w:p w14:paraId="535498F9" w14:textId="77777777" w:rsidR="0078056E" w:rsidRDefault="0078056E">
            <w:pPr>
              <w:spacing w:line="240" w:lineRule="auto"/>
              <w:rPr>
                <w:sz w:val="24"/>
              </w:rPr>
            </w:pPr>
            <w:r>
              <w:rPr>
                <w:sz w:val="24"/>
                <w:rtl/>
              </w:rPr>
              <w:t xml:space="preserve">סעיף 2 </w:t>
            </w:r>
          </w:p>
        </w:tc>
      </w:tr>
    </w:tbl>
    <w:p w14:paraId="391F648C" w14:textId="77777777" w:rsidR="0078056E" w:rsidRDefault="0078056E">
      <w:pPr>
        <w:pStyle w:val="big-header"/>
        <w:ind w:left="0" w:right="1134"/>
        <w:rPr>
          <w:rFonts w:cs="FrankRuehl"/>
          <w:sz w:val="32"/>
          <w:rtl/>
        </w:rPr>
      </w:pPr>
    </w:p>
    <w:p w14:paraId="04612B8D" w14:textId="77777777" w:rsidR="0078056E" w:rsidRDefault="0078056E" w:rsidP="008C1E7F">
      <w:pPr>
        <w:pStyle w:val="big-header"/>
        <w:ind w:left="0" w:right="1134"/>
        <w:rPr>
          <w:rFonts w:cs="FrankRuehl"/>
          <w:sz w:val="32"/>
          <w:rtl/>
        </w:rPr>
      </w:pPr>
      <w:r>
        <w:rPr>
          <w:rtl/>
        </w:rPr>
        <w:br w:type="page"/>
      </w:r>
      <w:r>
        <w:rPr>
          <w:rFonts w:cs="FrankRuehl"/>
          <w:sz w:val="32"/>
          <w:rtl/>
        </w:rPr>
        <w:lastRenderedPageBreak/>
        <w:t>פק</w:t>
      </w:r>
      <w:r>
        <w:rPr>
          <w:rFonts w:cs="FrankRuehl" w:hint="cs"/>
          <w:sz w:val="32"/>
          <w:rtl/>
        </w:rPr>
        <w:t>ודת הנזיקין הנגרמים על ידי ספינות בניווט</w:t>
      </w:r>
    </w:p>
    <w:p w14:paraId="1ED067CA" w14:textId="77777777" w:rsidR="0078056E" w:rsidRDefault="0078056E">
      <w:pPr>
        <w:pStyle w:val="medium-header"/>
        <w:keepNext w:val="0"/>
        <w:keepLines w:val="0"/>
        <w:ind w:left="0" w:right="1134"/>
        <w:rPr>
          <w:rStyle w:val="default"/>
          <w:rFonts w:cs="FrankRuehl"/>
          <w:rtl/>
        </w:rPr>
      </w:pPr>
      <w:r>
        <w:rPr>
          <w:rFonts w:cs="FrankRuehl"/>
          <w:sz w:val="26"/>
          <w:rtl/>
        </w:rPr>
        <w:t>מס</w:t>
      </w:r>
      <w:r>
        <w:rPr>
          <w:rFonts w:cs="FrankRuehl" w:hint="cs"/>
          <w:sz w:val="26"/>
          <w:rtl/>
        </w:rPr>
        <w:t>' 11 לש' 1939</w:t>
      </w:r>
      <w:r>
        <w:rPr>
          <w:rStyle w:val="super"/>
          <w:rFonts w:cs="Miriam"/>
          <w:noProof w:val="0"/>
          <w:rtl/>
          <w:lang w:eastAsia="he-IL"/>
        </w:rPr>
        <w:t>(5)</w:t>
      </w:r>
    </w:p>
    <w:p w14:paraId="3C2A6043" w14:textId="77777777" w:rsidR="0078056E" w:rsidRDefault="0078056E">
      <w:pPr>
        <w:pStyle w:val="header-2"/>
        <w:ind w:left="0" w:right="1134"/>
        <w:rPr>
          <w:rFonts w:cs="Miriam"/>
          <w:rtl/>
        </w:rPr>
      </w:pPr>
      <w:r>
        <w:rPr>
          <w:rFonts w:cs="Miriam"/>
          <w:rtl/>
        </w:rPr>
        <w:t>פק</w:t>
      </w:r>
      <w:r>
        <w:rPr>
          <w:rFonts w:cs="Miriam" w:hint="cs"/>
          <w:rtl/>
        </w:rPr>
        <w:t>ודה המטילה על בעלי ספינות ורבי החובל שלהן אחריות לנזק הנגרם כתוצאה מהילוכן בים בניווט</w:t>
      </w:r>
    </w:p>
    <w:p w14:paraId="40BBC6CD" w14:textId="77777777" w:rsidR="0078056E" w:rsidRDefault="0078056E">
      <w:pPr>
        <w:pStyle w:val="P00"/>
        <w:spacing w:before="72"/>
        <w:ind w:left="0" w:right="1134"/>
        <w:rPr>
          <w:rStyle w:val="default"/>
          <w:rFonts w:cs="FrankRuehl"/>
          <w:rtl/>
        </w:rPr>
      </w:pPr>
      <w:bookmarkStart w:id="0" w:name="Seif0"/>
      <w:bookmarkEnd w:id="0"/>
      <w:r>
        <w:rPr>
          <w:lang w:val="he-IL"/>
        </w:rPr>
        <w:pict w14:anchorId="1A818152">
          <v:rect id="_x0000_s1026" style="position:absolute;left:0;text-align:left;margin-left:464.5pt;margin-top:8.05pt;width:75.05pt;height:8pt;z-index:251657216" o:allowincell="f" filled="f" stroked="f" strokecolor="lime" strokeweight=".25pt">
            <v:textbox style="mso-next-textbox:#_x0000_s1026" inset="0,0,0,0">
              <w:txbxContent>
                <w:p w14:paraId="3BA2B0BD" w14:textId="77777777" w:rsidR="0078056E" w:rsidRDefault="0078056E">
                  <w:pPr>
                    <w:spacing w:line="160" w:lineRule="exact"/>
                    <w:jc w:val="left"/>
                    <w:rPr>
                      <w:rFonts w:cs="Miriam"/>
                      <w:noProof/>
                      <w:sz w:val="18"/>
                      <w:szCs w:val="18"/>
                      <w:rtl/>
                    </w:rPr>
                  </w:pPr>
                  <w:r>
                    <w:rPr>
                      <w:rFonts w:cs="Miriam"/>
                      <w:sz w:val="18"/>
                      <w:szCs w:val="18"/>
                      <w:rtl/>
                    </w:rPr>
                    <w:t>הש</w:t>
                  </w:r>
                  <w:r>
                    <w:rPr>
                      <w:rFonts w:cs="Miriam" w:hint="cs"/>
                      <w:sz w:val="18"/>
                      <w:szCs w:val="18"/>
                      <w:rtl/>
                    </w:rPr>
                    <w:t>ם הקצר</w:t>
                  </w:r>
                </w:p>
              </w:txbxContent>
            </v:textbox>
            <w10:anchorlock/>
          </v:rect>
        </w:pict>
      </w:r>
      <w:r>
        <w:rPr>
          <w:rStyle w:val="big-number"/>
          <w:rFonts w:cs="Miriam"/>
          <w:rtl/>
        </w:rPr>
        <w:t>1.</w:t>
      </w:r>
      <w:r>
        <w:rPr>
          <w:rStyle w:val="big-number"/>
          <w:rFonts w:cs="Miriam"/>
          <w:rtl/>
        </w:rPr>
        <w:tab/>
      </w:r>
      <w:r>
        <w:rPr>
          <w:rStyle w:val="default"/>
          <w:rFonts w:cs="FrankRuehl"/>
          <w:rtl/>
        </w:rPr>
        <w:t>פק</w:t>
      </w:r>
      <w:r>
        <w:rPr>
          <w:rStyle w:val="default"/>
          <w:rFonts w:cs="FrankRuehl" w:hint="cs"/>
          <w:rtl/>
        </w:rPr>
        <w:t>ודה זו תיקרא פקודת הנזיקין הנגרמים ע"י ספינות בניווט, 1939.</w:t>
      </w:r>
    </w:p>
    <w:p w14:paraId="7EC685DA" w14:textId="77777777" w:rsidR="0078056E" w:rsidRDefault="0078056E">
      <w:pPr>
        <w:pStyle w:val="P00"/>
        <w:spacing w:before="72"/>
        <w:ind w:left="0" w:right="1134"/>
        <w:rPr>
          <w:rStyle w:val="default"/>
          <w:rFonts w:cs="FrankRuehl"/>
          <w:rtl/>
        </w:rPr>
      </w:pPr>
      <w:bookmarkStart w:id="1" w:name="Seif1"/>
      <w:bookmarkEnd w:id="1"/>
      <w:r>
        <w:rPr>
          <w:lang w:val="he-IL"/>
        </w:rPr>
        <w:pict w14:anchorId="754AD624">
          <v:rect id="_x0000_s1027" style="position:absolute;left:0;text-align:left;margin-left:464.5pt;margin-top:8.05pt;width:75.05pt;height:60.35pt;z-index:251658240" o:allowincell="f" filled="f" stroked="f" strokecolor="lime" strokeweight=".25pt">
            <v:textbox style="mso-next-textbox:#_x0000_s1027" inset="0,0,0,0">
              <w:txbxContent>
                <w:p w14:paraId="51E4E7B8" w14:textId="77777777" w:rsidR="0078056E" w:rsidRDefault="0078056E">
                  <w:pPr>
                    <w:spacing w:line="160" w:lineRule="exact"/>
                    <w:jc w:val="left"/>
                    <w:rPr>
                      <w:rFonts w:cs="Miriam"/>
                      <w:noProof/>
                      <w:sz w:val="18"/>
                      <w:szCs w:val="18"/>
                      <w:rtl/>
                    </w:rPr>
                  </w:pPr>
                  <w:r>
                    <w:rPr>
                      <w:rFonts w:cs="Miriam"/>
                      <w:sz w:val="18"/>
                      <w:szCs w:val="18"/>
                      <w:rtl/>
                    </w:rPr>
                    <w:t>אח</w:t>
                  </w:r>
                  <w:r>
                    <w:rPr>
                      <w:rFonts w:cs="Miriam" w:hint="cs"/>
                      <w:sz w:val="18"/>
                      <w:szCs w:val="18"/>
                      <w:rtl/>
                    </w:rPr>
                    <w:t>ריות בעליה</w:t>
                  </w:r>
                </w:p>
                <w:p w14:paraId="559A52BD" w14:textId="77777777" w:rsidR="0078056E" w:rsidRDefault="0078056E">
                  <w:pPr>
                    <w:spacing w:line="160" w:lineRule="exact"/>
                    <w:jc w:val="left"/>
                    <w:rPr>
                      <w:rFonts w:cs="Miriam"/>
                      <w:noProof/>
                      <w:sz w:val="18"/>
                      <w:szCs w:val="18"/>
                      <w:rtl/>
                    </w:rPr>
                  </w:pPr>
                  <w:r>
                    <w:rPr>
                      <w:rFonts w:cs="Miriam"/>
                      <w:sz w:val="18"/>
                      <w:szCs w:val="18"/>
                      <w:rtl/>
                    </w:rPr>
                    <w:t>או</w:t>
                  </w:r>
                  <w:r>
                    <w:rPr>
                      <w:rFonts w:cs="Miriam" w:hint="cs"/>
                      <w:sz w:val="18"/>
                      <w:szCs w:val="18"/>
                      <w:rtl/>
                    </w:rPr>
                    <w:t xml:space="preserve"> רב חובלה</w:t>
                  </w:r>
                </w:p>
                <w:p w14:paraId="1C64EEC9" w14:textId="77777777" w:rsidR="0078056E" w:rsidRDefault="0078056E">
                  <w:pPr>
                    <w:spacing w:line="160" w:lineRule="exact"/>
                    <w:jc w:val="left"/>
                    <w:rPr>
                      <w:rFonts w:cs="Miriam"/>
                      <w:noProof/>
                      <w:sz w:val="18"/>
                      <w:szCs w:val="18"/>
                      <w:rtl/>
                    </w:rPr>
                  </w:pPr>
                  <w:r>
                    <w:rPr>
                      <w:rFonts w:cs="Miriam"/>
                      <w:sz w:val="18"/>
                      <w:szCs w:val="18"/>
                      <w:rtl/>
                    </w:rPr>
                    <w:t>של</w:t>
                  </w:r>
                  <w:r>
                    <w:rPr>
                      <w:rFonts w:cs="Miriam" w:hint="cs"/>
                      <w:sz w:val="18"/>
                      <w:szCs w:val="18"/>
                      <w:rtl/>
                    </w:rPr>
                    <w:t xml:space="preserve"> ספינה</w:t>
                  </w:r>
                </w:p>
                <w:p w14:paraId="67294B7E" w14:textId="77777777" w:rsidR="0078056E" w:rsidRDefault="0078056E">
                  <w:pPr>
                    <w:spacing w:line="160" w:lineRule="exact"/>
                    <w:jc w:val="left"/>
                    <w:rPr>
                      <w:rFonts w:cs="Miriam"/>
                      <w:noProof/>
                      <w:sz w:val="18"/>
                      <w:szCs w:val="18"/>
                      <w:rtl/>
                    </w:rPr>
                  </w:pPr>
                  <w:r>
                    <w:rPr>
                      <w:rFonts w:cs="Miriam"/>
                      <w:sz w:val="18"/>
                      <w:szCs w:val="18"/>
                      <w:rtl/>
                    </w:rPr>
                    <w:t>בנ</w:t>
                  </w:r>
                  <w:r>
                    <w:rPr>
                      <w:rFonts w:cs="Miriam" w:hint="cs"/>
                      <w:sz w:val="18"/>
                      <w:szCs w:val="18"/>
                      <w:rtl/>
                    </w:rPr>
                    <w:t>יווט לנזק</w:t>
                  </w:r>
                </w:p>
                <w:p w14:paraId="3641FCA3" w14:textId="77777777" w:rsidR="0078056E" w:rsidRDefault="0078056E">
                  <w:pPr>
                    <w:spacing w:line="160" w:lineRule="exact"/>
                    <w:jc w:val="left"/>
                    <w:rPr>
                      <w:rFonts w:cs="Miriam"/>
                      <w:noProof/>
                      <w:sz w:val="18"/>
                      <w:szCs w:val="18"/>
                      <w:rtl/>
                    </w:rPr>
                  </w:pPr>
                  <w:r>
                    <w:rPr>
                      <w:rFonts w:cs="Miriam"/>
                      <w:sz w:val="18"/>
                      <w:szCs w:val="18"/>
                      <w:rtl/>
                    </w:rPr>
                    <w:t>שנ</w:t>
                  </w:r>
                  <w:r>
                    <w:rPr>
                      <w:rFonts w:cs="Miriam" w:hint="cs"/>
                      <w:sz w:val="18"/>
                      <w:szCs w:val="18"/>
                      <w:rtl/>
                    </w:rPr>
                    <w:t>גרם על ידה</w:t>
                  </w:r>
                </w:p>
              </w:txbxContent>
            </v:textbox>
            <w10:anchorlock/>
          </v:rect>
        </w:pict>
      </w:r>
      <w:r>
        <w:rPr>
          <w:rStyle w:val="big-number"/>
          <w:rFonts w:cs="Miriam"/>
          <w:rtl/>
        </w:rPr>
        <w:t>2.</w:t>
      </w:r>
      <w:r>
        <w:rPr>
          <w:rStyle w:val="big-number"/>
          <w:rFonts w:cs="Miriam"/>
          <w:rtl/>
        </w:rPr>
        <w:tab/>
      </w:r>
      <w:r>
        <w:rPr>
          <w:rStyle w:val="default"/>
          <w:rFonts w:cs="FrankRuehl"/>
          <w:rtl/>
        </w:rPr>
        <w:t>למ</w:t>
      </w:r>
      <w:r>
        <w:rPr>
          <w:rStyle w:val="default"/>
          <w:rFonts w:cs="FrankRuehl" w:hint="cs"/>
          <w:rtl/>
        </w:rPr>
        <w:t>רות כל האמ</w:t>
      </w:r>
      <w:r>
        <w:rPr>
          <w:rStyle w:val="default"/>
          <w:rFonts w:cs="FrankRuehl"/>
          <w:rtl/>
        </w:rPr>
        <w:t>ור</w:t>
      </w:r>
      <w:r>
        <w:rPr>
          <w:rStyle w:val="default"/>
          <w:rFonts w:cs="FrankRuehl" w:hint="cs"/>
          <w:rtl/>
        </w:rPr>
        <w:t xml:space="preserve"> בכל חוק עותומני או בכל חוק אחר או פקודה אחרת, הרי הבעלים או רב החובל של כל ספינה בניווט, בין שהניווט הוא מאונס ובין שהוא בצורה אחרת, יהא אחראי לכל אבדן או היזק שנגרמו ע"י הספינה או ע"י משגה בנהיגת הספינה.</w:t>
      </w:r>
    </w:p>
    <w:p w14:paraId="210A052B" w14:textId="77777777" w:rsidR="0078056E" w:rsidRDefault="0078056E">
      <w:pPr>
        <w:ind w:right="1134"/>
        <w:rPr>
          <w:rFonts w:cs="David"/>
          <w:sz w:val="24"/>
          <w:rtl/>
        </w:rPr>
      </w:pPr>
      <w:bookmarkStart w:id="2" w:name="LawPartEnd"/>
    </w:p>
    <w:bookmarkEnd w:id="2"/>
    <w:p w14:paraId="1874F799" w14:textId="77777777" w:rsidR="0078056E" w:rsidRDefault="0078056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(5)</w:t>
      </w:r>
      <w:r>
        <w:rPr>
          <w:rFonts w:cs="FrankRuehl"/>
          <w:rtl/>
        </w:rPr>
        <w:t> </w:t>
      </w:r>
      <w:r>
        <w:rPr>
          <w:rFonts w:cs="FrankRuehl"/>
          <w:rtl/>
        </w:rPr>
        <w:t>פו</w:t>
      </w:r>
      <w:r>
        <w:rPr>
          <w:rFonts w:cs="FrankRuehl" w:hint="cs"/>
          <w:rtl/>
        </w:rPr>
        <w:t>רסמה ע"ר מס' 877 מיום 6.4.1</w:t>
      </w:r>
      <w:r>
        <w:rPr>
          <w:rFonts w:cs="FrankRuehl"/>
          <w:rtl/>
        </w:rPr>
        <w:t xml:space="preserve">939 </w:t>
      </w:r>
      <w:r>
        <w:rPr>
          <w:rFonts w:cs="FrankRuehl" w:hint="cs"/>
          <w:rtl/>
        </w:rPr>
        <w:t>תוס' 1, עמ</w:t>
      </w:r>
      <w:r>
        <w:rPr>
          <w:rFonts w:cs="FrankRuehl"/>
          <w:rtl/>
        </w:rPr>
        <w:t>' (ע</w:t>
      </w:r>
      <w:r>
        <w:rPr>
          <w:rFonts w:cs="FrankRuehl" w:hint="cs"/>
          <w:rtl/>
        </w:rPr>
        <w:t>) 15, (א) 21.</w:t>
      </w:r>
    </w:p>
    <w:p w14:paraId="5A4B6C2B" w14:textId="77777777" w:rsidR="0078056E" w:rsidRDefault="0078056E">
      <w:pPr>
        <w:ind w:right="1134"/>
        <w:rPr>
          <w:rFonts w:cs="David"/>
          <w:sz w:val="24"/>
          <w:rtl/>
        </w:rPr>
      </w:pPr>
    </w:p>
    <w:sectPr w:rsidR="0078056E">
      <w:headerReference w:type="even" r:id="rId6"/>
      <w:headerReference w:type="default" r:id="rId7"/>
      <w:footerReference w:type="even" r:id="rId8"/>
      <w:footerReference w:type="default" r:id="rId9"/>
      <w:headerReference w:type="first" r:id="rId10"/>
      <w:footerReference w:type="firs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DE661" w14:textId="77777777" w:rsidR="0078056E" w:rsidRDefault="0078056E">
      <w:r>
        <w:separator/>
      </w:r>
    </w:p>
  </w:endnote>
  <w:endnote w:type="continuationSeparator" w:id="0">
    <w:p w14:paraId="2EBD9703" w14:textId="77777777" w:rsidR="0078056E" w:rsidRDefault="00780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A7FEB" w14:textId="77777777" w:rsidR="0078056E" w:rsidRDefault="0078056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32A0D66" w14:textId="77777777" w:rsidR="0078056E" w:rsidRDefault="0078056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F50D047" w14:textId="77777777" w:rsidR="0078056E" w:rsidRDefault="0078056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M:\0a-lishca\law\gideon-03-02-13\law01\law01-a\306_003.doc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227A0" w14:textId="77777777" w:rsidR="0078056E" w:rsidRDefault="0078056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C1E7F">
      <w:rPr>
        <w:rFonts w:hAnsi="FrankRuehl" w:cs="FrankRuehl"/>
        <w:noProof/>
        <w:sz w:val="24"/>
        <w:szCs w:val="24"/>
        <w:rtl/>
      </w:rPr>
      <w:t>1</w:t>
    </w:r>
    <w:r>
      <w:rPr>
        <w:rFonts w:hAnsi="FrankRuehl" w:cs="FrankRuehl"/>
        <w:sz w:val="24"/>
        <w:szCs w:val="24"/>
        <w:rtl/>
      </w:rPr>
      <w:fldChar w:fldCharType="end"/>
    </w:r>
  </w:p>
  <w:p w14:paraId="0916DFA6" w14:textId="77777777" w:rsidR="0078056E" w:rsidRDefault="0078056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D8E9176" w14:textId="77777777" w:rsidR="0078056E" w:rsidRDefault="0078056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M:\0a-lishca\law\gideon-03-02-13\law01\law01-a\306_003.doc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1E485" w14:textId="77777777" w:rsidR="0078056E" w:rsidRDefault="0078056E">
    <w:pPr>
      <w:pStyle w:val="a4"/>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61B7D" w14:textId="77777777" w:rsidR="0078056E" w:rsidRDefault="0078056E">
      <w:r>
        <w:separator/>
      </w:r>
    </w:p>
  </w:footnote>
  <w:footnote w:type="continuationSeparator" w:id="0">
    <w:p w14:paraId="7BD243A5" w14:textId="77777777" w:rsidR="0078056E" w:rsidRDefault="007805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6DE06" w14:textId="77777777" w:rsidR="0078056E" w:rsidRDefault="0078056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הנזיקין הנגרמים על ידי ספינות בניווט</w:t>
    </w:r>
  </w:p>
  <w:p w14:paraId="2EA06618" w14:textId="77777777" w:rsidR="0078056E" w:rsidRDefault="0078056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A797F5C" w14:textId="77777777" w:rsidR="0078056E" w:rsidRDefault="0078056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E71E6" w14:textId="77777777" w:rsidR="0078056E" w:rsidRDefault="0078056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הנזיקין הנגרמים על ידי ספינות בניווט</w:t>
    </w:r>
  </w:p>
  <w:p w14:paraId="7C147326" w14:textId="77777777" w:rsidR="0078056E" w:rsidRDefault="0078056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7926D8B" w14:textId="77777777" w:rsidR="0078056E" w:rsidRDefault="0078056E">
    <w:pPr>
      <w:pStyle w:val="a3"/>
      <w:pBdr>
        <w:top w:val="single" w:sz="4" w:space="0" w:color="auto"/>
      </w:pBdr>
      <w:spacing w:line="220" w:lineRule="exact"/>
      <w:ind w:right="1134"/>
      <w:jc w:val="center"/>
      <w:rPr>
        <w:rFonts w:hAnsi="FrankRuehl" w:cs="FrankRuehl"/>
        <w:color w:val="00000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B39AB" w14:textId="77777777" w:rsidR="0078056E" w:rsidRDefault="0078056E">
    <w:pPr>
      <w:pStyle w:val="a3"/>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1E7F"/>
    <w:rsid w:val="0078056E"/>
    <w:rsid w:val="00874B82"/>
    <w:rsid w:val="008C1E7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51DCAD7"/>
  <w15:chartTrackingRefBased/>
  <w15:docId w15:val="{C24E150D-9291-4741-A5B9-DC6F99A38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פרק 306</vt:lpstr>
    </vt:vector>
  </TitlesOfParts>
  <Company/>
  <LinksUpToDate>false</LinksUpToDate>
  <CharactersWithSpaces>917</CharactersWithSpaces>
  <SharedDoc>false</SharedDoc>
  <HLinks>
    <vt:vector size="12" baseType="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306</dc:title>
  <dc:subject/>
  <dc:creator>Shimon Doodkin</dc:creator>
  <cp:keywords/>
  <dc:description/>
  <cp:lastModifiedBy>Shimon Doodkin</cp:lastModifiedBy>
  <cp:revision>2</cp:revision>
  <dcterms:created xsi:type="dcterms:W3CDTF">2023-06-05T19:14:00Z</dcterms:created>
  <dcterms:modified xsi:type="dcterms:W3CDTF">2023-06-05T19:14:00Z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0306</vt:lpwstr>
  </property>
  <property fmtid="{D5CDD505-2E9C-101B-9397-08002B2CF9AE}" pid="3" name="CHNAME">
    <vt:lpwstr>נזיקין אזרחיים</vt:lpwstr>
  </property>
  <property fmtid="{D5CDD505-2E9C-101B-9397-08002B2CF9AE}" pid="4" name="LAWNAME">
    <vt:lpwstr>פקודת הנזיקין הנגרמים על ידי ספינות בניווט</vt:lpwstr>
  </property>
  <property fmtid="{D5CDD505-2E9C-101B-9397-08002B2CF9AE}" pid="5" name="LAWNUMBER">
    <vt:lpwstr>0003</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חיובים</vt:lpwstr>
  </property>
  <property fmtid="{D5CDD505-2E9C-101B-9397-08002B2CF9AE}" pid="9" name="NOSE31">
    <vt:lpwstr>נזיקין</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תשתיות</vt:lpwstr>
  </property>
  <property fmtid="{D5CDD505-2E9C-101B-9397-08002B2CF9AE}" pid="13" name="NOSE32">
    <vt:lpwstr>ספנות ונמלים</vt:lpwstr>
  </property>
  <property fmtid="{D5CDD505-2E9C-101B-9397-08002B2CF9AE}" pid="14" name="NOSE42">
    <vt:lpwstr>כלי שיט</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