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5AFC4" w14:textId="77777777" w:rsidR="00374E31" w:rsidRDefault="00374E31">
      <w:pPr>
        <w:pStyle w:val="big-header"/>
        <w:ind w:left="0" w:right="1134"/>
      </w:pPr>
      <w:r>
        <w:rPr>
          <w:rtl/>
        </w:rPr>
        <w:t>פקודת העדה הדתית</w:t>
      </w:r>
      <w:r>
        <w:rPr>
          <w:rFonts w:hint="cs"/>
          <w:rtl/>
        </w:rPr>
        <w:t xml:space="preserve"> (המרה)</w:t>
      </w:r>
    </w:p>
    <w:p w14:paraId="3534B604" w14:textId="77777777" w:rsidR="00285026" w:rsidRPr="00285026" w:rsidRDefault="00285026" w:rsidP="00285026">
      <w:pPr>
        <w:spacing w:line="320" w:lineRule="auto"/>
        <w:jc w:val="left"/>
        <w:rPr>
          <w:rFonts w:cs="FrankRuehl"/>
          <w:szCs w:val="26"/>
          <w:rtl/>
        </w:rPr>
      </w:pPr>
    </w:p>
    <w:p w14:paraId="423779B1" w14:textId="77777777" w:rsidR="00285026" w:rsidRDefault="00285026" w:rsidP="00285026">
      <w:pPr>
        <w:spacing w:line="320" w:lineRule="auto"/>
        <w:jc w:val="left"/>
        <w:rPr>
          <w:rtl/>
        </w:rPr>
      </w:pPr>
    </w:p>
    <w:p w14:paraId="654444A7" w14:textId="77777777" w:rsidR="00285026" w:rsidRDefault="00285026" w:rsidP="00285026">
      <w:pPr>
        <w:spacing w:line="320" w:lineRule="auto"/>
        <w:jc w:val="left"/>
        <w:rPr>
          <w:rFonts w:cs="FrankRuehl"/>
          <w:szCs w:val="26"/>
          <w:rtl/>
        </w:rPr>
      </w:pPr>
      <w:r w:rsidRPr="00285026">
        <w:rPr>
          <w:rFonts w:cs="Miriam"/>
          <w:szCs w:val="22"/>
          <w:rtl/>
        </w:rPr>
        <w:t>רשויות ומשפט מנהלי</w:t>
      </w:r>
      <w:r w:rsidRPr="00285026">
        <w:rPr>
          <w:rFonts w:cs="FrankRuehl"/>
          <w:szCs w:val="26"/>
          <w:rtl/>
        </w:rPr>
        <w:t xml:space="preserve"> – עדות דתיות</w:t>
      </w:r>
    </w:p>
    <w:p w14:paraId="070AB435" w14:textId="77777777" w:rsidR="00285026" w:rsidRPr="00285026" w:rsidRDefault="00285026" w:rsidP="00285026">
      <w:pPr>
        <w:spacing w:line="320" w:lineRule="auto"/>
        <w:jc w:val="left"/>
        <w:rPr>
          <w:rFonts w:cs="Miriam"/>
          <w:szCs w:val="22"/>
          <w:rtl/>
        </w:rPr>
      </w:pPr>
      <w:r w:rsidRPr="00285026">
        <w:rPr>
          <w:rFonts w:cs="Miriam"/>
          <w:szCs w:val="22"/>
          <w:rtl/>
        </w:rPr>
        <w:t>מעמד אישי ומשפחה</w:t>
      </w:r>
      <w:r w:rsidRPr="00285026">
        <w:rPr>
          <w:rFonts w:cs="FrankRuehl"/>
          <w:szCs w:val="26"/>
          <w:rtl/>
        </w:rPr>
        <w:t xml:space="preserve"> – עדות דתיות</w:t>
      </w:r>
    </w:p>
    <w:p w14:paraId="40AFFA32" w14:textId="77777777" w:rsidR="00374E31" w:rsidRDefault="00374E31">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74E31" w14:paraId="1358AA47" w14:textId="77777777">
        <w:tblPrEx>
          <w:tblCellMar>
            <w:top w:w="0" w:type="dxa"/>
            <w:bottom w:w="0" w:type="dxa"/>
          </w:tblCellMar>
        </w:tblPrEx>
        <w:trPr>
          <w:jc w:val="right"/>
        </w:trPr>
        <w:tc>
          <w:tcPr>
            <w:tcW w:w="850" w:type="dxa"/>
          </w:tcPr>
          <w:p w14:paraId="3A1E18B2" w14:textId="77777777" w:rsidR="00374E31" w:rsidRDefault="00374E31">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C70CC">
              <w:rPr>
                <w:noProof/>
                <w:sz w:val="24"/>
                <w:rtl/>
              </w:rPr>
              <w:t>2</w:t>
            </w:r>
            <w:r>
              <w:rPr>
                <w:sz w:val="24"/>
                <w:rtl/>
              </w:rPr>
              <w:fldChar w:fldCharType="end"/>
            </w:r>
          </w:p>
        </w:tc>
        <w:tc>
          <w:tcPr>
            <w:tcW w:w="567" w:type="dxa"/>
          </w:tcPr>
          <w:p w14:paraId="2FA637E9" w14:textId="77777777" w:rsidR="00374E31" w:rsidRDefault="00374E31">
            <w:pPr>
              <w:spacing w:line="240" w:lineRule="auto"/>
              <w:jc w:val="left"/>
              <w:rPr>
                <w:sz w:val="24"/>
              </w:rPr>
            </w:pPr>
            <w:hyperlink w:anchor="Seif0" w:tooltip="השם הקצר" w:history="1">
              <w:r>
                <w:rPr>
                  <w:rStyle w:val="Hyperlink"/>
                </w:rPr>
                <w:t>Go</w:t>
              </w:r>
            </w:hyperlink>
          </w:p>
        </w:tc>
        <w:tc>
          <w:tcPr>
            <w:tcW w:w="5669" w:type="dxa"/>
          </w:tcPr>
          <w:p w14:paraId="16BBB7EB" w14:textId="77777777" w:rsidR="00374E31" w:rsidRDefault="00374E31">
            <w:pPr>
              <w:spacing w:line="240" w:lineRule="auto"/>
              <w:jc w:val="left"/>
              <w:rPr>
                <w:sz w:val="24"/>
                <w:rtl/>
              </w:rPr>
            </w:pPr>
            <w:r>
              <w:rPr>
                <w:sz w:val="24"/>
                <w:rtl/>
              </w:rPr>
              <w:t>השם הקצר</w:t>
            </w:r>
          </w:p>
        </w:tc>
        <w:tc>
          <w:tcPr>
            <w:tcW w:w="1247" w:type="dxa"/>
          </w:tcPr>
          <w:p w14:paraId="3A8B76C8" w14:textId="77777777" w:rsidR="00374E31" w:rsidRDefault="00374E31">
            <w:pPr>
              <w:spacing w:line="240" w:lineRule="auto"/>
              <w:jc w:val="left"/>
              <w:rPr>
                <w:sz w:val="24"/>
              </w:rPr>
            </w:pPr>
            <w:r>
              <w:rPr>
                <w:sz w:val="24"/>
                <w:rtl/>
              </w:rPr>
              <w:t xml:space="preserve">סעיף 1 </w:t>
            </w:r>
          </w:p>
        </w:tc>
      </w:tr>
      <w:tr w:rsidR="00374E31" w14:paraId="243EED59" w14:textId="77777777">
        <w:tblPrEx>
          <w:tblCellMar>
            <w:top w:w="0" w:type="dxa"/>
            <w:bottom w:w="0" w:type="dxa"/>
          </w:tblCellMar>
        </w:tblPrEx>
        <w:trPr>
          <w:jc w:val="right"/>
        </w:trPr>
        <w:tc>
          <w:tcPr>
            <w:tcW w:w="850" w:type="dxa"/>
          </w:tcPr>
          <w:p w14:paraId="4B89348B" w14:textId="77777777" w:rsidR="00374E31" w:rsidRDefault="00374E31">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C70CC">
              <w:rPr>
                <w:noProof/>
                <w:sz w:val="24"/>
                <w:rtl/>
              </w:rPr>
              <w:t>2</w:t>
            </w:r>
            <w:r>
              <w:rPr>
                <w:sz w:val="24"/>
                <w:rtl/>
              </w:rPr>
              <w:fldChar w:fldCharType="end"/>
            </w:r>
          </w:p>
        </w:tc>
        <w:tc>
          <w:tcPr>
            <w:tcW w:w="567" w:type="dxa"/>
          </w:tcPr>
          <w:p w14:paraId="69B18EA9" w14:textId="77777777" w:rsidR="00374E31" w:rsidRDefault="00374E31">
            <w:pPr>
              <w:spacing w:line="240" w:lineRule="auto"/>
              <w:jc w:val="left"/>
              <w:rPr>
                <w:sz w:val="24"/>
              </w:rPr>
            </w:pPr>
            <w:hyperlink w:anchor="Seif1" w:tooltip="הפרוצדורה עם המרת עדה בעדה" w:history="1">
              <w:r>
                <w:rPr>
                  <w:rStyle w:val="Hyperlink"/>
                </w:rPr>
                <w:t>Go</w:t>
              </w:r>
            </w:hyperlink>
          </w:p>
        </w:tc>
        <w:tc>
          <w:tcPr>
            <w:tcW w:w="5669" w:type="dxa"/>
          </w:tcPr>
          <w:p w14:paraId="5BBAE540" w14:textId="77777777" w:rsidR="00374E31" w:rsidRDefault="00374E31">
            <w:pPr>
              <w:spacing w:line="240" w:lineRule="auto"/>
              <w:jc w:val="left"/>
              <w:rPr>
                <w:sz w:val="24"/>
                <w:rtl/>
              </w:rPr>
            </w:pPr>
            <w:r>
              <w:rPr>
                <w:sz w:val="24"/>
                <w:rtl/>
              </w:rPr>
              <w:t>הפרוצדורה עם המרת עדה בעדה</w:t>
            </w:r>
          </w:p>
        </w:tc>
        <w:tc>
          <w:tcPr>
            <w:tcW w:w="1247" w:type="dxa"/>
          </w:tcPr>
          <w:p w14:paraId="2BF9ABC2" w14:textId="77777777" w:rsidR="00374E31" w:rsidRDefault="00374E31">
            <w:pPr>
              <w:spacing w:line="240" w:lineRule="auto"/>
              <w:jc w:val="left"/>
              <w:rPr>
                <w:sz w:val="24"/>
              </w:rPr>
            </w:pPr>
            <w:r>
              <w:rPr>
                <w:sz w:val="24"/>
                <w:rtl/>
              </w:rPr>
              <w:t xml:space="preserve">סעיף 2 </w:t>
            </w:r>
          </w:p>
        </w:tc>
      </w:tr>
      <w:tr w:rsidR="00374E31" w14:paraId="5A4E606A" w14:textId="77777777">
        <w:tblPrEx>
          <w:tblCellMar>
            <w:top w:w="0" w:type="dxa"/>
            <w:bottom w:w="0" w:type="dxa"/>
          </w:tblCellMar>
        </w:tblPrEx>
        <w:trPr>
          <w:jc w:val="right"/>
        </w:trPr>
        <w:tc>
          <w:tcPr>
            <w:tcW w:w="850" w:type="dxa"/>
          </w:tcPr>
          <w:p w14:paraId="1D2427D5" w14:textId="77777777" w:rsidR="00374E31" w:rsidRDefault="00374E31">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0C70CC">
              <w:rPr>
                <w:noProof/>
                <w:sz w:val="24"/>
                <w:rtl/>
              </w:rPr>
              <w:t>2</w:t>
            </w:r>
            <w:r>
              <w:rPr>
                <w:sz w:val="24"/>
                <w:rtl/>
              </w:rPr>
              <w:fldChar w:fldCharType="end"/>
            </w:r>
          </w:p>
        </w:tc>
        <w:tc>
          <w:tcPr>
            <w:tcW w:w="567" w:type="dxa"/>
          </w:tcPr>
          <w:p w14:paraId="0F18C836" w14:textId="77777777" w:rsidR="00374E31" w:rsidRDefault="00374E31">
            <w:pPr>
              <w:spacing w:line="240" w:lineRule="auto"/>
              <w:jc w:val="left"/>
              <w:rPr>
                <w:sz w:val="24"/>
              </w:rPr>
            </w:pPr>
            <w:hyperlink w:anchor="Seif2" w:tooltip="הגבלות בנידון המרת דתם של אנשים פחותים מבני שמונה עשרה שנה" w:history="1">
              <w:r>
                <w:rPr>
                  <w:rStyle w:val="Hyperlink"/>
                </w:rPr>
                <w:t>Go</w:t>
              </w:r>
            </w:hyperlink>
          </w:p>
        </w:tc>
        <w:tc>
          <w:tcPr>
            <w:tcW w:w="5669" w:type="dxa"/>
          </w:tcPr>
          <w:p w14:paraId="44C56B13" w14:textId="77777777" w:rsidR="00374E31" w:rsidRDefault="00374E31">
            <w:pPr>
              <w:spacing w:line="240" w:lineRule="auto"/>
              <w:jc w:val="left"/>
              <w:rPr>
                <w:sz w:val="24"/>
                <w:rtl/>
              </w:rPr>
            </w:pPr>
            <w:r>
              <w:rPr>
                <w:sz w:val="24"/>
                <w:rtl/>
              </w:rPr>
              <w:t>הגבלות בנידון המרת דתם של אנשים פחותים מבני שמונה עשרה שנה</w:t>
            </w:r>
          </w:p>
        </w:tc>
        <w:tc>
          <w:tcPr>
            <w:tcW w:w="1247" w:type="dxa"/>
          </w:tcPr>
          <w:p w14:paraId="64A99F3A" w14:textId="77777777" w:rsidR="00374E31" w:rsidRDefault="00374E31">
            <w:pPr>
              <w:spacing w:line="240" w:lineRule="auto"/>
              <w:jc w:val="left"/>
              <w:rPr>
                <w:sz w:val="24"/>
              </w:rPr>
            </w:pPr>
            <w:r>
              <w:rPr>
                <w:sz w:val="24"/>
                <w:rtl/>
              </w:rPr>
              <w:t xml:space="preserve">סעיף 3 </w:t>
            </w:r>
          </w:p>
        </w:tc>
      </w:tr>
      <w:tr w:rsidR="00374E31" w14:paraId="7119BF9A" w14:textId="77777777">
        <w:tblPrEx>
          <w:tblCellMar>
            <w:top w:w="0" w:type="dxa"/>
            <w:bottom w:w="0" w:type="dxa"/>
          </w:tblCellMar>
        </w:tblPrEx>
        <w:trPr>
          <w:jc w:val="right"/>
        </w:trPr>
        <w:tc>
          <w:tcPr>
            <w:tcW w:w="850" w:type="dxa"/>
          </w:tcPr>
          <w:p w14:paraId="0BD5B560" w14:textId="77777777" w:rsidR="00374E31" w:rsidRDefault="00374E31">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0C70CC">
              <w:rPr>
                <w:noProof/>
                <w:sz w:val="24"/>
                <w:rtl/>
              </w:rPr>
              <w:t>2</w:t>
            </w:r>
            <w:r>
              <w:rPr>
                <w:sz w:val="24"/>
                <w:rtl/>
              </w:rPr>
              <w:fldChar w:fldCharType="end"/>
            </w:r>
          </w:p>
        </w:tc>
        <w:tc>
          <w:tcPr>
            <w:tcW w:w="567" w:type="dxa"/>
          </w:tcPr>
          <w:p w14:paraId="209BE8D0" w14:textId="77777777" w:rsidR="00374E31" w:rsidRDefault="00374E31">
            <w:pPr>
              <w:spacing w:line="240" w:lineRule="auto"/>
              <w:jc w:val="left"/>
              <w:rPr>
                <w:sz w:val="24"/>
              </w:rPr>
            </w:pPr>
            <w:hyperlink w:anchor="Seif3" w:tooltip="המרת עדה לא תפגע בהתחייבויות קודמות" w:history="1">
              <w:r>
                <w:rPr>
                  <w:rStyle w:val="Hyperlink"/>
                </w:rPr>
                <w:t>Go</w:t>
              </w:r>
            </w:hyperlink>
          </w:p>
        </w:tc>
        <w:tc>
          <w:tcPr>
            <w:tcW w:w="5669" w:type="dxa"/>
          </w:tcPr>
          <w:p w14:paraId="183F2B3D" w14:textId="77777777" w:rsidR="00374E31" w:rsidRDefault="00374E31">
            <w:pPr>
              <w:spacing w:line="240" w:lineRule="auto"/>
              <w:jc w:val="left"/>
              <w:rPr>
                <w:sz w:val="24"/>
                <w:rtl/>
              </w:rPr>
            </w:pPr>
            <w:r>
              <w:rPr>
                <w:sz w:val="24"/>
                <w:rtl/>
              </w:rPr>
              <w:t>המרת עדה לא תפגע בהתחייבויות קודמות</w:t>
            </w:r>
          </w:p>
        </w:tc>
        <w:tc>
          <w:tcPr>
            <w:tcW w:w="1247" w:type="dxa"/>
          </w:tcPr>
          <w:p w14:paraId="4A6A7510" w14:textId="77777777" w:rsidR="00374E31" w:rsidRDefault="00374E31">
            <w:pPr>
              <w:spacing w:line="240" w:lineRule="auto"/>
              <w:jc w:val="left"/>
              <w:rPr>
                <w:sz w:val="24"/>
              </w:rPr>
            </w:pPr>
            <w:r>
              <w:rPr>
                <w:sz w:val="24"/>
                <w:rtl/>
              </w:rPr>
              <w:t xml:space="preserve">סעיף 4 </w:t>
            </w:r>
          </w:p>
        </w:tc>
      </w:tr>
    </w:tbl>
    <w:p w14:paraId="03D85A28" w14:textId="77777777" w:rsidR="00374E31" w:rsidRDefault="00374E31">
      <w:pPr>
        <w:pStyle w:val="big-header"/>
        <w:ind w:left="0" w:right="1134"/>
        <w:rPr>
          <w:rtl/>
        </w:rPr>
      </w:pPr>
    </w:p>
    <w:p w14:paraId="1E075087" w14:textId="77777777" w:rsidR="00374E31" w:rsidRDefault="00374E31" w:rsidP="00285026">
      <w:pPr>
        <w:pStyle w:val="big-header"/>
        <w:ind w:left="0" w:right="1134"/>
        <w:rPr>
          <w:rtl/>
        </w:rPr>
      </w:pPr>
      <w:r>
        <w:rPr>
          <w:rtl/>
        </w:rPr>
        <w:br w:type="page"/>
      </w:r>
      <w:r>
        <w:rPr>
          <w:rtl/>
        </w:rPr>
        <w:lastRenderedPageBreak/>
        <w:t>פ</w:t>
      </w:r>
      <w:r>
        <w:rPr>
          <w:rFonts w:hint="cs"/>
          <w:rtl/>
        </w:rPr>
        <w:t>קודת העדה הדתית (המרה)</w:t>
      </w:r>
      <w:r w:rsidR="000C70CC">
        <w:rPr>
          <w:rStyle w:val="a6"/>
          <w:rtl/>
        </w:rPr>
        <w:footnoteReference w:customMarkFollows="1" w:id="1"/>
        <w:t>*</w:t>
      </w:r>
    </w:p>
    <w:p w14:paraId="19A91407" w14:textId="77777777" w:rsidR="00374E31" w:rsidRDefault="00374E31">
      <w:pPr>
        <w:pStyle w:val="medium-header"/>
        <w:keepNext w:val="0"/>
        <w:keepLines w:val="0"/>
        <w:ind w:left="0" w:right="1134"/>
        <w:rPr>
          <w:rStyle w:val="default"/>
          <w:rFonts w:cs="FrankRuehl" w:hint="cs"/>
          <w:rtl/>
        </w:rPr>
      </w:pPr>
      <w:r>
        <w:rPr>
          <w:rtl/>
        </w:rPr>
        <w:t>ח</w:t>
      </w:r>
      <w:r>
        <w:rPr>
          <w:rFonts w:hint="cs"/>
          <w:rtl/>
        </w:rPr>
        <w:t>א"י, פרק קכ"ז</w:t>
      </w:r>
      <w:r w:rsidR="000C70CC">
        <w:rPr>
          <w:rStyle w:val="a6"/>
          <w:rtl/>
        </w:rPr>
        <w:footnoteReference w:id="2"/>
      </w:r>
    </w:p>
    <w:p w14:paraId="067200E0" w14:textId="77777777" w:rsidR="00374E31" w:rsidRDefault="00374E31">
      <w:pPr>
        <w:pStyle w:val="medium-header"/>
        <w:keepNext w:val="0"/>
        <w:keepLines w:val="0"/>
        <w:ind w:left="0" w:right="1134"/>
        <w:rPr>
          <w:rtl/>
        </w:rPr>
      </w:pPr>
      <w:r>
        <w:rPr>
          <w:rtl/>
        </w:rPr>
        <w:t>מ</w:t>
      </w:r>
      <w:r>
        <w:rPr>
          <w:rFonts w:hint="cs"/>
          <w:rtl/>
        </w:rPr>
        <w:t>ס' 43 לש' 1927</w:t>
      </w:r>
    </w:p>
    <w:p w14:paraId="5E984AEB" w14:textId="77777777" w:rsidR="00374E31" w:rsidRDefault="00374E31">
      <w:pPr>
        <w:pStyle w:val="header-2"/>
        <w:ind w:left="0" w:right="1134"/>
        <w:rPr>
          <w:rtl/>
        </w:rPr>
      </w:pPr>
      <w:r>
        <w:rPr>
          <w:rtl/>
        </w:rPr>
        <w:t>פ</w:t>
      </w:r>
      <w:r>
        <w:rPr>
          <w:rFonts w:hint="cs"/>
          <w:rtl/>
        </w:rPr>
        <w:t>קודה הקובעת הוראות בענין מסירת הודעה על המרת עדה דתית</w:t>
      </w:r>
    </w:p>
    <w:p w14:paraId="137F0665" w14:textId="77777777" w:rsidR="00374E31" w:rsidRDefault="00374E31">
      <w:pPr>
        <w:pStyle w:val="P00"/>
        <w:spacing w:before="72"/>
        <w:ind w:left="0" w:right="1134"/>
        <w:rPr>
          <w:rStyle w:val="default"/>
          <w:rFonts w:cs="FrankRuehl"/>
          <w:rtl/>
        </w:rPr>
      </w:pPr>
      <w:bookmarkStart w:id="0" w:name="Seif0"/>
      <w:bookmarkEnd w:id="0"/>
      <w:r>
        <w:rPr>
          <w:lang w:val="he-IL"/>
        </w:rPr>
        <w:pict w14:anchorId="3B0A827B">
          <v:rect id="_x0000_s1026" style="position:absolute;left:0;text-align:left;margin-left:464.5pt;margin-top:8.05pt;width:75.05pt;height:13.2pt;z-index:251656192" o:allowincell="f" filled="f" stroked="f" strokecolor="lime" strokeweight=".25pt">
            <v:textbox inset="0,0,0,0">
              <w:txbxContent>
                <w:p w14:paraId="2A9B44C8" w14:textId="77777777" w:rsidR="00374E31" w:rsidRDefault="00374E31">
                  <w:pPr>
                    <w:spacing w:line="160" w:lineRule="exact"/>
                    <w:jc w:val="left"/>
                    <w:rPr>
                      <w:rFonts w:cs="Miriam"/>
                      <w:noProof/>
                      <w:szCs w:val="18"/>
                      <w:rtl/>
                    </w:rPr>
                  </w:pPr>
                  <w:r>
                    <w:rPr>
                      <w:rFonts w:cs="Miriam"/>
                      <w:szCs w:val="18"/>
                      <w:rtl/>
                    </w:rPr>
                    <w:t>ה</w:t>
                  </w:r>
                  <w:r>
                    <w:rPr>
                      <w:rFonts w:cs="Miriam" w:hint="cs"/>
                      <w:szCs w:val="18"/>
                      <w:rtl/>
                    </w:rPr>
                    <w:t>שם הקצר</w:t>
                  </w:r>
                </w:p>
              </w:txbxContent>
            </v:textbox>
            <w10:anchorlock/>
          </v:rect>
        </w:pict>
      </w:r>
      <w:r>
        <w:rPr>
          <w:rStyle w:val="big-number"/>
          <w:rtl/>
        </w:rPr>
        <w:t>1.</w:t>
      </w:r>
      <w:r>
        <w:rPr>
          <w:rStyle w:val="big-number"/>
          <w:rtl/>
        </w:rPr>
        <w:tab/>
      </w:r>
      <w:r>
        <w:rPr>
          <w:rStyle w:val="default"/>
          <w:rFonts w:cs="FrankRuehl"/>
          <w:rtl/>
        </w:rPr>
        <w:t>פ</w:t>
      </w:r>
      <w:r>
        <w:rPr>
          <w:rStyle w:val="default"/>
          <w:rFonts w:cs="FrankRuehl" w:hint="cs"/>
          <w:rtl/>
        </w:rPr>
        <w:t>קודה זו תיקרא פקודת העדה הדתית (המרה).</w:t>
      </w:r>
    </w:p>
    <w:p w14:paraId="0B250F2F" w14:textId="77777777" w:rsidR="00374E31" w:rsidRDefault="00374E31">
      <w:pPr>
        <w:pStyle w:val="P00"/>
        <w:spacing w:before="72"/>
        <w:ind w:left="0" w:right="1134"/>
        <w:rPr>
          <w:rStyle w:val="default"/>
          <w:rFonts w:cs="FrankRuehl" w:hint="cs"/>
          <w:rtl/>
        </w:rPr>
      </w:pPr>
      <w:bookmarkStart w:id="1" w:name="Seif1"/>
      <w:bookmarkEnd w:id="1"/>
      <w:r>
        <w:rPr>
          <w:lang w:val="he-IL"/>
        </w:rPr>
        <w:pict w14:anchorId="1D3C8BBE">
          <v:rect id="_x0000_s1027" style="position:absolute;left:0;text-align:left;margin-left:464.5pt;margin-top:8.05pt;width:75.05pt;height:32.5pt;z-index:251657216" o:allowincell="f" filled="f" stroked="f" strokecolor="lime" strokeweight=".25pt">
            <v:textbox inset="0,0,0,0">
              <w:txbxContent>
                <w:p w14:paraId="24EB33D6" w14:textId="77777777" w:rsidR="000C70CC" w:rsidRDefault="00374E31">
                  <w:pPr>
                    <w:spacing w:line="160" w:lineRule="exact"/>
                    <w:jc w:val="left"/>
                    <w:rPr>
                      <w:rFonts w:cs="Miriam" w:hint="cs"/>
                      <w:szCs w:val="18"/>
                      <w:rtl/>
                    </w:rPr>
                  </w:pPr>
                  <w:r>
                    <w:rPr>
                      <w:rFonts w:cs="Miriam"/>
                      <w:szCs w:val="18"/>
                      <w:rtl/>
                    </w:rPr>
                    <w:t>ה</w:t>
                  </w:r>
                  <w:r w:rsidR="000C70CC">
                    <w:rPr>
                      <w:rFonts w:cs="Miriam" w:hint="cs"/>
                      <w:szCs w:val="18"/>
                      <w:rtl/>
                    </w:rPr>
                    <w:t>פרוצדורה עם המרת עדה בעדה</w:t>
                  </w:r>
                </w:p>
                <w:p w14:paraId="6E3071C1" w14:textId="77777777" w:rsidR="00374E31" w:rsidRDefault="00303B61">
                  <w:pPr>
                    <w:spacing w:line="160" w:lineRule="exact"/>
                    <w:jc w:val="left"/>
                    <w:rPr>
                      <w:rFonts w:cs="Miriam"/>
                      <w:noProof/>
                      <w:szCs w:val="18"/>
                      <w:rtl/>
                    </w:rPr>
                  </w:pPr>
                  <w:r>
                    <w:rPr>
                      <w:rFonts w:cs="Miriam" w:hint="cs"/>
                      <w:szCs w:val="18"/>
                      <w:rtl/>
                    </w:rPr>
                    <w:t>מס</w:t>
                  </w:r>
                  <w:r w:rsidR="00374E31">
                    <w:rPr>
                      <w:rFonts w:cs="Miriam" w:hint="cs"/>
                      <w:szCs w:val="18"/>
                      <w:rtl/>
                    </w:rPr>
                    <w:t>' 15 לש' 1947</w:t>
                  </w:r>
                </w:p>
              </w:txbxContent>
            </v:textbox>
            <w10:anchorlock/>
          </v:rect>
        </w:pict>
      </w:r>
      <w:r>
        <w:rPr>
          <w:rStyle w:val="big-number"/>
          <w:rtl/>
        </w:rPr>
        <w:t>2.</w:t>
      </w:r>
      <w:r>
        <w:rPr>
          <w:rStyle w:val="big-number"/>
          <w:rtl/>
        </w:rPr>
        <w:tab/>
      </w:r>
      <w:r>
        <w:rPr>
          <w:rStyle w:val="default"/>
          <w:rFonts w:cs="FrankRuehl"/>
          <w:rtl/>
        </w:rPr>
        <w:t>(1)</w:t>
      </w:r>
      <w:r>
        <w:rPr>
          <w:rStyle w:val="default"/>
          <w:rFonts w:cs="FrankRuehl"/>
          <w:rtl/>
        </w:rPr>
        <w:tab/>
      </w:r>
      <w:r>
        <w:rPr>
          <w:rStyle w:val="default"/>
          <w:rFonts w:cs="FrankRuehl" w:hint="cs"/>
          <w:rtl/>
        </w:rPr>
        <w:t>אדם שהמיר א</w:t>
      </w:r>
      <w:r>
        <w:rPr>
          <w:rStyle w:val="default"/>
          <w:rFonts w:cs="FrankRuehl"/>
          <w:rtl/>
        </w:rPr>
        <w:t>ת</w:t>
      </w:r>
      <w:r>
        <w:rPr>
          <w:rStyle w:val="default"/>
          <w:rFonts w:cs="FrankRuehl" w:hint="cs"/>
          <w:rtl/>
        </w:rPr>
        <w:t xml:space="preserve"> עדתו הדתית ורוצה כי תינתן נפקות חוקית לאותה המרה, יקבל מאת ראש העדה הדתית שאליה נספח, או מאת האדם שמינהו או הכיר בו ראשה של אותה העדה הדתית כראשו המקומי של סניף אותה העדה הדתית בשטח שבו הוא יושב, תעודת אישור, המעידה שנתקבל אל אותה העדה הדתית, ויודיע את </w:t>
      </w:r>
      <w:r>
        <w:rPr>
          <w:rStyle w:val="default"/>
          <w:rFonts w:cs="FrankRuehl"/>
          <w:rtl/>
        </w:rPr>
        <w:t>הע</w:t>
      </w:r>
      <w:r>
        <w:rPr>
          <w:rStyle w:val="default"/>
          <w:rFonts w:cs="FrankRuehl" w:hint="cs"/>
          <w:rtl/>
        </w:rPr>
        <w:t>ובדה לממונה על המחוז במחוז שבו הוא יושב.</w:t>
      </w:r>
    </w:p>
    <w:p w14:paraId="27C44449" w14:textId="77777777" w:rsidR="00374E31" w:rsidRDefault="00374E31">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כשתנוח דעתו של הממונה על המחוז בדבר זהותו של המבקש ומשתוראה לו תעודת האישור המוזכרת בסעיף קטן (1), ירשום את דבר המרת העדה ויתן למבקש תעודת אישור על אותו רישום.</w:t>
      </w:r>
    </w:p>
    <w:p w14:paraId="2F7C5F90" w14:textId="77777777" w:rsidR="00374E31" w:rsidRDefault="00374E31">
      <w:pPr>
        <w:pStyle w:val="P00"/>
        <w:spacing w:before="72"/>
        <w:ind w:left="0" w:right="1134"/>
        <w:rPr>
          <w:rStyle w:val="default"/>
          <w:rFonts w:cs="FrankRuehl" w:hint="cs"/>
          <w:rtl/>
        </w:rPr>
      </w:pPr>
      <w:r>
        <w:rPr>
          <w:rtl/>
        </w:rPr>
        <w:tab/>
      </w:r>
      <w:r>
        <w:rPr>
          <w:rStyle w:val="default"/>
          <w:rFonts w:cs="FrankRuehl"/>
          <w:rtl/>
        </w:rPr>
        <w:t>(3)</w:t>
      </w:r>
      <w:r>
        <w:rPr>
          <w:rStyle w:val="default"/>
          <w:rFonts w:cs="FrankRuehl"/>
          <w:rtl/>
        </w:rPr>
        <w:tab/>
      </w:r>
      <w:r>
        <w:rPr>
          <w:rStyle w:val="default"/>
          <w:rFonts w:cs="FrankRuehl" w:hint="cs"/>
          <w:rtl/>
        </w:rPr>
        <w:t>הממונה על המחוז ישלח העתק של תעודת האישור על</w:t>
      </w:r>
      <w:r>
        <w:rPr>
          <w:rStyle w:val="default"/>
          <w:rFonts w:cs="FrankRuehl"/>
          <w:rtl/>
        </w:rPr>
        <w:t xml:space="preserve"> </w:t>
      </w:r>
      <w:r>
        <w:rPr>
          <w:rStyle w:val="default"/>
          <w:rFonts w:cs="FrankRuehl" w:hint="cs"/>
          <w:rtl/>
        </w:rPr>
        <w:t>אותו רישום לראשה של העדה הדתית שאליה נספח המבקש, וכן לראשה של העדה הדתית שעמה היה המבקש נמנה קודם לכן.</w:t>
      </w:r>
    </w:p>
    <w:p w14:paraId="516AF63F" w14:textId="77777777" w:rsidR="00303B61" w:rsidRPr="003648B0" w:rsidRDefault="00303B61" w:rsidP="00303B61">
      <w:pPr>
        <w:pStyle w:val="P00"/>
        <w:spacing w:before="0"/>
        <w:ind w:left="0" w:right="1134"/>
        <w:rPr>
          <w:rStyle w:val="default"/>
          <w:rFonts w:cs="FrankRuehl" w:hint="cs"/>
          <w:vanish/>
          <w:color w:val="FF0000"/>
          <w:szCs w:val="20"/>
          <w:shd w:val="clear" w:color="auto" w:fill="FFFF99"/>
          <w:rtl/>
        </w:rPr>
      </w:pPr>
      <w:bookmarkStart w:id="2" w:name="Rov6"/>
      <w:r w:rsidRPr="003648B0">
        <w:rPr>
          <w:rStyle w:val="default"/>
          <w:rFonts w:cs="FrankRuehl" w:hint="cs"/>
          <w:vanish/>
          <w:color w:val="FF0000"/>
          <w:szCs w:val="20"/>
          <w:shd w:val="clear" w:color="auto" w:fill="FFFF99"/>
          <w:rtl/>
        </w:rPr>
        <w:t>מיום 16.12.1927</w:t>
      </w:r>
    </w:p>
    <w:p w14:paraId="0F75AE0D" w14:textId="77777777" w:rsidR="00303B61" w:rsidRPr="003648B0" w:rsidRDefault="00303B61" w:rsidP="00303B61">
      <w:pPr>
        <w:pStyle w:val="P00"/>
        <w:spacing w:before="0"/>
        <w:ind w:left="0" w:right="1134"/>
        <w:rPr>
          <w:rStyle w:val="default"/>
          <w:rFonts w:cs="FrankRuehl" w:hint="cs"/>
          <w:vanish/>
          <w:szCs w:val="20"/>
          <w:shd w:val="clear" w:color="auto" w:fill="FFFF99"/>
          <w:rtl/>
        </w:rPr>
      </w:pPr>
      <w:r w:rsidRPr="003648B0">
        <w:rPr>
          <w:rStyle w:val="default"/>
          <w:rFonts w:cs="FrankRuehl" w:hint="cs"/>
          <w:b/>
          <w:bCs/>
          <w:vanish/>
          <w:szCs w:val="20"/>
          <w:shd w:val="clear" w:color="auto" w:fill="FFFF99"/>
          <w:rtl/>
        </w:rPr>
        <w:t>מס' 15 לשנת 1947</w:t>
      </w:r>
    </w:p>
    <w:p w14:paraId="30A2D010" w14:textId="77777777" w:rsidR="00303B61" w:rsidRPr="003648B0" w:rsidRDefault="00303B61" w:rsidP="00303B61">
      <w:pPr>
        <w:pStyle w:val="P00"/>
        <w:spacing w:before="0"/>
        <w:ind w:left="0" w:right="1134"/>
        <w:rPr>
          <w:rStyle w:val="default"/>
          <w:rFonts w:cs="FrankRuehl" w:hint="cs"/>
          <w:vanish/>
          <w:szCs w:val="20"/>
          <w:shd w:val="clear" w:color="auto" w:fill="FFFF99"/>
          <w:rtl/>
        </w:rPr>
      </w:pPr>
      <w:hyperlink r:id="rId6" w:history="1">
        <w:r w:rsidRPr="003648B0">
          <w:rPr>
            <w:rStyle w:val="Hyperlink"/>
            <w:rFonts w:hint="cs"/>
            <w:vanish/>
            <w:szCs w:val="20"/>
            <w:shd w:val="clear" w:color="auto" w:fill="FFFF99"/>
            <w:rtl/>
          </w:rPr>
          <w:t>ע"ר מס' 1588</w:t>
        </w:r>
      </w:hyperlink>
      <w:r w:rsidRPr="003648B0">
        <w:rPr>
          <w:rStyle w:val="default"/>
          <w:rFonts w:cs="FrankRuehl" w:hint="cs"/>
          <w:vanish/>
          <w:szCs w:val="20"/>
          <w:shd w:val="clear" w:color="auto" w:fill="FFFF99"/>
          <w:rtl/>
        </w:rPr>
        <w:t xml:space="preserve"> מיום 14.6.1947 תוס' 1 עמ' 121</w:t>
      </w:r>
    </w:p>
    <w:p w14:paraId="7114B726" w14:textId="77777777" w:rsidR="00303B61" w:rsidRPr="003648B0" w:rsidRDefault="00303B61" w:rsidP="00303B61">
      <w:pPr>
        <w:pStyle w:val="P00"/>
        <w:spacing w:before="0"/>
        <w:ind w:left="0" w:right="1134"/>
        <w:rPr>
          <w:rStyle w:val="default"/>
          <w:rFonts w:cs="FrankRuehl" w:hint="cs"/>
          <w:vanish/>
          <w:szCs w:val="20"/>
          <w:shd w:val="clear" w:color="auto" w:fill="FFFF99"/>
          <w:rtl/>
        </w:rPr>
      </w:pPr>
      <w:r w:rsidRPr="003648B0">
        <w:rPr>
          <w:rStyle w:val="default"/>
          <w:rFonts w:cs="FrankRuehl" w:hint="cs"/>
          <w:b/>
          <w:bCs/>
          <w:vanish/>
          <w:szCs w:val="20"/>
          <w:shd w:val="clear" w:color="auto" w:fill="FFFF99"/>
          <w:rtl/>
        </w:rPr>
        <w:t>החלפת סעיף 2</w:t>
      </w:r>
    </w:p>
    <w:p w14:paraId="42C315A1" w14:textId="77777777" w:rsidR="00303B61" w:rsidRPr="003648B0" w:rsidRDefault="00303B61" w:rsidP="00303B61">
      <w:pPr>
        <w:pStyle w:val="P00"/>
        <w:ind w:left="0" w:right="1134"/>
        <w:rPr>
          <w:rStyle w:val="default"/>
          <w:rFonts w:cs="FrankRuehl" w:hint="cs"/>
          <w:vanish/>
          <w:szCs w:val="20"/>
          <w:shd w:val="clear" w:color="auto" w:fill="FFFF99"/>
          <w:rtl/>
        </w:rPr>
      </w:pPr>
      <w:r w:rsidRPr="003648B0">
        <w:rPr>
          <w:rStyle w:val="default"/>
          <w:rFonts w:cs="FrankRuehl" w:hint="cs"/>
          <w:vanish/>
          <w:szCs w:val="20"/>
          <w:shd w:val="clear" w:color="auto" w:fill="FFFF99"/>
          <w:rtl/>
        </w:rPr>
        <w:t>הנוסח הקודם:</w:t>
      </w:r>
    </w:p>
    <w:p w14:paraId="51219FD3" w14:textId="77777777" w:rsidR="00303B61" w:rsidRPr="003648B0" w:rsidRDefault="00303B61" w:rsidP="00303B61">
      <w:pPr>
        <w:pStyle w:val="P00"/>
        <w:spacing w:before="20"/>
        <w:ind w:left="0" w:right="1134"/>
        <w:rPr>
          <w:rStyle w:val="default"/>
          <w:rFonts w:cs="Miriam" w:hint="cs"/>
          <w:strike/>
          <w:vanish/>
          <w:sz w:val="16"/>
          <w:szCs w:val="16"/>
          <w:shd w:val="clear" w:color="auto" w:fill="FFFF99"/>
          <w:rtl/>
        </w:rPr>
      </w:pPr>
      <w:r w:rsidRPr="003648B0">
        <w:rPr>
          <w:rStyle w:val="default"/>
          <w:rFonts w:cs="Miriam" w:hint="cs"/>
          <w:strike/>
          <w:vanish/>
          <w:sz w:val="16"/>
          <w:szCs w:val="16"/>
          <w:shd w:val="clear" w:color="auto" w:fill="FFFF99"/>
          <w:rtl/>
        </w:rPr>
        <w:t>הפרוצידורה כשממירים עדה בעדה</w:t>
      </w:r>
    </w:p>
    <w:p w14:paraId="11FD2F6E" w14:textId="77777777" w:rsidR="00303B61" w:rsidRPr="003648B0" w:rsidRDefault="00303B61" w:rsidP="00303B61">
      <w:pPr>
        <w:pStyle w:val="P00"/>
        <w:spacing w:before="0"/>
        <w:ind w:left="0" w:right="1134"/>
        <w:rPr>
          <w:rStyle w:val="default"/>
          <w:rFonts w:cs="FrankRuehl" w:hint="cs"/>
          <w:vanish/>
          <w:sz w:val="22"/>
          <w:szCs w:val="22"/>
          <w:shd w:val="clear" w:color="auto" w:fill="FFFF99"/>
          <w:rtl/>
        </w:rPr>
      </w:pPr>
      <w:r w:rsidRPr="003648B0">
        <w:rPr>
          <w:rStyle w:val="default"/>
          <w:rFonts w:cs="FrankRuehl" w:hint="cs"/>
          <w:strike/>
          <w:vanish/>
          <w:sz w:val="22"/>
          <w:szCs w:val="22"/>
          <w:shd w:val="clear" w:color="auto" w:fill="FFFF99"/>
          <w:rtl/>
        </w:rPr>
        <w:t>2.</w:t>
      </w:r>
      <w:r w:rsidRPr="003648B0">
        <w:rPr>
          <w:rStyle w:val="default"/>
          <w:rFonts w:cs="FrankRuehl" w:hint="cs"/>
          <w:strike/>
          <w:vanish/>
          <w:sz w:val="22"/>
          <w:szCs w:val="22"/>
          <w:shd w:val="clear" w:color="auto" w:fill="FFFF99"/>
          <w:rtl/>
        </w:rPr>
        <w:tab/>
        <w:t>(1)</w:t>
      </w:r>
      <w:r w:rsidRPr="003648B0">
        <w:rPr>
          <w:rStyle w:val="default"/>
          <w:rFonts w:cs="FrankRuehl" w:hint="cs"/>
          <w:strike/>
          <w:vanish/>
          <w:sz w:val="22"/>
          <w:szCs w:val="22"/>
          <w:shd w:val="clear" w:color="auto" w:fill="FFFF99"/>
          <w:rtl/>
        </w:rPr>
        <w:tab/>
        <w:t>מי שהמיר את עדתו הדתית ורוצה שינתן תוקף חוקי להמרתו זאת, חייב לקבל תעודה מאת ראש העדה הדתית שאליה נספח, המעידה שנתקבל לתוך אותה העדה, ולהודיע את העובדא למושל המחוז אשר במחוז מגוריו.</w:t>
      </w:r>
    </w:p>
    <w:p w14:paraId="39115744" w14:textId="77777777" w:rsidR="00303B61" w:rsidRPr="003648B0" w:rsidRDefault="00303B61" w:rsidP="00303B61">
      <w:pPr>
        <w:pStyle w:val="P00"/>
        <w:spacing w:before="0"/>
        <w:ind w:left="0" w:right="1134"/>
        <w:rPr>
          <w:rStyle w:val="default"/>
          <w:rFonts w:cs="FrankRuehl" w:hint="cs"/>
          <w:vanish/>
          <w:sz w:val="22"/>
          <w:szCs w:val="22"/>
          <w:shd w:val="clear" w:color="auto" w:fill="FFFF99"/>
          <w:rtl/>
        </w:rPr>
      </w:pPr>
      <w:r w:rsidRPr="003648B0">
        <w:rPr>
          <w:rStyle w:val="default"/>
          <w:rFonts w:cs="FrankRuehl" w:hint="cs"/>
          <w:vanish/>
          <w:sz w:val="22"/>
          <w:szCs w:val="22"/>
          <w:shd w:val="clear" w:color="auto" w:fill="FFFF99"/>
          <w:rtl/>
        </w:rPr>
        <w:tab/>
      </w:r>
      <w:r w:rsidRPr="003648B0">
        <w:rPr>
          <w:rStyle w:val="default"/>
          <w:rFonts w:cs="FrankRuehl" w:hint="cs"/>
          <w:strike/>
          <w:vanish/>
          <w:sz w:val="22"/>
          <w:szCs w:val="22"/>
          <w:shd w:val="clear" w:color="auto" w:fill="FFFF99"/>
          <w:rtl/>
        </w:rPr>
        <w:t>(2)</w:t>
      </w:r>
      <w:r w:rsidRPr="003648B0">
        <w:rPr>
          <w:rStyle w:val="default"/>
          <w:rFonts w:cs="FrankRuehl" w:hint="cs"/>
          <w:strike/>
          <w:vanish/>
          <w:sz w:val="22"/>
          <w:szCs w:val="22"/>
          <w:shd w:val="clear" w:color="auto" w:fill="FFFF99"/>
          <w:rtl/>
        </w:rPr>
        <w:tab/>
        <w:t>משנוכח מושל המחוז כי המבקש הוא הוא שהמיר את עדתו ולכשיראה לו זה תעודה כאמור לעיל מאת ראש העדה הדתית שאליה נספח המבקש, ירשום את דבר המרת העדה ויתן למבקש תעודה על רישום כזה.</w:t>
      </w:r>
    </w:p>
    <w:p w14:paraId="694DB068" w14:textId="77777777" w:rsidR="00303B61" w:rsidRPr="003648B0" w:rsidRDefault="00303B61" w:rsidP="003648B0">
      <w:pPr>
        <w:pStyle w:val="P00"/>
        <w:spacing w:before="0"/>
        <w:ind w:left="0" w:right="1134"/>
        <w:rPr>
          <w:rStyle w:val="default"/>
          <w:rFonts w:cs="FrankRuehl" w:hint="cs"/>
          <w:sz w:val="2"/>
          <w:szCs w:val="2"/>
          <w:rtl/>
        </w:rPr>
      </w:pPr>
      <w:r w:rsidRPr="003648B0">
        <w:rPr>
          <w:rStyle w:val="default"/>
          <w:rFonts w:cs="FrankRuehl" w:hint="cs"/>
          <w:vanish/>
          <w:sz w:val="22"/>
          <w:szCs w:val="22"/>
          <w:shd w:val="clear" w:color="auto" w:fill="FFFF99"/>
          <w:rtl/>
        </w:rPr>
        <w:tab/>
      </w:r>
      <w:r w:rsidRPr="003648B0">
        <w:rPr>
          <w:rStyle w:val="default"/>
          <w:rFonts w:cs="FrankRuehl" w:hint="cs"/>
          <w:strike/>
          <w:vanish/>
          <w:sz w:val="22"/>
          <w:szCs w:val="22"/>
          <w:shd w:val="clear" w:color="auto" w:fill="FFFF99"/>
          <w:rtl/>
        </w:rPr>
        <w:t>(3)</w:t>
      </w:r>
      <w:r w:rsidRPr="003648B0">
        <w:rPr>
          <w:rStyle w:val="default"/>
          <w:rFonts w:cs="FrankRuehl" w:hint="cs"/>
          <w:strike/>
          <w:vanish/>
          <w:sz w:val="22"/>
          <w:szCs w:val="22"/>
          <w:shd w:val="clear" w:color="auto" w:fill="FFFF99"/>
          <w:rtl/>
        </w:rPr>
        <w:tab/>
        <w:t>מושל המחוז ישלח העתקה אחת מתעודת הרישום לראש הדתי של העדה שאליה נספח המבקש, והעתקה אחת לראש הדתי של העדה שהמבקש היה נמנה עליה קודם לכן.</w:t>
      </w:r>
      <w:bookmarkEnd w:id="2"/>
    </w:p>
    <w:p w14:paraId="6475646A" w14:textId="77777777" w:rsidR="00374E31" w:rsidRDefault="00374E31">
      <w:pPr>
        <w:pStyle w:val="P00"/>
        <w:spacing w:before="72"/>
        <w:ind w:left="0" w:right="1134"/>
        <w:rPr>
          <w:rStyle w:val="default"/>
          <w:rFonts w:cs="FrankRuehl"/>
          <w:rtl/>
        </w:rPr>
      </w:pPr>
      <w:bookmarkStart w:id="3" w:name="Seif2"/>
      <w:bookmarkEnd w:id="3"/>
      <w:r>
        <w:rPr>
          <w:lang w:val="he-IL"/>
        </w:rPr>
        <w:pict w14:anchorId="36C9B072">
          <v:rect id="_x0000_s1028" style="position:absolute;left:0;text-align:left;margin-left:462pt;margin-top:8.05pt;width:77.55pt;height:35.75pt;z-index:251658240" o:allowincell="f" filled="f" stroked="f" strokecolor="lime" strokeweight=".25pt">
            <v:textbox inset="0,0,0,0">
              <w:txbxContent>
                <w:p w14:paraId="479AF824" w14:textId="77777777" w:rsidR="00374E31" w:rsidRDefault="00374E31">
                  <w:pPr>
                    <w:spacing w:line="160" w:lineRule="exact"/>
                    <w:jc w:val="left"/>
                    <w:rPr>
                      <w:rFonts w:cs="Miriam"/>
                      <w:noProof/>
                      <w:szCs w:val="18"/>
                      <w:rtl/>
                    </w:rPr>
                  </w:pPr>
                  <w:r>
                    <w:rPr>
                      <w:rFonts w:cs="Miriam"/>
                      <w:szCs w:val="18"/>
                      <w:rtl/>
                    </w:rPr>
                    <w:t>ה</w:t>
                  </w:r>
                  <w:r>
                    <w:rPr>
                      <w:rFonts w:cs="Miriam" w:hint="cs"/>
                      <w:szCs w:val="18"/>
                      <w:rtl/>
                    </w:rPr>
                    <w:t>גבלות בנידון המרת דתם של אנשים פחותים מבני שמונה עשרה שנה</w:t>
                  </w:r>
                </w:p>
              </w:txbxContent>
            </v:textbox>
            <w10:anchorlock/>
          </v:rect>
        </w:pict>
      </w:r>
      <w:r>
        <w:rPr>
          <w:rStyle w:val="big-number"/>
          <w:rtl/>
        </w:rPr>
        <w:t>3.</w:t>
      </w:r>
      <w:r>
        <w:rPr>
          <w:rStyle w:val="big-number"/>
          <w:rtl/>
        </w:rPr>
        <w:tab/>
      </w:r>
      <w:r>
        <w:rPr>
          <w:rStyle w:val="default"/>
          <w:rFonts w:cs="FrankRuehl"/>
          <w:rtl/>
        </w:rPr>
        <w:t>(1)</w:t>
      </w:r>
      <w:r>
        <w:rPr>
          <w:rStyle w:val="default"/>
          <w:rFonts w:cs="FrankRuehl"/>
          <w:rtl/>
        </w:rPr>
        <w:tab/>
      </w:r>
      <w:r>
        <w:rPr>
          <w:rStyle w:val="default"/>
          <w:rFonts w:cs="FrankRuehl" w:hint="cs"/>
          <w:rtl/>
        </w:rPr>
        <w:t>מי שהמיר את עדתו ולא מלאו לו שמונה עשרה שנה אין תוקף להמרתו אלא אם כן נתקבלה הסכמתו</w:t>
      </w:r>
      <w:r>
        <w:rPr>
          <w:rStyle w:val="default"/>
          <w:rFonts w:cs="FrankRuehl"/>
          <w:rtl/>
        </w:rPr>
        <w:t xml:space="preserve"> </w:t>
      </w:r>
      <w:r>
        <w:rPr>
          <w:rStyle w:val="default"/>
          <w:rFonts w:cs="FrankRuehl" w:hint="cs"/>
          <w:rtl/>
        </w:rPr>
        <w:t>של אחד מהורי האדם או הסכמת אפוטרופסו והודיעו על הסכמה זאת לממונה על המחוז.</w:t>
      </w:r>
    </w:p>
    <w:p w14:paraId="069A2029" w14:textId="77777777" w:rsidR="00374E31" w:rsidRDefault="00374E31">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אם קיים ספק בנוגע לגילו של האדם, תהא ההחלטה בענין זה מסורה לממונה על המחוז שבמחוז מגוריו של המבקש, לאחר שיימלך בדעת הרשות הדתית המקומית של אותה העדה שהמבקש רוצה לעזבה.</w:t>
      </w:r>
    </w:p>
    <w:p w14:paraId="61D07CB7" w14:textId="77777777" w:rsidR="00374E31" w:rsidRDefault="00374E31">
      <w:pPr>
        <w:pStyle w:val="P00"/>
        <w:spacing w:before="72"/>
        <w:ind w:left="0" w:right="1134"/>
        <w:rPr>
          <w:rStyle w:val="default"/>
          <w:rFonts w:cs="FrankRuehl"/>
          <w:rtl/>
        </w:rPr>
      </w:pPr>
      <w:bookmarkStart w:id="4" w:name="Seif3"/>
      <w:bookmarkEnd w:id="4"/>
      <w:r>
        <w:rPr>
          <w:lang w:val="he-IL"/>
        </w:rPr>
        <w:pict w14:anchorId="7282D6A2">
          <v:rect id="_x0000_s1029" style="position:absolute;left:0;text-align:left;margin-left:462pt;margin-top:8.05pt;width:77.55pt;height:25.65pt;z-index:251659264" o:allowincell="f" filled="f" stroked="f" strokecolor="lime" strokeweight=".25pt">
            <v:textbox inset="0,0,0,0">
              <w:txbxContent>
                <w:p w14:paraId="4E78F62C" w14:textId="77777777" w:rsidR="00374E31" w:rsidRDefault="00374E31">
                  <w:pPr>
                    <w:spacing w:line="160" w:lineRule="exact"/>
                    <w:jc w:val="left"/>
                    <w:rPr>
                      <w:rFonts w:cs="Miriam"/>
                      <w:noProof/>
                      <w:szCs w:val="18"/>
                      <w:rtl/>
                    </w:rPr>
                  </w:pPr>
                  <w:r>
                    <w:rPr>
                      <w:rFonts w:cs="Miriam"/>
                      <w:szCs w:val="18"/>
                      <w:rtl/>
                    </w:rPr>
                    <w:t>ה</w:t>
                  </w:r>
                  <w:r>
                    <w:rPr>
                      <w:rFonts w:cs="Miriam" w:hint="cs"/>
                      <w:szCs w:val="18"/>
                      <w:rtl/>
                    </w:rPr>
                    <w:t>מרת עד</w:t>
                  </w:r>
                  <w:r>
                    <w:rPr>
                      <w:rFonts w:cs="Miriam"/>
                      <w:szCs w:val="18"/>
                      <w:rtl/>
                    </w:rPr>
                    <w:t>ה</w:t>
                  </w:r>
                  <w:r>
                    <w:rPr>
                      <w:rFonts w:cs="Miriam" w:hint="cs"/>
                      <w:szCs w:val="18"/>
                      <w:rtl/>
                    </w:rPr>
                    <w:t xml:space="preserve"> לא תפגע בהתחייבויות ק</w:t>
                  </w:r>
                  <w:r>
                    <w:rPr>
                      <w:rFonts w:cs="Miriam"/>
                      <w:szCs w:val="18"/>
                      <w:rtl/>
                    </w:rPr>
                    <w:t>ו</w:t>
                  </w:r>
                  <w:r>
                    <w:rPr>
                      <w:rFonts w:cs="Miriam" w:hint="cs"/>
                      <w:szCs w:val="18"/>
                      <w:rtl/>
                    </w:rPr>
                    <w:t>דמות</w:t>
                  </w:r>
                </w:p>
              </w:txbxContent>
            </v:textbox>
            <w10:anchorlock/>
          </v:rect>
        </w:pict>
      </w:r>
      <w:r>
        <w:rPr>
          <w:rStyle w:val="big-number"/>
          <w:rtl/>
        </w:rPr>
        <w:t>4.</w:t>
      </w:r>
      <w:r>
        <w:rPr>
          <w:rStyle w:val="big-number"/>
          <w:rtl/>
        </w:rPr>
        <w:tab/>
      </w:r>
      <w:r>
        <w:rPr>
          <w:rStyle w:val="default"/>
          <w:rFonts w:cs="FrankRuehl"/>
          <w:rtl/>
        </w:rPr>
        <w:t>(1)</w:t>
      </w:r>
      <w:r>
        <w:rPr>
          <w:rStyle w:val="default"/>
          <w:rFonts w:cs="FrankRuehl"/>
          <w:rtl/>
        </w:rPr>
        <w:tab/>
      </w:r>
      <w:r>
        <w:rPr>
          <w:rStyle w:val="default"/>
          <w:rFonts w:cs="FrankRuehl" w:hint="cs"/>
          <w:rtl/>
        </w:rPr>
        <w:t>דבר המרת העדה שנרשם כחוק על פי פקודה זו לא יפגע בשום התחייבות שהיתה חלה על המומר לפני שהממונה על המחוז רשם את דבר המרתו.</w:t>
      </w:r>
    </w:p>
    <w:p w14:paraId="164D5EAF" w14:textId="77777777" w:rsidR="00374E31" w:rsidRDefault="00374E31">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למרות כל המרת עדה, יוסיף השיפוט בעניני נישואין, גירושין ומזונות להיות ביד אותו בית משפט ששפ</w:t>
      </w:r>
      <w:r>
        <w:rPr>
          <w:rStyle w:val="default"/>
          <w:rFonts w:cs="FrankRuehl"/>
          <w:rtl/>
        </w:rPr>
        <w:t>ט</w:t>
      </w:r>
      <w:r>
        <w:rPr>
          <w:rStyle w:val="default"/>
          <w:rFonts w:cs="FrankRuehl" w:hint="cs"/>
          <w:rtl/>
        </w:rPr>
        <w:t xml:space="preserve"> בענינים אלה לפני ההמרה, אלא אם כן נעשו גם הבעל וגם אשתו חברים לעדה דתית אחרת.</w:t>
      </w:r>
    </w:p>
    <w:p w14:paraId="31363020" w14:textId="77777777" w:rsidR="00374E31" w:rsidRPr="000C70CC" w:rsidRDefault="00374E31" w:rsidP="000C70CC">
      <w:pPr>
        <w:pStyle w:val="P00"/>
        <w:spacing w:before="72"/>
        <w:ind w:left="0" w:right="1134"/>
        <w:rPr>
          <w:rStyle w:val="default"/>
          <w:rFonts w:cs="FrankRuehl" w:hint="cs"/>
          <w:rtl/>
        </w:rPr>
      </w:pPr>
    </w:p>
    <w:p w14:paraId="06E0F938" w14:textId="77777777" w:rsidR="000C70CC" w:rsidRPr="000C70CC" w:rsidRDefault="000C70CC" w:rsidP="000C70CC">
      <w:pPr>
        <w:pStyle w:val="P00"/>
        <w:spacing w:before="72"/>
        <w:ind w:left="0" w:right="1134"/>
        <w:rPr>
          <w:rStyle w:val="default"/>
          <w:rFonts w:cs="FrankRuehl"/>
          <w:rtl/>
        </w:rPr>
      </w:pPr>
    </w:p>
    <w:p w14:paraId="7FC598A8" w14:textId="77777777" w:rsidR="00374E31" w:rsidRPr="000C70CC" w:rsidRDefault="00374E31" w:rsidP="000C70CC">
      <w:pPr>
        <w:pStyle w:val="P00"/>
        <w:spacing w:before="72"/>
        <w:ind w:left="0" w:right="1134"/>
        <w:rPr>
          <w:rStyle w:val="default"/>
          <w:rFonts w:cs="FrankRuehl"/>
          <w:rtl/>
        </w:rPr>
      </w:pPr>
      <w:bookmarkStart w:id="5" w:name="LawPartEnd"/>
    </w:p>
    <w:bookmarkEnd w:id="5"/>
    <w:p w14:paraId="5A7E5187" w14:textId="77777777" w:rsidR="00374E31" w:rsidRPr="000C70CC" w:rsidRDefault="00374E31" w:rsidP="000C70CC">
      <w:pPr>
        <w:pStyle w:val="P00"/>
        <w:spacing w:before="72"/>
        <w:ind w:left="0" w:right="1134"/>
        <w:rPr>
          <w:rStyle w:val="default"/>
          <w:rFonts w:cs="FrankRuehl"/>
          <w:rtl/>
        </w:rPr>
      </w:pPr>
    </w:p>
    <w:sectPr w:rsidR="00374E31" w:rsidRPr="000C70C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2A225" w14:textId="77777777" w:rsidR="00B72A91" w:rsidRDefault="00B72A91">
      <w:r>
        <w:separator/>
      </w:r>
    </w:p>
  </w:endnote>
  <w:endnote w:type="continuationSeparator" w:id="0">
    <w:p w14:paraId="3B6D217D" w14:textId="77777777" w:rsidR="00B72A91" w:rsidRDefault="00B72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6FE2" w14:textId="77777777" w:rsidR="00374E31" w:rsidRDefault="00374E3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B9E114E" w14:textId="77777777" w:rsidR="00374E31" w:rsidRDefault="00374E3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A0AE63A" w14:textId="77777777" w:rsidR="00374E31" w:rsidRDefault="00374E3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C70CC">
      <w:rPr>
        <w:rFonts w:cs="TopType Jerushalmi"/>
        <w:noProof/>
        <w:color w:val="000000"/>
        <w:sz w:val="14"/>
        <w:szCs w:val="14"/>
      </w:rPr>
      <w:t>D:\Yael\hakika\Revadim</w:t>
    </w:r>
    <w:r w:rsidR="000C70CC" w:rsidRPr="000C70CC">
      <w:rPr>
        <w:rFonts w:cs="TopType Jerushalmi"/>
        <w:noProof/>
        <w:color w:val="000000"/>
        <w:sz w:val="14"/>
        <w:szCs w:val="14"/>
        <w:rtl/>
      </w:rPr>
      <w:t>\קישורים\</w:t>
    </w:r>
    <w:r w:rsidR="000C70CC">
      <w:rPr>
        <w:rFonts w:cs="TopType Jerushalmi"/>
        <w:noProof/>
        <w:color w:val="000000"/>
        <w:sz w:val="14"/>
        <w:szCs w:val="14"/>
      </w:rPr>
      <w:t>P177_002.doc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C3B7D" w14:textId="77777777" w:rsidR="00374E31" w:rsidRDefault="00374E3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0799B">
      <w:rPr>
        <w:rFonts w:hAnsi="FrankRuehl" w:cs="FrankRuehl"/>
        <w:noProof/>
        <w:sz w:val="24"/>
        <w:szCs w:val="24"/>
        <w:rtl/>
      </w:rPr>
      <w:t>2</w:t>
    </w:r>
    <w:r>
      <w:rPr>
        <w:rFonts w:hAnsi="FrankRuehl" w:cs="FrankRuehl"/>
        <w:sz w:val="24"/>
        <w:szCs w:val="24"/>
        <w:rtl/>
      </w:rPr>
      <w:fldChar w:fldCharType="end"/>
    </w:r>
  </w:p>
  <w:p w14:paraId="33130094" w14:textId="77777777" w:rsidR="00374E31" w:rsidRDefault="00374E3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B0A0341" w14:textId="77777777" w:rsidR="00374E31" w:rsidRDefault="00374E3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C70CC">
      <w:rPr>
        <w:rFonts w:cs="TopType Jerushalmi"/>
        <w:noProof/>
        <w:color w:val="000000"/>
        <w:sz w:val="14"/>
        <w:szCs w:val="14"/>
      </w:rPr>
      <w:t>D:\Yael\hakika\Revadim</w:t>
    </w:r>
    <w:r w:rsidR="000C70CC" w:rsidRPr="000C70CC">
      <w:rPr>
        <w:rFonts w:cs="TopType Jerushalmi"/>
        <w:noProof/>
        <w:color w:val="000000"/>
        <w:sz w:val="14"/>
        <w:szCs w:val="14"/>
        <w:rtl/>
      </w:rPr>
      <w:t>\קישורים\</w:t>
    </w:r>
    <w:r w:rsidR="000C70CC">
      <w:rPr>
        <w:rFonts w:cs="TopType Jerushalmi"/>
        <w:noProof/>
        <w:color w:val="000000"/>
        <w:sz w:val="14"/>
        <w:szCs w:val="14"/>
      </w:rPr>
      <w:t>P177_002.doc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10129" w14:textId="77777777" w:rsidR="00B72A91" w:rsidRDefault="00B72A91" w:rsidP="000C70CC">
      <w:pPr>
        <w:spacing w:before="60" w:line="240" w:lineRule="auto"/>
        <w:ind w:right="1134"/>
      </w:pPr>
      <w:r>
        <w:separator/>
      </w:r>
    </w:p>
  </w:footnote>
  <w:footnote w:type="continuationSeparator" w:id="0">
    <w:p w14:paraId="6474386C" w14:textId="77777777" w:rsidR="00B72A91" w:rsidRDefault="00B72A91">
      <w:r>
        <w:continuationSeparator/>
      </w:r>
    </w:p>
  </w:footnote>
  <w:footnote w:id="1">
    <w:p w14:paraId="5CC74DDE" w14:textId="77777777" w:rsidR="000C70CC" w:rsidRDefault="000C70CC" w:rsidP="000C70C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0C70CC">
        <w:rPr>
          <w:sz w:val="20"/>
          <w:rtl/>
        </w:rPr>
        <w:t xml:space="preserve">* </w:t>
      </w:r>
      <w:r>
        <w:rPr>
          <w:sz w:val="20"/>
          <w:rtl/>
        </w:rPr>
        <w:t>פ</w:t>
      </w:r>
      <w:r>
        <w:rPr>
          <w:rFonts w:hint="cs"/>
          <w:sz w:val="20"/>
          <w:rtl/>
        </w:rPr>
        <w:t xml:space="preserve">ורסמה </w:t>
      </w:r>
      <w:hyperlink r:id="rId1" w:history="1">
        <w:r w:rsidRPr="00181B0D">
          <w:rPr>
            <w:rStyle w:val="Hyperlink"/>
            <w:rFonts w:hint="cs"/>
            <w:sz w:val="20"/>
            <w:rtl/>
          </w:rPr>
          <w:t>חא"י</w:t>
        </w:r>
      </w:hyperlink>
      <w:r>
        <w:rPr>
          <w:rFonts w:hint="cs"/>
          <w:sz w:val="20"/>
          <w:rtl/>
        </w:rPr>
        <w:t>, כרך ב', עמ' (ע) 1269, (א) 1294.</w:t>
      </w:r>
    </w:p>
    <w:p w14:paraId="650315D6" w14:textId="77777777" w:rsidR="000C70CC" w:rsidRDefault="000C70CC" w:rsidP="000C70C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וקנה </w:t>
      </w:r>
      <w:hyperlink r:id="rId2" w:history="1">
        <w:r w:rsidRPr="00181B0D">
          <w:rPr>
            <w:rStyle w:val="Hyperlink"/>
            <w:rFonts w:hint="cs"/>
            <w:sz w:val="20"/>
            <w:rtl/>
          </w:rPr>
          <w:t>ע"ר מס' 1588</w:t>
        </w:r>
      </w:hyperlink>
      <w:r>
        <w:rPr>
          <w:rFonts w:hint="cs"/>
          <w:sz w:val="20"/>
          <w:rtl/>
        </w:rPr>
        <w:t xml:space="preserve"> מיום 14.6.1947, תוס' 1, עמ' (ע) 121, (א) 147</w:t>
      </w:r>
      <w:r w:rsidR="00303B61">
        <w:rPr>
          <w:rFonts w:hint="cs"/>
          <w:sz w:val="20"/>
          <w:rtl/>
        </w:rPr>
        <w:t xml:space="preserve"> (מס' 15 לש' 1947); תחילתו ביום 16.12.1927</w:t>
      </w:r>
      <w:r>
        <w:rPr>
          <w:rFonts w:hint="cs"/>
          <w:sz w:val="20"/>
          <w:rtl/>
        </w:rPr>
        <w:t>.</w:t>
      </w:r>
    </w:p>
    <w:p w14:paraId="4269AAED" w14:textId="77777777" w:rsidR="000C70CC" w:rsidRPr="000C70CC" w:rsidRDefault="000C70CC" w:rsidP="000C70C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ב</w:t>
      </w:r>
      <w:r>
        <w:rPr>
          <w:rFonts w:hint="cs"/>
          <w:sz w:val="20"/>
          <w:rtl/>
        </w:rPr>
        <w:t>סעיף 2(2) לדבר המלך במועצה על ארץ-ישראל (תיק</w:t>
      </w:r>
      <w:r>
        <w:rPr>
          <w:sz w:val="20"/>
          <w:rtl/>
        </w:rPr>
        <w:t>ו</w:t>
      </w:r>
      <w:r>
        <w:rPr>
          <w:rFonts w:hint="cs"/>
          <w:sz w:val="20"/>
          <w:rtl/>
        </w:rPr>
        <w:t xml:space="preserve">ן), 1940, הוכרז, כדי לסלק ספקות, כי למרות כל דבר הכלול בדבר המלך על ארץ-ישראל, 1922, או בכל תיקון מתיקוניו, גם הפקודה הזאת, בין היתר, חוקקה כחוק: ר' </w:t>
      </w:r>
      <w:hyperlink r:id="rId3" w:history="1">
        <w:r w:rsidRPr="00303B61">
          <w:rPr>
            <w:rStyle w:val="Hyperlink"/>
            <w:rFonts w:hint="cs"/>
            <w:sz w:val="20"/>
            <w:rtl/>
          </w:rPr>
          <w:t>ע"ר מס' 1093</w:t>
        </w:r>
      </w:hyperlink>
      <w:r>
        <w:rPr>
          <w:rFonts w:hint="cs"/>
          <w:sz w:val="20"/>
          <w:rtl/>
        </w:rPr>
        <w:t xml:space="preserve"> מיום 1.5.1941, תוס' 2, עמ' (ע) 561, (א) 666.</w:t>
      </w:r>
    </w:p>
  </w:footnote>
  <w:footnote w:id="2">
    <w:p w14:paraId="6ACF2D6C" w14:textId="77777777" w:rsidR="000C70CC" w:rsidRDefault="000C70CC" w:rsidP="00181B0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Pr>
        <w:footnoteRef/>
      </w:r>
      <w:r w:rsidRPr="000C70CC">
        <w:rPr>
          <w:rtl/>
        </w:rPr>
        <w:t xml:space="preserve"> ס</w:t>
      </w:r>
      <w:r w:rsidRPr="000C70CC">
        <w:rPr>
          <w:rFonts w:hint="cs"/>
          <w:rtl/>
        </w:rPr>
        <w:t xml:space="preserve">מכויות הנציב </w:t>
      </w:r>
      <w:r w:rsidRPr="000C70CC">
        <w:rPr>
          <w:rFonts w:hint="cs"/>
          <w:sz w:val="20"/>
          <w:rtl/>
        </w:rPr>
        <w:t>העליון</w:t>
      </w:r>
      <w:r w:rsidRPr="000C70CC">
        <w:rPr>
          <w:rFonts w:hint="cs"/>
          <w:rtl/>
        </w:rPr>
        <w:t xml:space="preserve"> עפ"י פקודה זו הועברו </w:t>
      </w:r>
      <w:r w:rsidRPr="000C70CC">
        <w:rPr>
          <w:rtl/>
        </w:rPr>
        <w:t>ל</w:t>
      </w:r>
      <w:r>
        <w:rPr>
          <w:rFonts w:hint="cs"/>
          <w:rtl/>
        </w:rPr>
        <w:t>שר הדתות</w:t>
      </w:r>
      <w:r w:rsidR="00181B0D">
        <w:rPr>
          <w:rFonts w:hint="cs"/>
          <w:rtl/>
        </w:rPr>
        <w:t>:</w:t>
      </w:r>
      <w:r w:rsidRPr="000C70CC">
        <w:rPr>
          <w:rFonts w:hint="cs"/>
          <w:rtl/>
        </w:rPr>
        <w:t xml:space="preserve"> </w:t>
      </w:r>
      <w:hyperlink r:id="rId4" w:history="1">
        <w:r w:rsidRPr="00181B0D">
          <w:rPr>
            <w:rStyle w:val="Hyperlink"/>
            <w:rFonts w:hint="cs"/>
            <w:rtl/>
          </w:rPr>
          <w:t xml:space="preserve">ע"ר </w:t>
        </w:r>
        <w:r w:rsidR="00181B0D" w:rsidRPr="00181B0D">
          <w:rPr>
            <w:rStyle w:val="Hyperlink"/>
            <w:rFonts w:hint="cs"/>
            <w:rtl/>
          </w:rPr>
          <w:t xml:space="preserve">תש"ח </w:t>
        </w:r>
        <w:r w:rsidRPr="00181B0D">
          <w:rPr>
            <w:rStyle w:val="Hyperlink"/>
            <w:rFonts w:hint="cs"/>
            <w:rtl/>
          </w:rPr>
          <w:t>מס' 5</w:t>
        </w:r>
      </w:hyperlink>
      <w:r w:rsidRPr="000C70CC">
        <w:rPr>
          <w:rFonts w:hint="cs"/>
          <w:rtl/>
        </w:rPr>
        <w:t xml:space="preserve"> מיום </w:t>
      </w:r>
      <w:r>
        <w:rPr>
          <w:rFonts w:hint="cs"/>
          <w:rtl/>
        </w:rPr>
        <w:t>16.6.1948</w:t>
      </w:r>
      <w:r w:rsidRPr="000C70CC">
        <w:rPr>
          <w:rFonts w:hint="cs"/>
          <w:rtl/>
        </w:rPr>
        <w:t xml:space="preserve"> עמ' 22.</w:t>
      </w:r>
      <w:r>
        <w:rPr>
          <w:rFonts w:hint="cs"/>
          <w:rtl/>
        </w:rPr>
        <w:t xml:space="preserve"> </w:t>
      </w:r>
      <w:r w:rsidRPr="000C70CC">
        <w:rPr>
          <w:rFonts w:hint="cs"/>
          <w:rtl/>
        </w:rPr>
        <w:t>הסמכות לענין המרות דת שאינן גיור הועברה לשר המשפטים</w:t>
      </w:r>
      <w:r w:rsidR="00181B0D">
        <w:rPr>
          <w:rFonts w:hint="cs"/>
          <w:rtl/>
        </w:rPr>
        <w:t>:</w:t>
      </w:r>
      <w:r w:rsidRPr="000C70CC">
        <w:rPr>
          <w:rFonts w:hint="cs"/>
          <w:rtl/>
        </w:rPr>
        <w:t xml:space="preserve"> </w:t>
      </w:r>
      <w:hyperlink r:id="rId5" w:history="1">
        <w:r w:rsidRPr="000C70CC">
          <w:rPr>
            <w:rStyle w:val="Hyperlink"/>
            <w:rFonts w:hint="cs"/>
            <w:rtl/>
          </w:rPr>
          <w:t>י"פ תשס"ה מס' 5413</w:t>
        </w:r>
      </w:hyperlink>
      <w:r w:rsidRPr="000C70CC">
        <w:rPr>
          <w:rFonts w:hint="cs"/>
          <w:rtl/>
        </w:rPr>
        <w:t xml:space="preserve"> מיום 30.6.2005 עמ' 3280.</w:t>
      </w:r>
      <w:r w:rsidR="00BB225E">
        <w:rPr>
          <w:rFonts w:hint="cs"/>
          <w:rtl/>
        </w:rPr>
        <w:t xml:space="preserve"> </w:t>
      </w:r>
      <w:r w:rsidR="00BB225E" w:rsidRPr="00A164A8">
        <w:rPr>
          <w:rFonts w:hint="cs"/>
          <w:rtl/>
        </w:rPr>
        <w:t xml:space="preserve">סמכויות ראש הממשלה </w:t>
      </w:r>
      <w:r w:rsidR="00BB225E">
        <w:rPr>
          <w:rFonts w:hint="cs"/>
          <w:rtl/>
        </w:rPr>
        <w:t xml:space="preserve">בנושאי גיור </w:t>
      </w:r>
      <w:r w:rsidR="00BB225E" w:rsidRPr="00322322">
        <w:rPr>
          <w:rFonts w:hint="cs"/>
          <w:rtl/>
        </w:rPr>
        <w:t xml:space="preserve">הועברו לשר לשירותי דת: </w:t>
      </w:r>
      <w:hyperlink r:id="rId6" w:history="1">
        <w:r w:rsidR="00BB225E" w:rsidRPr="00322322">
          <w:rPr>
            <w:rStyle w:val="Hyperlink"/>
            <w:rFonts w:hint="cs"/>
            <w:rtl/>
          </w:rPr>
          <w:t>י"פ תשע"ג מס' 6609</w:t>
        </w:r>
      </w:hyperlink>
      <w:r w:rsidR="00BB225E" w:rsidRPr="00322322">
        <w:rPr>
          <w:rFonts w:hint="cs"/>
          <w:rtl/>
        </w:rPr>
        <w:t xml:space="preserve"> מיום 17.6.2013 עמ' 5336.</w:t>
      </w:r>
      <w:r w:rsidR="0060799B">
        <w:rPr>
          <w:rFonts w:hint="cs"/>
          <w:rtl/>
        </w:rPr>
        <w:t xml:space="preserve"> סמכויות השר לשירותי דת בנושאי גיור הועברו לראש הממשלה: </w:t>
      </w:r>
      <w:hyperlink r:id="rId7" w:history="1">
        <w:r w:rsidR="0060799B" w:rsidRPr="0060799B">
          <w:rPr>
            <w:rStyle w:val="Hyperlink"/>
            <w:rFonts w:hint="cs"/>
            <w:rtl/>
          </w:rPr>
          <w:t>י"פ תשע"ה מס' 7084</w:t>
        </w:r>
      </w:hyperlink>
      <w:r w:rsidR="0060799B">
        <w:rPr>
          <w:rFonts w:hint="cs"/>
          <w:rtl/>
        </w:rPr>
        <w:t xml:space="preserve"> מיום 2.8.2015 עמ' 7608.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1C1A9" w14:textId="77777777" w:rsidR="00374E31" w:rsidRDefault="00374E3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העדה הדתית</w:t>
    </w:r>
  </w:p>
  <w:p w14:paraId="101F7997" w14:textId="77777777" w:rsidR="00374E31" w:rsidRDefault="00374E3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885FD0" w14:textId="77777777" w:rsidR="00374E31" w:rsidRDefault="00374E3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8F8D0" w14:textId="77777777" w:rsidR="00374E31" w:rsidRDefault="00374E31">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פקודת העדה הדתית</w:t>
    </w:r>
    <w:r>
      <w:rPr>
        <w:rFonts w:hAnsi="FrankRuehl" w:cs="FrankRuehl" w:hint="cs"/>
        <w:color w:val="000000"/>
        <w:sz w:val="28"/>
        <w:szCs w:val="28"/>
        <w:rtl/>
      </w:rPr>
      <w:t xml:space="preserve"> (המרה)</w:t>
    </w:r>
  </w:p>
  <w:p w14:paraId="469E0F17" w14:textId="77777777" w:rsidR="00374E31" w:rsidRDefault="00374E3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8B5C2CB" w14:textId="77777777" w:rsidR="00374E31" w:rsidRDefault="00374E3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70CC"/>
    <w:rsid w:val="000C70CC"/>
    <w:rsid w:val="00181B0D"/>
    <w:rsid w:val="00285026"/>
    <w:rsid w:val="00303B61"/>
    <w:rsid w:val="003648B0"/>
    <w:rsid w:val="00374E31"/>
    <w:rsid w:val="00375DB3"/>
    <w:rsid w:val="0060799B"/>
    <w:rsid w:val="007D25CF"/>
    <w:rsid w:val="00847178"/>
    <w:rsid w:val="00B72A91"/>
    <w:rsid w:val="00BB225E"/>
    <w:rsid w:val="00C85DD9"/>
    <w:rsid w:val="00D1390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B146C82"/>
  <w15:chartTrackingRefBased/>
  <w15:docId w15:val="{1FAFECF8-9611-4EE4-B9FF-D14C9E0B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0C70CC"/>
    <w:rPr>
      <w:sz w:val="20"/>
      <w:szCs w:val="20"/>
    </w:rPr>
  </w:style>
  <w:style w:type="character" w:styleId="a6">
    <w:name w:val="footnote reference"/>
    <w:basedOn w:val="a0"/>
    <w:semiHidden/>
    <w:rsid w:val="000C70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21/PG-1588-1.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html/law21/PG-1093-2.pdf" TargetMode="External"/><Relationship Id="rId7" Type="http://schemas.openxmlformats.org/officeDocument/2006/relationships/hyperlink" Target="http://www.nevo.co.il/Law_word/law10/yalkut-7084.pdf" TargetMode="External"/><Relationship Id="rId2" Type="http://schemas.openxmlformats.org/officeDocument/2006/relationships/hyperlink" Target="http://www.nevo.co.il/law_html/law21/PG-1588-1.pdf" TargetMode="External"/><Relationship Id="rId1" Type="http://schemas.openxmlformats.org/officeDocument/2006/relationships/hyperlink" Target="http://www.nevo.co.il/law_html/law55/hei-b127.pdf" TargetMode="External"/><Relationship Id="rId6" Type="http://schemas.openxmlformats.org/officeDocument/2006/relationships/hyperlink" Target="http://www.nevo.co.il/Law_word/law10/yalkut-6609.pdf" TargetMode="External"/><Relationship Id="rId5" Type="http://schemas.openxmlformats.org/officeDocument/2006/relationships/hyperlink" Target="http://www.nevo.co.il/Law_word/law10/YALKUT-5413.pdf" TargetMode="External"/><Relationship Id="rId4" Type="http://schemas.openxmlformats.org/officeDocument/2006/relationships/hyperlink" Target="http://www.nevo.co.il/law_html/law12/er-0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פרק 177</vt:lpstr>
    </vt:vector>
  </TitlesOfParts>
  <Company/>
  <LinksUpToDate>false</LinksUpToDate>
  <CharactersWithSpaces>2761</CharactersWithSpaces>
  <SharedDoc>false</SharedDoc>
  <HLinks>
    <vt:vector size="72" baseType="variant">
      <vt:variant>
        <vt:i4>5177407</vt:i4>
      </vt:variant>
      <vt:variant>
        <vt:i4>24</vt:i4>
      </vt:variant>
      <vt:variant>
        <vt:i4>0</vt:i4>
      </vt:variant>
      <vt:variant>
        <vt:i4>5</vt:i4>
      </vt:variant>
      <vt:variant>
        <vt:lpwstr>http://www.nevo.co.il/law_html/law21/PG-1588-1.pdf</vt:lpwstr>
      </vt:variant>
      <vt:variant>
        <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7667726</vt:i4>
      </vt:variant>
      <vt:variant>
        <vt:i4>18</vt:i4>
      </vt:variant>
      <vt:variant>
        <vt:i4>0</vt:i4>
      </vt:variant>
      <vt:variant>
        <vt:i4>5</vt:i4>
      </vt:variant>
      <vt:variant>
        <vt:lpwstr>http://www.nevo.co.il/Law_word/law10/yalkut-7084.pdf</vt:lpwstr>
      </vt:variant>
      <vt:variant>
        <vt:lpwstr/>
      </vt:variant>
      <vt:variant>
        <vt:i4>8257543</vt:i4>
      </vt:variant>
      <vt:variant>
        <vt:i4>15</vt:i4>
      </vt:variant>
      <vt:variant>
        <vt:i4>0</vt:i4>
      </vt:variant>
      <vt:variant>
        <vt:i4>5</vt:i4>
      </vt:variant>
      <vt:variant>
        <vt:lpwstr>http://www.nevo.co.il/Law_word/law10/yalkut-6609.pdf</vt:lpwstr>
      </vt:variant>
      <vt:variant>
        <vt:lpwstr/>
      </vt:variant>
      <vt:variant>
        <vt:i4>7733253</vt:i4>
      </vt:variant>
      <vt:variant>
        <vt:i4>12</vt:i4>
      </vt:variant>
      <vt:variant>
        <vt:i4>0</vt:i4>
      </vt:variant>
      <vt:variant>
        <vt:i4>5</vt:i4>
      </vt:variant>
      <vt:variant>
        <vt:lpwstr>http://www.nevo.co.il/Law_word/law10/YALKUT-5413.pdf</vt:lpwstr>
      </vt:variant>
      <vt:variant>
        <vt:lpwstr/>
      </vt:variant>
      <vt:variant>
        <vt:i4>589874</vt:i4>
      </vt:variant>
      <vt:variant>
        <vt:i4>9</vt:i4>
      </vt:variant>
      <vt:variant>
        <vt:i4>0</vt:i4>
      </vt:variant>
      <vt:variant>
        <vt:i4>5</vt:i4>
      </vt:variant>
      <vt:variant>
        <vt:lpwstr>http://www.nevo.co.il/law_html/law12/er-005.pdf</vt:lpwstr>
      </vt:variant>
      <vt:variant>
        <vt:lpwstr/>
      </vt:variant>
      <vt:variant>
        <vt:i4>4325438</vt:i4>
      </vt:variant>
      <vt:variant>
        <vt:i4>6</vt:i4>
      </vt:variant>
      <vt:variant>
        <vt:i4>0</vt:i4>
      </vt:variant>
      <vt:variant>
        <vt:i4>5</vt:i4>
      </vt:variant>
      <vt:variant>
        <vt:lpwstr>http://www.nevo.co.il/law_html/law21/PG-1093-2.pdf</vt:lpwstr>
      </vt:variant>
      <vt:variant>
        <vt:lpwstr/>
      </vt:variant>
      <vt:variant>
        <vt:i4>5177407</vt:i4>
      </vt:variant>
      <vt:variant>
        <vt:i4>3</vt:i4>
      </vt:variant>
      <vt:variant>
        <vt:i4>0</vt:i4>
      </vt:variant>
      <vt:variant>
        <vt:i4>5</vt:i4>
      </vt:variant>
      <vt:variant>
        <vt:lpwstr>http://www.nevo.co.il/law_html/law21/PG-1588-1.pdf</vt:lpwstr>
      </vt:variant>
      <vt:variant>
        <vt:lpwstr/>
      </vt:variant>
      <vt:variant>
        <vt:i4>2555919</vt:i4>
      </vt:variant>
      <vt:variant>
        <vt:i4>0</vt:i4>
      </vt:variant>
      <vt:variant>
        <vt:i4>0</vt:i4>
      </vt:variant>
      <vt:variant>
        <vt:i4>5</vt:i4>
      </vt:variant>
      <vt:variant>
        <vt:lpwstr>http://www.nevo.co.il/law_html/law55/hei-b127.pdf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177</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P177</vt:lpwstr>
  </property>
  <property fmtid="{D5CDD505-2E9C-101B-9397-08002B2CF9AE}" pid="3" name="CHNAME">
    <vt:lpwstr>עדות דתיות</vt:lpwstr>
  </property>
  <property fmtid="{D5CDD505-2E9C-101B-9397-08002B2CF9AE}" pid="4" name="LAWNAME">
    <vt:lpwstr>פקודת העדה הדתית (המרה)</vt:lpwstr>
  </property>
  <property fmtid="{D5CDD505-2E9C-101B-9397-08002B2CF9AE}" pid="5" name="LAWNUMBER">
    <vt:lpwstr>0002</vt:lpwstr>
  </property>
  <property fmtid="{D5CDD505-2E9C-101B-9397-08002B2CF9AE}" pid="6" name="TYPE">
    <vt:lpwstr>01</vt:lpwstr>
  </property>
  <property fmtid="{D5CDD505-2E9C-101B-9397-08002B2CF9AE}" pid="7" name="LINKK1">
    <vt:lpwstr>http://www.nevo.co.il/Law_word/law10/YALKUT-5413.pdf;רשומות – ילקוט פרסומים#הסמכות לענין המרות דת שאינן גיור הועברה לשר המשפטים#י"פ תשס"ה מס' 5413#מיום 30.6.2005#עמ' 3280</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עדות דתיות</vt:lpwstr>
  </property>
  <property fmtid="{D5CDD505-2E9C-101B-9397-08002B2CF9AE}" pid="24" name="NOSE31">
    <vt:lpwstr/>
  </property>
  <property fmtid="{D5CDD505-2E9C-101B-9397-08002B2CF9AE}" pid="25" name="NOSE41">
    <vt:lpwstr/>
  </property>
  <property fmtid="{D5CDD505-2E9C-101B-9397-08002B2CF9AE}" pid="26" name="NOSE12">
    <vt:lpwstr>מעמד אישי ומשפחה</vt:lpwstr>
  </property>
  <property fmtid="{D5CDD505-2E9C-101B-9397-08002B2CF9AE}" pid="27" name="NOSE22">
    <vt:lpwstr>עדות דתיות</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