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8A19" w14:textId="77777777" w:rsidR="00735035" w:rsidRDefault="00735035">
      <w:pPr>
        <w:pStyle w:val="big-header"/>
        <w:ind w:left="0" w:right="1134"/>
      </w:pPr>
      <w:r>
        <w:rPr>
          <w:rtl/>
        </w:rPr>
        <w:t>פקודת הפרוצדורה האזרחית</w:t>
      </w:r>
    </w:p>
    <w:p w14:paraId="77D79095" w14:textId="77777777" w:rsidR="00AB301D" w:rsidRPr="00AB301D" w:rsidRDefault="00AB301D" w:rsidP="00AB301D">
      <w:pPr>
        <w:spacing w:line="320" w:lineRule="auto"/>
        <w:jc w:val="left"/>
        <w:rPr>
          <w:rFonts w:cs="FrankRuehl"/>
          <w:szCs w:val="26"/>
          <w:rtl/>
        </w:rPr>
      </w:pPr>
    </w:p>
    <w:p w14:paraId="23D2AA7A" w14:textId="77777777" w:rsidR="00192217" w:rsidRDefault="00192217" w:rsidP="00192217">
      <w:pPr>
        <w:spacing w:line="320" w:lineRule="auto"/>
        <w:jc w:val="left"/>
        <w:rPr>
          <w:rtl/>
        </w:rPr>
      </w:pPr>
    </w:p>
    <w:p w14:paraId="63E2D805" w14:textId="77777777" w:rsidR="00192217" w:rsidRDefault="00192217" w:rsidP="00192217">
      <w:pPr>
        <w:spacing w:line="320" w:lineRule="auto"/>
        <w:jc w:val="left"/>
        <w:rPr>
          <w:rFonts w:cs="FrankRuehl"/>
          <w:szCs w:val="26"/>
          <w:rtl/>
        </w:rPr>
      </w:pPr>
      <w:r w:rsidRPr="00192217">
        <w:rPr>
          <w:rFonts w:cs="Miriam"/>
          <w:szCs w:val="22"/>
          <w:rtl/>
        </w:rPr>
        <w:t>בתי משפט וסדרי דין</w:t>
      </w:r>
      <w:r w:rsidRPr="00192217">
        <w:rPr>
          <w:rFonts w:cs="FrankRuehl"/>
          <w:szCs w:val="26"/>
          <w:rtl/>
        </w:rPr>
        <w:t xml:space="preserve"> – סדר דין אזרחי – החוק העותומני – פקודת הפרוצ' האזרחית</w:t>
      </w:r>
    </w:p>
    <w:p w14:paraId="10861F85" w14:textId="77777777" w:rsidR="00192217" w:rsidRDefault="00192217" w:rsidP="00192217">
      <w:pPr>
        <w:spacing w:line="320" w:lineRule="auto"/>
        <w:jc w:val="left"/>
        <w:rPr>
          <w:rFonts w:cs="FrankRuehl"/>
          <w:szCs w:val="26"/>
          <w:rtl/>
        </w:rPr>
      </w:pPr>
      <w:r w:rsidRPr="00192217">
        <w:rPr>
          <w:rFonts w:cs="Miriam"/>
          <w:szCs w:val="22"/>
          <w:rtl/>
        </w:rPr>
        <w:t>בתי משפט וסדרי דין</w:t>
      </w:r>
      <w:r w:rsidRPr="00192217">
        <w:rPr>
          <w:rFonts w:cs="FrankRuehl"/>
          <w:szCs w:val="26"/>
          <w:rtl/>
        </w:rPr>
        <w:t xml:space="preserve"> – הוצאה לפועל</w:t>
      </w:r>
    </w:p>
    <w:p w14:paraId="0473F3C8" w14:textId="77777777" w:rsidR="00AB301D" w:rsidRPr="00192217" w:rsidRDefault="00192217" w:rsidP="00192217">
      <w:pPr>
        <w:spacing w:line="320" w:lineRule="auto"/>
        <w:jc w:val="left"/>
        <w:rPr>
          <w:rFonts w:cs="Miriam"/>
          <w:szCs w:val="22"/>
          <w:rtl/>
        </w:rPr>
      </w:pPr>
      <w:r w:rsidRPr="00192217">
        <w:rPr>
          <w:rFonts w:cs="Miriam"/>
          <w:szCs w:val="22"/>
          <w:rtl/>
        </w:rPr>
        <w:t>בתי משפט וסדרי דין</w:t>
      </w:r>
      <w:r w:rsidRPr="00192217">
        <w:rPr>
          <w:rFonts w:cs="FrankRuehl"/>
          <w:szCs w:val="26"/>
          <w:rtl/>
        </w:rPr>
        <w:t xml:space="preserve"> – סדר דין אזרחי</w:t>
      </w:r>
    </w:p>
    <w:p w14:paraId="6F5BF78D" w14:textId="77777777" w:rsidR="00735035" w:rsidRDefault="0073503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35035" w14:paraId="1202BF2B" w14:textId="77777777">
        <w:tblPrEx>
          <w:tblCellMar>
            <w:top w:w="0" w:type="dxa"/>
            <w:bottom w:w="0" w:type="dxa"/>
          </w:tblCellMar>
        </w:tblPrEx>
        <w:tc>
          <w:tcPr>
            <w:tcW w:w="850" w:type="dxa"/>
          </w:tcPr>
          <w:p w14:paraId="3634C965" w14:textId="77777777" w:rsidR="00735035" w:rsidRDefault="0073503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E6BE7">
              <w:rPr>
                <w:noProof/>
                <w:sz w:val="24"/>
                <w:rtl/>
              </w:rPr>
              <w:t>2</w:t>
            </w:r>
            <w:r>
              <w:rPr>
                <w:sz w:val="24"/>
                <w:rtl/>
              </w:rPr>
              <w:fldChar w:fldCharType="end"/>
            </w:r>
          </w:p>
        </w:tc>
        <w:tc>
          <w:tcPr>
            <w:tcW w:w="567" w:type="dxa"/>
          </w:tcPr>
          <w:p w14:paraId="221EF432" w14:textId="77777777" w:rsidR="00735035" w:rsidRDefault="00735035">
            <w:pPr>
              <w:spacing w:line="240" w:lineRule="auto"/>
              <w:rPr>
                <w:sz w:val="24"/>
              </w:rPr>
            </w:pPr>
            <w:hyperlink w:anchor="Seif0" w:tooltip="השם הקצר" w:history="1">
              <w:r>
                <w:rPr>
                  <w:rStyle w:val="Hyperlink"/>
                </w:rPr>
                <w:t>Go</w:t>
              </w:r>
            </w:hyperlink>
          </w:p>
        </w:tc>
        <w:tc>
          <w:tcPr>
            <w:tcW w:w="5669" w:type="dxa"/>
          </w:tcPr>
          <w:p w14:paraId="188AE71A" w14:textId="77777777" w:rsidR="00735035" w:rsidRDefault="00735035">
            <w:pPr>
              <w:spacing w:line="240" w:lineRule="auto"/>
              <w:rPr>
                <w:sz w:val="24"/>
                <w:rtl/>
              </w:rPr>
            </w:pPr>
            <w:r>
              <w:rPr>
                <w:sz w:val="24"/>
                <w:rtl/>
              </w:rPr>
              <w:t>השם הקצר</w:t>
            </w:r>
          </w:p>
        </w:tc>
        <w:tc>
          <w:tcPr>
            <w:tcW w:w="1247" w:type="dxa"/>
          </w:tcPr>
          <w:p w14:paraId="23D0881E" w14:textId="77777777" w:rsidR="00735035" w:rsidRDefault="00735035">
            <w:pPr>
              <w:spacing w:line="240" w:lineRule="auto"/>
              <w:rPr>
                <w:sz w:val="24"/>
              </w:rPr>
            </w:pPr>
            <w:r>
              <w:rPr>
                <w:sz w:val="24"/>
                <w:rtl/>
              </w:rPr>
              <w:t xml:space="preserve">סעיף 1 </w:t>
            </w:r>
          </w:p>
        </w:tc>
      </w:tr>
      <w:tr w:rsidR="00735035" w14:paraId="1C8892D1" w14:textId="77777777">
        <w:tblPrEx>
          <w:tblCellMar>
            <w:top w:w="0" w:type="dxa"/>
            <w:bottom w:w="0" w:type="dxa"/>
          </w:tblCellMar>
        </w:tblPrEx>
        <w:tc>
          <w:tcPr>
            <w:tcW w:w="850" w:type="dxa"/>
          </w:tcPr>
          <w:p w14:paraId="0E6C870D" w14:textId="77777777" w:rsidR="00735035" w:rsidRDefault="0073503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E6BE7">
              <w:rPr>
                <w:noProof/>
                <w:sz w:val="24"/>
                <w:rtl/>
              </w:rPr>
              <w:t>2</w:t>
            </w:r>
            <w:r>
              <w:rPr>
                <w:sz w:val="24"/>
                <w:rtl/>
              </w:rPr>
              <w:fldChar w:fldCharType="end"/>
            </w:r>
          </w:p>
        </w:tc>
        <w:tc>
          <w:tcPr>
            <w:tcW w:w="567" w:type="dxa"/>
          </w:tcPr>
          <w:p w14:paraId="7485BA90" w14:textId="77777777" w:rsidR="00735035" w:rsidRDefault="00735035">
            <w:pPr>
              <w:spacing w:line="240" w:lineRule="auto"/>
              <w:rPr>
                <w:sz w:val="24"/>
              </w:rPr>
            </w:pPr>
            <w:hyperlink w:anchor="Seif1" w:tooltip="ביטולים" w:history="1">
              <w:r>
                <w:rPr>
                  <w:rStyle w:val="Hyperlink"/>
                </w:rPr>
                <w:t>Go</w:t>
              </w:r>
            </w:hyperlink>
          </w:p>
        </w:tc>
        <w:tc>
          <w:tcPr>
            <w:tcW w:w="5669" w:type="dxa"/>
          </w:tcPr>
          <w:p w14:paraId="49531309" w14:textId="77777777" w:rsidR="00735035" w:rsidRDefault="00735035">
            <w:pPr>
              <w:spacing w:line="240" w:lineRule="auto"/>
              <w:rPr>
                <w:sz w:val="24"/>
                <w:rtl/>
              </w:rPr>
            </w:pPr>
            <w:r>
              <w:rPr>
                <w:sz w:val="24"/>
                <w:rtl/>
              </w:rPr>
              <w:t>ביטולים</w:t>
            </w:r>
          </w:p>
        </w:tc>
        <w:tc>
          <w:tcPr>
            <w:tcW w:w="1247" w:type="dxa"/>
          </w:tcPr>
          <w:p w14:paraId="130E0954" w14:textId="77777777" w:rsidR="00735035" w:rsidRDefault="00735035">
            <w:pPr>
              <w:spacing w:line="240" w:lineRule="auto"/>
              <w:rPr>
                <w:sz w:val="24"/>
              </w:rPr>
            </w:pPr>
            <w:r>
              <w:rPr>
                <w:sz w:val="24"/>
                <w:rtl/>
              </w:rPr>
              <w:t xml:space="preserve">סעיף 2 </w:t>
            </w:r>
          </w:p>
        </w:tc>
      </w:tr>
      <w:tr w:rsidR="00735035" w14:paraId="2BCE3262" w14:textId="77777777">
        <w:tblPrEx>
          <w:tblCellMar>
            <w:top w:w="0" w:type="dxa"/>
            <w:bottom w:w="0" w:type="dxa"/>
          </w:tblCellMar>
        </w:tblPrEx>
        <w:tc>
          <w:tcPr>
            <w:tcW w:w="850" w:type="dxa"/>
          </w:tcPr>
          <w:p w14:paraId="3E75115A" w14:textId="77777777" w:rsidR="00735035" w:rsidRDefault="0073503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E6BE7">
              <w:rPr>
                <w:noProof/>
                <w:sz w:val="24"/>
                <w:rtl/>
              </w:rPr>
              <w:t>2</w:t>
            </w:r>
            <w:r>
              <w:rPr>
                <w:sz w:val="24"/>
                <w:rtl/>
              </w:rPr>
              <w:fldChar w:fldCharType="end"/>
            </w:r>
          </w:p>
        </w:tc>
        <w:tc>
          <w:tcPr>
            <w:tcW w:w="567" w:type="dxa"/>
          </w:tcPr>
          <w:p w14:paraId="2C2770BB" w14:textId="77777777" w:rsidR="00735035" w:rsidRDefault="00735035">
            <w:pPr>
              <w:spacing w:line="240" w:lineRule="auto"/>
              <w:rPr>
                <w:sz w:val="24"/>
              </w:rPr>
            </w:pPr>
            <w:hyperlink w:anchor="Seif2" w:tooltip="חוק ההוצאה לפועל תשכז 1967" w:history="1">
              <w:r>
                <w:rPr>
                  <w:rStyle w:val="Hyperlink"/>
                </w:rPr>
                <w:t>Go</w:t>
              </w:r>
            </w:hyperlink>
          </w:p>
        </w:tc>
        <w:tc>
          <w:tcPr>
            <w:tcW w:w="5669" w:type="dxa"/>
          </w:tcPr>
          <w:p w14:paraId="001C70E8" w14:textId="77777777" w:rsidR="00735035" w:rsidRDefault="00735035">
            <w:pPr>
              <w:spacing w:line="240" w:lineRule="auto"/>
              <w:rPr>
                <w:sz w:val="24"/>
                <w:rtl/>
              </w:rPr>
            </w:pPr>
            <w:r>
              <w:rPr>
                <w:sz w:val="24"/>
                <w:rtl/>
              </w:rPr>
              <w:t>חוק ההוצאה לפועל תשכז 1967</w:t>
            </w:r>
          </w:p>
        </w:tc>
        <w:tc>
          <w:tcPr>
            <w:tcW w:w="1247" w:type="dxa"/>
          </w:tcPr>
          <w:p w14:paraId="5E2425E2" w14:textId="77777777" w:rsidR="00735035" w:rsidRDefault="00735035">
            <w:pPr>
              <w:spacing w:line="240" w:lineRule="auto"/>
              <w:rPr>
                <w:sz w:val="24"/>
              </w:rPr>
            </w:pPr>
            <w:r>
              <w:rPr>
                <w:sz w:val="24"/>
                <w:rtl/>
              </w:rPr>
              <w:t xml:space="preserve">סעיף 3 </w:t>
            </w:r>
          </w:p>
        </w:tc>
      </w:tr>
      <w:tr w:rsidR="00735035" w14:paraId="71130CEA" w14:textId="77777777">
        <w:tblPrEx>
          <w:tblCellMar>
            <w:top w:w="0" w:type="dxa"/>
            <w:bottom w:w="0" w:type="dxa"/>
          </w:tblCellMar>
        </w:tblPrEx>
        <w:tc>
          <w:tcPr>
            <w:tcW w:w="850" w:type="dxa"/>
          </w:tcPr>
          <w:p w14:paraId="206FB551" w14:textId="77777777" w:rsidR="00735035" w:rsidRDefault="0073503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E6BE7">
              <w:rPr>
                <w:noProof/>
                <w:sz w:val="24"/>
                <w:rtl/>
              </w:rPr>
              <w:t>2</w:t>
            </w:r>
            <w:r>
              <w:rPr>
                <w:sz w:val="24"/>
                <w:rtl/>
              </w:rPr>
              <w:fldChar w:fldCharType="end"/>
            </w:r>
          </w:p>
        </w:tc>
        <w:tc>
          <w:tcPr>
            <w:tcW w:w="567" w:type="dxa"/>
          </w:tcPr>
          <w:p w14:paraId="788BA47D" w14:textId="77777777" w:rsidR="00735035" w:rsidRDefault="00735035">
            <w:pPr>
              <w:spacing w:line="240" w:lineRule="auto"/>
              <w:rPr>
                <w:sz w:val="24"/>
              </w:rPr>
            </w:pPr>
            <w:hyperlink w:anchor="Seif3" w:tooltip="חוק תשמד 1984" w:history="1">
              <w:r>
                <w:rPr>
                  <w:rStyle w:val="Hyperlink"/>
                </w:rPr>
                <w:t>Go</w:t>
              </w:r>
            </w:hyperlink>
          </w:p>
        </w:tc>
        <w:tc>
          <w:tcPr>
            <w:tcW w:w="5669" w:type="dxa"/>
          </w:tcPr>
          <w:p w14:paraId="203234DE" w14:textId="77777777" w:rsidR="00735035" w:rsidRDefault="00735035">
            <w:pPr>
              <w:spacing w:line="240" w:lineRule="auto"/>
              <w:rPr>
                <w:sz w:val="24"/>
                <w:rtl/>
              </w:rPr>
            </w:pPr>
            <w:r>
              <w:rPr>
                <w:sz w:val="24"/>
                <w:rtl/>
              </w:rPr>
              <w:t>חוק תשמד 1984</w:t>
            </w:r>
          </w:p>
        </w:tc>
        <w:tc>
          <w:tcPr>
            <w:tcW w:w="1247" w:type="dxa"/>
          </w:tcPr>
          <w:p w14:paraId="4122DA07" w14:textId="77777777" w:rsidR="00735035" w:rsidRDefault="00735035">
            <w:pPr>
              <w:spacing w:line="240" w:lineRule="auto"/>
              <w:rPr>
                <w:sz w:val="24"/>
              </w:rPr>
            </w:pPr>
            <w:r>
              <w:rPr>
                <w:sz w:val="24"/>
                <w:rtl/>
              </w:rPr>
              <w:t xml:space="preserve">סעיף 3א </w:t>
            </w:r>
          </w:p>
        </w:tc>
      </w:tr>
      <w:tr w:rsidR="00735035" w14:paraId="482E4B8C" w14:textId="77777777">
        <w:tblPrEx>
          <w:tblCellMar>
            <w:top w:w="0" w:type="dxa"/>
            <w:bottom w:w="0" w:type="dxa"/>
          </w:tblCellMar>
        </w:tblPrEx>
        <w:tc>
          <w:tcPr>
            <w:tcW w:w="850" w:type="dxa"/>
          </w:tcPr>
          <w:p w14:paraId="02E36D10" w14:textId="77777777" w:rsidR="00735035" w:rsidRDefault="0073503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E6BE7">
              <w:rPr>
                <w:noProof/>
                <w:sz w:val="24"/>
                <w:rtl/>
              </w:rPr>
              <w:t>2</w:t>
            </w:r>
            <w:r>
              <w:rPr>
                <w:sz w:val="24"/>
                <w:rtl/>
              </w:rPr>
              <w:fldChar w:fldCharType="end"/>
            </w:r>
          </w:p>
        </w:tc>
        <w:tc>
          <w:tcPr>
            <w:tcW w:w="567" w:type="dxa"/>
          </w:tcPr>
          <w:p w14:paraId="69DBC29F" w14:textId="77777777" w:rsidR="00735035" w:rsidRDefault="00735035">
            <w:pPr>
              <w:spacing w:line="240" w:lineRule="auto"/>
              <w:rPr>
                <w:sz w:val="24"/>
              </w:rPr>
            </w:pPr>
            <w:hyperlink w:anchor="Seif4" w:tooltip="ביטול חוק עותומני שאינו מתיישב עם תקנות בית דין" w:history="1">
              <w:r>
                <w:rPr>
                  <w:rStyle w:val="Hyperlink"/>
                </w:rPr>
                <w:t>Go</w:t>
              </w:r>
            </w:hyperlink>
          </w:p>
        </w:tc>
        <w:tc>
          <w:tcPr>
            <w:tcW w:w="5669" w:type="dxa"/>
          </w:tcPr>
          <w:p w14:paraId="2EC6365E" w14:textId="77777777" w:rsidR="00735035" w:rsidRDefault="00735035">
            <w:pPr>
              <w:spacing w:line="240" w:lineRule="auto"/>
              <w:rPr>
                <w:sz w:val="24"/>
                <w:rtl/>
              </w:rPr>
            </w:pPr>
            <w:r>
              <w:rPr>
                <w:sz w:val="24"/>
                <w:rtl/>
              </w:rPr>
              <w:t>ביטול חוק עותומני שאינו מתיישב עם תקנות בית דין</w:t>
            </w:r>
          </w:p>
        </w:tc>
        <w:tc>
          <w:tcPr>
            <w:tcW w:w="1247" w:type="dxa"/>
          </w:tcPr>
          <w:p w14:paraId="05206E26" w14:textId="77777777" w:rsidR="00735035" w:rsidRDefault="00735035">
            <w:pPr>
              <w:spacing w:line="240" w:lineRule="auto"/>
              <w:rPr>
                <w:sz w:val="24"/>
              </w:rPr>
            </w:pPr>
            <w:r>
              <w:rPr>
                <w:sz w:val="24"/>
                <w:rtl/>
              </w:rPr>
              <w:t xml:space="preserve">סעיף 4 </w:t>
            </w:r>
          </w:p>
        </w:tc>
      </w:tr>
    </w:tbl>
    <w:p w14:paraId="331505FD" w14:textId="77777777" w:rsidR="00735035" w:rsidRDefault="00735035">
      <w:pPr>
        <w:pStyle w:val="big-header"/>
        <w:ind w:left="0" w:right="1134"/>
        <w:rPr>
          <w:rtl/>
        </w:rPr>
      </w:pPr>
    </w:p>
    <w:p w14:paraId="4893835E" w14:textId="77777777" w:rsidR="00735035" w:rsidRDefault="00735035" w:rsidP="003A02BE">
      <w:pPr>
        <w:pStyle w:val="big-header"/>
        <w:ind w:left="0" w:right="1134"/>
        <w:rPr>
          <w:rtl/>
        </w:rPr>
      </w:pPr>
      <w:r>
        <w:rPr>
          <w:rtl/>
        </w:rPr>
        <w:br w:type="page"/>
      </w:r>
      <w:r>
        <w:rPr>
          <w:rtl/>
        </w:rPr>
        <w:lastRenderedPageBreak/>
        <w:t>פ</w:t>
      </w:r>
      <w:r>
        <w:rPr>
          <w:rFonts w:hint="cs"/>
          <w:rtl/>
        </w:rPr>
        <w:t>קודת הפרוצדורה האזרחית</w:t>
      </w:r>
      <w:r w:rsidR="00FE6BE7">
        <w:rPr>
          <w:rStyle w:val="a6"/>
          <w:rtl/>
        </w:rPr>
        <w:footnoteReference w:customMarkFollows="1" w:id="1"/>
        <w:t>*</w:t>
      </w:r>
    </w:p>
    <w:p w14:paraId="5E23796D" w14:textId="77777777" w:rsidR="00735035" w:rsidRDefault="00735035">
      <w:pPr>
        <w:pStyle w:val="medium-header"/>
        <w:keepNext w:val="0"/>
        <w:keepLines w:val="0"/>
        <w:ind w:left="0" w:right="1134"/>
        <w:rPr>
          <w:rStyle w:val="default"/>
          <w:rFonts w:cs="FrankRuehl" w:hint="cs"/>
          <w:rtl/>
        </w:rPr>
      </w:pPr>
      <w:r>
        <w:rPr>
          <w:rtl/>
        </w:rPr>
        <w:t>מ</w:t>
      </w:r>
      <w:r>
        <w:rPr>
          <w:rFonts w:hint="cs"/>
          <w:rtl/>
        </w:rPr>
        <w:t>ס' 14 לש' 1938</w:t>
      </w:r>
    </w:p>
    <w:p w14:paraId="11F620FE" w14:textId="77777777" w:rsidR="00735035" w:rsidRDefault="00735035">
      <w:pPr>
        <w:pStyle w:val="header-2"/>
        <w:ind w:left="0" w:right="1134"/>
        <w:rPr>
          <w:rtl/>
        </w:rPr>
      </w:pPr>
      <w:r>
        <w:rPr>
          <w:rtl/>
        </w:rPr>
        <w:t>פ</w:t>
      </w:r>
      <w:r>
        <w:rPr>
          <w:rFonts w:hint="cs"/>
          <w:rtl/>
        </w:rPr>
        <w:t xml:space="preserve">קודה הקובעת הוראות בענין השימוש בחוקים מסויימים </w:t>
      </w:r>
      <w:r w:rsidR="000A24E7">
        <w:rPr>
          <w:rtl/>
        </w:rPr>
        <w:br/>
      </w:r>
      <w:r>
        <w:rPr>
          <w:rFonts w:hint="cs"/>
          <w:rtl/>
        </w:rPr>
        <w:t>והוראות לענינים מסויימים הכלולים באותם החוקים</w:t>
      </w:r>
    </w:p>
    <w:p w14:paraId="2A5C744F" w14:textId="77777777" w:rsidR="00735035" w:rsidRDefault="00735035">
      <w:pPr>
        <w:pStyle w:val="P00"/>
        <w:spacing w:before="72"/>
        <w:ind w:left="0" w:right="1134"/>
        <w:rPr>
          <w:rStyle w:val="default"/>
          <w:rFonts w:cs="FrankRuehl"/>
          <w:rtl/>
        </w:rPr>
      </w:pPr>
      <w:bookmarkStart w:id="0" w:name="Seif0"/>
      <w:bookmarkEnd w:id="0"/>
      <w:r>
        <w:rPr>
          <w:lang w:val="he-IL"/>
        </w:rPr>
        <w:pict w14:anchorId="38BEDC68">
          <v:rect id="_x0000_s1026" style="position:absolute;left:0;text-align:left;margin-left:464.5pt;margin-top:8.05pt;width:75.05pt;height:18.4pt;z-index:251655680" o:allowincell="f" filled="f" stroked="f" strokecolor="lime" strokeweight=".25pt">
            <v:textbox inset="0,0,0,0">
              <w:txbxContent>
                <w:p w14:paraId="5BB0B609" w14:textId="77777777" w:rsidR="00735035" w:rsidRDefault="00735035">
                  <w:pPr>
                    <w:spacing w:line="160" w:lineRule="exact"/>
                    <w:jc w:val="left"/>
                    <w:rPr>
                      <w:rFonts w:cs="Miriam"/>
                      <w:noProof/>
                      <w:szCs w:val="18"/>
                      <w:rtl/>
                    </w:rPr>
                  </w:pPr>
                  <w:r>
                    <w:rPr>
                      <w:rFonts w:cs="Miriam"/>
                      <w:szCs w:val="18"/>
                      <w:rtl/>
                    </w:rPr>
                    <w:t>ה</w:t>
                  </w:r>
                  <w:r>
                    <w:rPr>
                      <w:rFonts w:cs="Miriam" w:hint="cs"/>
                      <w:szCs w:val="18"/>
                      <w:rtl/>
                    </w:rPr>
                    <w:t>שם הקצר</w:t>
                  </w:r>
                </w:p>
              </w:txbxContent>
            </v:textbox>
            <w10:anchorlock/>
          </v:rect>
        </w:pict>
      </w:r>
      <w:r>
        <w:rPr>
          <w:rStyle w:val="big-number"/>
          <w:rtl/>
        </w:rPr>
        <w:t>1.</w:t>
      </w:r>
      <w:r>
        <w:rPr>
          <w:rStyle w:val="big-number"/>
          <w:rtl/>
        </w:rPr>
        <w:tab/>
      </w:r>
      <w:r>
        <w:rPr>
          <w:rStyle w:val="default"/>
          <w:rFonts w:cs="FrankRuehl"/>
          <w:rtl/>
        </w:rPr>
        <w:t>פ</w:t>
      </w:r>
      <w:r>
        <w:rPr>
          <w:rStyle w:val="default"/>
          <w:rFonts w:cs="FrankRuehl" w:hint="cs"/>
          <w:rtl/>
        </w:rPr>
        <w:t>קודה זו תיקרא פקודת הפרוצדורה האזרחית, 1938.</w:t>
      </w:r>
    </w:p>
    <w:p w14:paraId="37E6D1D7" w14:textId="77777777" w:rsidR="00735035" w:rsidRDefault="00735035">
      <w:pPr>
        <w:pStyle w:val="P00"/>
        <w:spacing w:before="72"/>
        <w:ind w:left="0" w:right="1134"/>
        <w:rPr>
          <w:rStyle w:val="default"/>
          <w:rFonts w:cs="FrankRuehl"/>
          <w:rtl/>
        </w:rPr>
      </w:pPr>
      <w:bookmarkStart w:id="1" w:name="Seif1"/>
      <w:bookmarkEnd w:id="1"/>
      <w:r>
        <w:rPr>
          <w:lang w:val="he-IL"/>
        </w:rPr>
        <w:pict w14:anchorId="0D1A5BC6">
          <v:rect id="_x0000_s1027" style="position:absolute;left:0;text-align:left;margin-left:464.5pt;margin-top:8.05pt;width:75.05pt;height:20.9pt;z-index:251656704" o:allowincell="f" filled="f" stroked="f" strokecolor="lime" strokeweight=".25pt">
            <v:textbox inset="0,0,0,0">
              <w:txbxContent>
                <w:p w14:paraId="4DBF591B" w14:textId="77777777" w:rsidR="00735035" w:rsidRDefault="00735035">
                  <w:pPr>
                    <w:spacing w:line="160" w:lineRule="exact"/>
                    <w:jc w:val="left"/>
                    <w:rPr>
                      <w:rFonts w:cs="Miriam"/>
                      <w:noProof/>
                      <w:szCs w:val="18"/>
                      <w:rtl/>
                    </w:rPr>
                  </w:pPr>
                  <w:r>
                    <w:rPr>
                      <w:rFonts w:cs="Miriam"/>
                      <w:szCs w:val="18"/>
                      <w:rtl/>
                    </w:rPr>
                    <w:t>ב</w:t>
                  </w:r>
                  <w:r>
                    <w:rPr>
                      <w:rFonts w:cs="Miriam" w:hint="cs"/>
                      <w:szCs w:val="18"/>
                      <w:rtl/>
                    </w:rPr>
                    <w:t>יטולים</w:t>
                  </w:r>
                </w:p>
                <w:p w14:paraId="40CA2EBC" w14:textId="77777777" w:rsidR="00735035" w:rsidRDefault="00735035">
                  <w:pPr>
                    <w:spacing w:line="160" w:lineRule="exact"/>
                    <w:jc w:val="left"/>
                    <w:rPr>
                      <w:rFonts w:cs="Miriam"/>
                      <w:noProof/>
                      <w:szCs w:val="18"/>
                      <w:rtl/>
                    </w:rPr>
                  </w:pPr>
                  <w:r>
                    <w:rPr>
                      <w:rFonts w:cs="Miriam"/>
                      <w:szCs w:val="18"/>
                      <w:rtl/>
                    </w:rPr>
                    <w:t>פ</w:t>
                  </w:r>
                  <w:r>
                    <w:rPr>
                      <w:rFonts w:cs="Miriam" w:hint="cs"/>
                      <w:szCs w:val="18"/>
                      <w:rtl/>
                    </w:rPr>
                    <w:t>ק' 44 לש'</w:t>
                  </w:r>
                  <w:r>
                    <w:rPr>
                      <w:rFonts w:cs="Miriam"/>
                      <w:szCs w:val="18"/>
                      <w:rtl/>
                    </w:rPr>
                    <w:t xml:space="preserve"> 1944</w:t>
                  </w:r>
                </w:p>
              </w:txbxContent>
            </v:textbox>
            <w10:anchorlock/>
          </v:rect>
        </w:pict>
      </w:r>
      <w:r>
        <w:rPr>
          <w:rStyle w:val="big-number"/>
          <w:rtl/>
        </w:rPr>
        <w:t>2.</w:t>
      </w:r>
      <w:r>
        <w:rPr>
          <w:rStyle w:val="big-number"/>
          <w:rtl/>
        </w:rPr>
        <w:tab/>
      </w:r>
      <w:r>
        <w:rPr>
          <w:rStyle w:val="default"/>
          <w:rFonts w:cs="FrankRuehl"/>
          <w:rtl/>
        </w:rPr>
        <w:t>(1)</w:t>
      </w:r>
      <w:r>
        <w:rPr>
          <w:rStyle w:val="default"/>
          <w:rFonts w:cs="FrankRuehl"/>
          <w:rtl/>
        </w:rPr>
        <w:tab/>
      </w:r>
      <w:r>
        <w:rPr>
          <w:rStyle w:val="default"/>
          <w:rFonts w:cs="FrankRuehl" w:hint="cs"/>
          <w:rtl/>
        </w:rPr>
        <w:t>הח</w:t>
      </w:r>
      <w:r>
        <w:rPr>
          <w:rStyle w:val="default"/>
          <w:rFonts w:cs="FrankRuehl"/>
          <w:rtl/>
        </w:rPr>
        <w:t>ו</w:t>
      </w:r>
      <w:r>
        <w:rPr>
          <w:rStyle w:val="default"/>
          <w:rFonts w:cs="FrankRuehl" w:hint="cs"/>
          <w:rtl/>
        </w:rPr>
        <w:t>ק העותומני לפרוצדורה אזרחית מיום 9 חוזייראן 1295 (21 ביוני, 1879) וכל התיקונים שנעשו לאותו חוק, פרט לסעיפים 64, 80, 81, 82, 106 עד 112, ועד בכלל, 271, 272, 273 והסעיפים 275 עד 296 ועד בכלל, ולכל התיקונים שנעשו לאותם סעיפים, יחדל להיות להם תוקף בישראל בהל</w:t>
      </w:r>
      <w:r>
        <w:rPr>
          <w:rStyle w:val="default"/>
          <w:rFonts w:cs="FrankRuehl"/>
          <w:rtl/>
        </w:rPr>
        <w:t>יכ</w:t>
      </w:r>
      <w:r>
        <w:rPr>
          <w:rStyle w:val="default"/>
          <w:rFonts w:cs="FrankRuehl" w:hint="cs"/>
          <w:rtl/>
        </w:rPr>
        <w:t>ים בכל בית משפט שאינו בית משפט שלום או בית דין מושלמי.</w:t>
      </w:r>
    </w:p>
    <w:p w14:paraId="2D0D0876" w14:textId="77777777" w:rsidR="00735035" w:rsidRDefault="00735035">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סעיף 274 מן החוק העותומני לפרוצדורה אזרחית מיום 9 חוזייראן 1295 (21 ביוני, 1879), וכל התיקונים שנעשו לאותו סעיף, יחדל להיות להם תוקף בישראל בהליכים בכל בית משפט שלום. </w:t>
      </w:r>
    </w:p>
    <w:p w14:paraId="680A6B29" w14:textId="77777777" w:rsidR="00735035" w:rsidRDefault="00735035">
      <w:pPr>
        <w:pStyle w:val="P00"/>
        <w:spacing w:before="72"/>
        <w:ind w:left="0" w:right="1134"/>
        <w:rPr>
          <w:rStyle w:val="default"/>
          <w:rFonts w:cs="FrankRuehl"/>
          <w:rtl/>
        </w:rPr>
      </w:pPr>
      <w:bookmarkStart w:id="2" w:name="Seif2"/>
      <w:bookmarkEnd w:id="2"/>
      <w:r>
        <w:rPr>
          <w:lang w:val="he-IL"/>
        </w:rPr>
        <w:pict w14:anchorId="473F742D">
          <v:rect id="_x0000_s1028" style="position:absolute;left:0;text-align:left;margin-left:464.5pt;margin-top:8.05pt;width:75.05pt;height:20.15pt;z-index:251657728" o:allowincell="f" filled="f" stroked="f" strokecolor="lime" strokeweight=".25pt">
            <v:textbox inset="0,0,0,0">
              <w:txbxContent>
                <w:p w14:paraId="04076299" w14:textId="77777777" w:rsidR="00735035" w:rsidRDefault="000A24E7">
                  <w:pPr>
                    <w:spacing w:line="160" w:lineRule="exact"/>
                    <w:jc w:val="left"/>
                    <w:rPr>
                      <w:rFonts w:cs="Miriam"/>
                      <w:noProof/>
                      <w:szCs w:val="18"/>
                      <w:rtl/>
                    </w:rPr>
                  </w:pPr>
                  <w:r>
                    <w:rPr>
                      <w:rFonts w:cs="Miriam" w:hint="cs"/>
                      <w:szCs w:val="18"/>
                      <w:rtl/>
                    </w:rPr>
                    <w:t>(תיקון מס' 2)</w:t>
                  </w:r>
                  <w:r w:rsidR="00735035">
                    <w:rPr>
                      <w:rFonts w:cs="Miriam" w:hint="cs"/>
                      <w:szCs w:val="18"/>
                      <w:rtl/>
                    </w:rPr>
                    <w:t xml:space="preserve"> </w:t>
                  </w:r>
                  <w:r>
                    <w:rPr>
                      <w:rFonts w:cs="Miriam"/>
                      <w:szCs w:val="18"/>
                      <w:rtl/>
                    </w:rPr>
                    <w:br/>
                  </w:r>
                  <w:r w:rsidR="00735035">
                    <w:rPr>
                      <w:rFonts w:cs="Miriam" w:hint="cs"/>
                      <w:szCs w:val="18"/>
                      <w:rtl/>
                    </w:rPr>
                    <w:t>תשכ"ז</w:t>
                  </w:r>
                  <w:r>
                    <w:rPr>
                      <w:rFonts w:cs="Miriam" w:hint="cs"/>
                      <w:szCs w:val="18"/>
                      <w:rtl/>
                    </w:rPr>
                    <w:t>-</w:t>
                  </w:r>
                  <w:r w:rsidR="00735035">
                    <w:rPr>
                      <w:rFonts w:cs="Miriam" w:hint="cs"/>
                      <w:szCs w:val="18"/>
                      <w:rtl/>
                    </w:rPr>
                    <w:t>1967</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בוטל).</w:t>
      </w:r>
    </w:p>
    <w:p w14:paraId="72BDEAFE" w14:textId="77777777" w:rsidR="00735035" w:rsidRDefault="00735035">
      <w:pPr>
        <w:pStyle w:val="P00"/>
        <w:spacing w:before="72"/>
        <w:ind w:left="0" w:right="1134"/>
        <w:rPr>
          <w:rStyle w:val="default"/>
          <w:rFonts w:cs="FrankRuehl"/>
          <w:rtl/>
        </w:rPr>
      </w:pPr>
      <w:bookmarkStart w:id="3" w:name="Seif3"/>
      <w:bookmarkEnd w:id="3"/>
      <w:r>
        <w:rPr>
          <w:lang w:val="he-IL"/>
        </w:rPr>
        <w:pict w14:anchorId="6858B37E">
          <v:rect id="_x0000_s1029" style="position:absolute;left:0;text-align:left;margin-left:464.5pt;margin-top:8.05pt;width:75.05pt;height:17.05pt;z-index:251658752" o:allowincell="f" filled="f" stroked="f" strokecolor="lime" strokeweight=".25pt">
            <v:textbox inset="0,0,0,0">
              <w:txbxContent>
                <w:p w14:paraId="7CE1368C" w14:textId="77777777" w:rsidR="00735035" w:rsidRDefault="000A24E7" w:rsidP="000A24E7">
                  <w:pPr>
                    <w:spacing w:line="160" w:lineRule="exact"/>
                    <w:jc w:val="left"/>
                    <w:rPr>
                      <w:rFonts w:cs="Miriam"/>
                      <w:noProof/>
                      <w:szCs w:val="18"/>
                      <w:rtl/>
                    </w:rPr>
                  </w:pPr>
                  <w:r>
                    <w:rPr>
                      <w:rFonts w:cs="Miriam" w:hint="cs"/>
                      <w:szCs w:val="18"/>
                      <w:rtl/>
                    </w:rPr>
                    <w:t>(תיקון מס' 3)</w:t>
                  </w:r>
                  <w:r w:rsidR="00735035">
                    <w:rPr>
                      <w:rFonts w:cs="Miriam" w:hint="cs"/>
                      <w:szCs w:val="18"/>
                      <w:rtl/>
                    </w:rPr>
                    <w:t xml:space="preserve"> </w:t>
                  </w:r>
                  <w:r>
                    <w:rPr>
                      <w:rFonts w:cs="Miriam"/>
                      <w:szCs w:val="18"/>
                      <w:rtl/>
                    </w:rPr>
                    <w:br/>
                  </w:r>
                  <w:r w:rsidR="00735035">
                    <w:rPr>
                      <w:rFonts w:cs="Miriam" w:hint="cs"/>
                      <w:szCs w:val="18"/>
                      <w:rtl/>
                    </w:rPr>
                    <w:t>תשמ"ד</w:t>
                  </w:r>
                  <w:r>
                    <w:rPr>
                      <w:rFonts w:cs="Miriam" w:hint="cs"/>
                      <w:szCs w:val="18"/>
                      <w:rtl/>
                    </w:rPr>
                    <w:t>-</w:t>
                  </w:r>
                  <w:r w:rsidR="00735035">
                    <w:rPr>
                      <w:rFonts w:cs="Miriam" w:hint="cs"/>
                      <w:szCs w:val="18"/>
                      <w:rtl/>
                    </w:rPr>
                    <w:t>1984</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sidR="000A24E7">
        <w:rPr>
          <w:rStyle w:val="default"/>
          <w:rFonts w:cs="FrankRuehl" w:hint="cs"/>
          <w:rtl/>
        </w:rPr>
        <w:t>(בוטל)</w:t>
      </w:r>
      <w:r>
        <w:rPr>
          <w:rStyle w:val="default"/>
          <w:rFonts w:cs="FrankRuehl" w:hint="cs"/>
          <w:rtl/>
        </w:rPr>
        <w:t>.</w:t>
      </w:r>
    </w:p>
    <w:p w14:paraId="7AED1013" w14:textId="77777777" w:rsidR="00735035" w:rsidRDefault="00735035">
      <w:pPr>
        <w:pStyle w:val="P00"/>
        <w:spacing w:before="72"/>
        <w:ind w:left="0" w:right="1134"/>
        <w:rPr>
          <w:rStyle w:val="default"/>
          <w:rFonts w:cs="FrankRuehl"/>
          <w:rtl/>
        </w:rPr>
      </w:pPr>
      <w:bookmarkStart w:id="4" w:name="Seif4"/>
      <w:bookmarkEnd w:id="4"/>
      <w:r>
        <w:rPr>
          <w:lang w:val="he-IL"/>
        </w:rPr>
        <w:pict w14:anchorId="2DEADE1D">
          <v:rect id="_x0000_s1030" style="position:absolute;left:0;text-align:left;margin-left:464.5pt;margin-top:8.05pt;width:75.05pt;height:30.7pt;z-index:251659776" o:allowincell="f" filled="f" stroked="f" strokecolor="lime" strokeweight=".25pt">
            <v:textbox inset="0,0,0,0">
              <w:txbxContent>
                <w:p w14:paraId="1D9449FA" w14:textId="77777777" w:rsidR="00735035" w:rsidRDefault="00735035" w:rsidP="000A24E7">
                  <w:pPr>
                    <w:spacing w:line="160" w:lineRule="exact"/>
                    <w:jc w:val="left"/>
                    <w:rPr>
                      <w:rFonts w:cs="Miriam"/>
                      <w:noProof/>
                      <w:szCs w:val="18"/>
                      <w:rtl/>
                    </w:rPr>
                  </w:pPr>
                  <w:r>
                    <w:rPr>
                      <w:rFonts w:cs="Miriam"/>
                      <w:szCs w:val="18"/>
                      <w:rtl/>
                    </w:rPr>
                    <w:t>ב</w:t>
                  </w:r>
                  <w:r>
                    <w:rPr>
                      <w:rFonts w:cs="Miriam" w:hint="cs"/>
                      <w:szCs w:val="18"/>
                      <w:rtl/>
                    </w:rPr>
                    <w:t>יטול חוק עותומני שאינו מתיישב עם</w:t>
                  </w:r>
                  <w:r w:rsidR="000A24E7">
                    <w:rPr>
                      <w:rFonts w:cs="Miriam" w:hint="cs"/>
                      <w:szCs w:val="18"/>
                      <w:rtl/>
                    </w:rPr>
                    <w:t xml:space="preserve"> </w:t>
                  </w:r>
                  <w:r>
                    <w:rPr>
                      <w:rFonts w:cs="Miriam"/>
                      <w:szCs w:val="18"/>
                      <w:rtl/>
                    </w:rPr>
                    <w:t>ת</w:t>
                  </w:r>
                  <w:r>
                    <w:rPr>
                      <w:rFonts w:cs="Miriam" w:hint="cs"/>
                      <w:szCs w:val="18"/>
                      <w:rtl/>
                    </w:rPr>
                    <w:t>קנות בית דין</w:t>
                  </w:r>
                </w:p>
              </w:txbxContent>
            </v:textbox>
            <w10:anchorlock/>
          </v:rect>
        </w:pict>
      </w:r>
      <w:r>
        <w:rPr>
          <w:rStyle w:val="big-number"/>
          <w:rtl/>
        </w:rPr>
        <w:t>4.</w:t>
      </w:r>
      <w:r>
        <w:rPr>
          <w:rStyle w:val="big-number"/>
          <w:rtl/>
        </w:rPr>
        <w:tab/>
      </w:r>
      <w:r>
        <w:rPr>
          <w:rStyle w:val="default"/>
          <w:rFonts w:cs="FrankRuehl"/>
          <w:rtl/>
        </w:rPr>
        <w:t>כ</w:t>
      </w:r>
      <w:r>
        <w:rPr>
          <w:rStyle w:val="default"/>
          <w:rFonts w:cs="FrankRuehl" w:hint="cs"/>
          <w:rtl/>
        </w:rPr>
        <w:t xml:space="preserve">ל הוראה בכל חוק עותומני שאינה מתיישבת עם כל תקנת בית דין שהותקנה כחוק יחדל להיות לה תוקף בכל הליך שאותה תקנה חלה עליו. </w:t>
      </w:r>
    </w:p>
    <w:p w14:paraId="738EA834" w14:textId="77777777" w:rsidR="00735035" w:rsidRPr="000A24E7" w:rsidRDefault="00735035" w:rsidP="000A24E7">
      <w:pPr>
        <w:pStyle w:val="P00"/>
        <w:spacing w:before="72"/>
        <w:ind w:left="0" w:right="1134"/>
        <w:rPr>
          <w:rStyle w:val="default"/>
          <w:rFonts w:cs="FrankRuehl" w:hint="cs"/>
          <w:rtl/>
        </w:rPr>
      </w:pPr>
    </w:p>
    <w:p w14:paraId="42D7C41C" w14:textId="77777777" w:rsidR="000A24E7" w:rsidRPr="000A24E7" w:rsidRDefault="000A24E7" w:rsidP="000A24E7">
      <w:pPr>
        <w:pStyle w:val="P00"/>
        <w:spacing w:before="72"/>
        <w:ind w:left="0" w:right="1134"/>
        <w:rPr>
          <w:rStyle w:val="default"/>
          <w:rFonts w:cs="FrankRuehl"/>
          <w:rtl/>
        </w:rPr>
      </w:pPr>
    </w:p>
    <w:p w14:paraId="6A8B2B54" w14:textId="77777777" w:rsidR="00735035" w:rsidRPr="000A24E7" w:rsidRDefault="00735035" w:rsidP="000A24E7">
      <w:pPr>
        <w:pStyle w:val="P00"/>
        <w:spacing w:before="72"/>
        <w:ind w:left="0" w:right="1134"/>
        <w:rPr>
          <w:rStyle w:val="default"/>
          <w:rFonts w:cs="FrankRuehl"/>
          <w:rtl/>
        </w:rPr>
      </w:pPr>
      <w:bookmarkStart w:id="5" w:name="LawPartEnd"/>
    </w:p>
    <w:bookmarkEnd w:id="5"/>
    <w:p w14:paraId="780A2874" w14:textId="77777777" w:rsidR="00735035" w:rsidRPr="000A24E7" w:rsidRDefault="00735035" w:rsidP="000A24E7">
      <w:pPr>
        <w:pStyle w:val="P00"/>
        <w:spacing w:before="72"/>
        <w:ind w:left="0" w:right="1134"/>
        <w:rPr>
          <w:rStyle w:val="default"/>
          <w:rFonts w:cs="FrankRuehl"/>
          <w:rtl/>
        </w:rPr>
      </w:pPr>
    </w:p>
    <w:sectPr w:rsidR="00735035" w:rsidRPr="000A24E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D5704" w14:textId="77777777" w:rsidR="0043639D" w:rsidRDefault="0043639D">
      <w:r>
        <w:separator/>
      </w:r>
    </w:p>
  </w:endnote>
  <w:endnote w:type="continuationSeparator" w:id="0">
    <w:p w14:paraId="1F3C5DF0" w14:textId="77777777" w:rsidR="0043639D" w:rsidRDefault="00436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3531" w14:textId="77777777" w:rsidR="00735035" w:rsidRDefault="007350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EB70FE" w14:textId="77777777" w:rsidR="00735035" w:rsidRDefault="007350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85A9218" w14:textId="77777777" w:rsidR="00735035" w:rsidRDefault="007350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E6BE7">
      <w:rPr>
        <w:rFonts w:cs="TopType Jerushalmi"/>
        <w:noProof/>
        <w:color w:val="000000"/>
        <w:sz w:val="14"/>
        <w:szCs w:val="14"/>
      </w:rPr>
      <w:t>D:\Yael\hakika\Revadim\055_058.doc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B46B" w14:textId="77777777" w:rsidR="00735035" w:rsidRDefault="007350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92217">
      <w:rPr>
        <w:rFonts w:hAnsi="FrankRuehl" w:cs="FrankRuehl"/>
        <w:noProof/>
        <w:sz w:val="24"/>
        <w:szCs w:val="24"/>
        <w:rtl/>
      </w:rPr>
      <w:t>1</w:t>
    </w:r>
    <w:r>
      <w:rPr>
        <w:rFonts w:hAnsi="FrankRuehl" w:cs="FrankRuehl"/>
        <w:sz w:val="24"/>
        <w:szCs w:val="24"/>
        <w:rtl/>
      </w:rPr>
      <w:fldChar w:fldCharType="end"/>
    </w:r>
  </w:p>
  <w:p w14:paraId="795D4057" w14:textId="77777777" w:rsidR="00735035" w:rsidRDefault="007350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97A30C9" w14:textId="77777777" w:rsidR="00735035" w:rsidRDefault="007350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E6BE7">
      <w:rPr>
        <w:rFonts w:cs="TopType Jerushalmi"/>
        <w:noProof/>
        <w:color w:val="000000"/>
        <w:sz w:val="14"/>
        <w:szCs w:val="14"/>
      </w:rPr>
      <w:t>D:\Yael\hakika\Revadim\055_058.doc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7C33F" w14:textId="77777777" w:rsidR="0043639D" w:rsidRDefault="0043639D" w:rsidP="00FE6BE7">
      <w:pPr>
        <w:spacing w:before="60" w:line="240" w:lineRule="auto"/>
        <w:ind w:right="1134"/>
      </w:pPr>
      <w:r>
        <w:separator/>
      </w:r>
    </w:p>
  </w:footnote>
  <w:footnote w:type="continuationSeparator" w:id="0">
    <w:p w14:paraId="219BAB16" w14:textId="77777777" w:rsidR="0043639D" w:rsidRDefault="0043639D">
      <w:r>
        <w:continuationSeparator/>
      </w:r>
    </w:p>
  </w:footnote>
  <w:footnote w:id="1">
    <w:p w14:paraId="398D2ACF" w14:textId="77777777" w:rsidR="00FE6BE7" w:rsidRDefault="00FE6BE7" w:rsidP="00FE6BE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FE6BE7">
        <w:rPr>
          <w:sz w:val="20"/>
          <w:rtl/>
        </w:rPr>
        <w:t xml:space="preserve">* </w:t>
      </w:r>
      <w:r>
        <w:rPr>
          <w:sz w:val="20"/>
          <w:rtl/>
        </w:rPr>
        <w:t>פ</w:t>
      </w:r>
      <w:r>
        <w:rPr>
          <w:rFonts w:hint="cs"/>
          <w:sz w:val="20"/>
          <w:rtl/>
        </w:rPr>
        <w:t>ורסמה ע"ר מס' 781 מיום 7.5.1938, תוס' 1, עמ' (ע) 25, (א) 25.</w:t>
      </w:r>
    </w:p>
    <w:p w14:paraId="77B02CA6" w14:textId="77777777" w:rsidR="00FE6BE7" w:rsidRDefault="00FE6BE7" w:rsidP="00FE6B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וקנה ע"ר מס' 1380 מיום 28.12.1944, תוס' 1, עמ' (ע)</w:t>
      </w:r>
      <w:r>
        <w:rPr>
          <w:sz w:val="20"/>
          <w:rtl/>
        </w:rPr>
        <w:t xml:space="preserve"> 136, (</w:t>
      </w:r>
      <w:r>
        <w:rPr>
          <w:rFonts w:hint="cs"/>
          <w:sz w:val="20"/>
          <w:rtl/>
        </w:rPr>
        <w:t>א) 186.</w:t>
      </w:r>
    </w:p>
    <w:p w14:paraId="3CADDA42" w14:textId="77777777" w:rsidR="00FE6BE7" w:rsidRDefault="000A24E7" w:rsidP="008152E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 w:history="1">
        <w:r w:rsidR="00FE6BE7" w:rsidRPr="000A24E7">
          <w:rPr>
            <w:rStyle w:val="Hyperlink"/>
            <w:sz w:val="20"/>
            <w:rtl/>
          </w:rPr>
          <w:t>ס</w:t>
        </w:r>
        <w:r w:rsidR="00FE6BE7" w:rsidRPr="000A24E7">
          <w:rPr>
            <w:rStyle w:val="Hyperlink"/>
            <w:rFonts w:hint="cs"/>
            <w:sz w:val="20"/>
            <w:rtl/>
          </w:rPr>
          <w:t xml:space="preserve">"ח </w:t>
        </w:r>
        <w:r w:rsidR="008152E8" w:rsidRPr="000A24E7">
          <w:rPr>
            <w:rStyle w:val="Hyperlink"/>
            <w:rFonts w:hint="cs"/>
            <w:sz w:val="20"/>
            <w:rtl/>
          </w:rPr>
          <w:t xml:space="preserve">תשכ"ג </w:t>
        </w:r>
        <w:r w:rsidR="00FE6BE7" w:rsidRPr="000A24E7">
          <w:rPr>
            <w:rStyle w:val="Hyperlink"/>
            <w:rFonts w:hint="cs"/>
            <w:sz w:val="20"/>
            <w:rtl/>
          </w:rPr>
          <w:t>מס' 388</w:t>
        </w:r>
      </w:hyperlink>
      <w:r w:rsidR="00FE6BE7">
        <w:rPr>
          <w:rFonts w:hint="cs"/>
          <w:sz w:val="20"/>
          <w:rtl/>
        </w:rPr>
        <w:t xml:space="preserve"> מיום </w:t>
      </w:r>
      <w:r w:rsidR="008152E8">
        <w:rPr>
          <w:rFonts w:hint="cs"/>
          <w:sz w:val="20"/>
          <w:rtl/>
        </w:rPr>
        <w:t>14.2.1963</w:t>
      </w:r>
      <w:r w:rsidR="00FE6BE7">
        <w:rPr>
          <w:rFonts w:hint="cs"/>
          <w:sz w:val="20"/>
          <w:rtl/>
        </w:rPr>
        <w:t xml:space="preserve"> עמ' 46</w:t>
      </w:r>
      <w:r>
        <w:rPr>
          <w:rFonts w:hint="cs"/>
          <w:sz w:val="20"/>
          <w:rtl/>
        </w:rPr>
        <w:t xml:space="preserve"> (</w:t>
      </w:r>
      <w:hyperlink r:id="rId2" w:history="1">
        <w:r w:rsidRPr="000A24E7">
          <w:rPr>
            <w:rStyle w:val="Hyperlink"/>
            <w:rFonts w:hint="cs"/>
            <w:sz w:val="20"/>
            <w:rtl/>
          </w:rPr>
          <w:t>ה"ח תשכ"ב מס' 510</w:t>
        </w:r>
      </w:hyperlink>
      <w:r>
        <w:rPr>
          <w:rFonts w:hint="cs"/>
          <w:sz w:val="20"/>
          <w:rtl/>
        </w:rPr>
        <w:t xml:space="preserve"> עמ' 180) </w:t>
      </w:r>
      <w:r>
        <w:rPr>
          <w:sz w:val="20"/>
          <w:rtl/>
        </w:rPr>
        <w:t>–</w:t>
      </w:r>
      <w:r>
        <w:rPr>
          <w:rFonts w:hint="cs"/>
          <w:sz w:val="20"/>
          <w:rtl/>
        </w:rPr>
        <w:t xml:space="preserve"> תיקון מס' 1</w:t>
      </w:r>
      <w:r w:rsidR="00FE6BE7">
        <w:rPr>
          <w:rFonts w:hint="cs"/>
          <w:sz w:val="20"/>
          <w:rtl/>
        </w:rPr>
        <w:t>.</w:t>
      </w:r>
    </w:p>
    <w:p w14:paraId="749AFCDA" w14:textId="77777777" w:rsidR="00FE6BE7" w:rsidRDefault="000A24E7" w:rsidP="000A24E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FE6BE7" w:rsidRPr="000A24E7">
          <w:rPr>
            <w:rStyle w:val="Hyperlink"/>
            <w:sz w:val="20"/>
            <w:rtl/>
          </w:rPr>
          <w:t>ס</w:t>
        </w:r>
        <w:r w:rsidR="00FE6BE7" w:rsidRPr="000A24E7">
          <w:rPr>
            <w:rStyle w:val="Hyperlink"/>
            <w:rFonts w:hint="cs"/>
            <w:sz w:val="20"/>
            <w:rtl/>
          </w:rPr>
          <w:t xml:space="preserve">"ח </w:t>
        </w:r>
        <w:r w:rsidRPr="000A24E7">
          <w:rPr>
            <w:rStyle w:val="Hyperlink"/>
            <w:rFonts w:hint="cs"/>
            <w:sz w:val="20"/>
            <w:rtl/>
          </w:rPr>
          <w:t xml:space="preserve">תשכ"ז </w:t>
        </w:r>
        <w:r w:rsidR="00FE6BE7" w:rsidRPr="000A24E7">
          <w:rPr>
            <w:rStyle w:val="Hyperlink"/>
            <w:rFonts w:hint="cs"/>
            <w:sz w:val="20"/>
            <w:rtl/>
          </w:rPr>
          <w:t>מס' 507</w:t>
        </w:r>
      </w:hyperlink>
      <w:r w:rsidR="00FE6BE7">
        <w:rPr>
          <w:rFonts w:hint="cs"/>
          <w:sz w:val="20"/>
          <w:rtl/>
        </w:rPr>
        <w:t xml:space="preserve"> מיום </w:t>
      </w:r>
      <w:r>
        <w:rPr>
          <w:rFonts w:hint="cs"/>
          <w:sz w:val="20"/>
          <w:rtl/>
        </w:rPr>
        <w:t>14.8.1967</w:t>
      </w:r>
      <w:r w:rsidR="00FE6BE7">
        <w:rPr>
          <w:rFonts w:hint="cs"/>
          <w:sz w:val="20"/>
          <w:rtl/>
        </w:rPr>
        <w:t xml:space="preserve"> עמ' 128</w:t>
      </w:r>
      <w:r>
        <w:rPr>
          <w:rFonts w:hint="cs"/>
          <w:sz w:val="20"/>
          <w:rtl/>
        </w:rPr>
        <w:t xml:space="preserve"> (</w:t>
      </w:r>
      <w:hyperlink r:id="rId4" w:history="1">
        <w:r w:rsidRPr="000A24E7">
          <w:rPr>
            <w:rStyle w:val="Hyperlink"/>
            <w:rFonts w:hint="cs"/>
            <w:sz w:val="20"/>
            <w:rtl/>
          </w:rPr>
          <w:t>ה"ח תשכ"ה מס' 659</w:t>
        </w:r>
      </w:hyperlink>
      <w:r>
        <w:rPr>
          <w:rFonts w:hint="cs"/>
          <w:sz w:val="20"/>
          <w:rtl/>
        </w:rPr>
        <w:t xml:space="preserve"> עמ' 260)</w:t>
      </w:r>
      <w:r w:rsidR="00FE6BE7">
        <w:rPr>
          <w:rFonts w:hint="cs"/>
          <w:sz w:val="20"/>
          <w:rtl/>
        </w:rPr>
        <w:t xml:space="preserve"> </w:t>
      </w:r>
      <w:r>
        <w:rPr>
          <w:sz w:val="20"/>
          <w:rtl/>
        </w:rPr>
        <w:t>–</w:t>
      </w:r>
      <w:r>
        <w:rPr>
          <w:rFonts w:hint="cs"/>
          <w:sz w:val="20"/>
          <w:rtl/>
        </w:rPr>
        <w:t xml:space="preserve"> תיקון מס' 2 בסעיף 85(4) ל</w:t>
      </w:r>
      <w:r w:rsidR="00FE6BE7">
        <w:rPr>
          <w:rFonts w:hint="cs"/>
          <w:sz w:val="20"/>
          <w:rtl/>
        </w:rPr>
        <w:t>חוק ההוצאה לפועל תשכ"ז</w:t>
      </w:r>
      <w:r>
        <w:rPr>
          <w:rFonts w:hint="cs"/>
          <w:sz w:val="20"/>
          <w:rtl/>
        </w:rPr>
        <w:t>-1967; תחילתו ביום 1.9.1968</w:t>
      </w:r>
      <w:r w:rsidR="00FE6BE7">
        <w:rPr>
          <w:rFonts w:hint="cs"/>
          <w:sz w:val="20"/>
          <w:rtl/>
        </w:rPr>
        <w:t>.</w:t>
      </w:r>
    </w:p>
    <w:p w14:paraId="78E32017" w14:textId="77777777" w:rsidR="00FE6BE7" w:rsidRPr="00FE6BE7" w:rsidRDefault="000A24E7" w:rsidP="000A24E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5" w:history="1">
        <w:r w:rsidR="00FE6BE7" w:rsidRPr="000A24E7">
          <w:rPr>
            <w:rStyle w:val="Hyperlink"/>
            <w:sz w:val="20"/>
            <w:rtl/>
          </w:rPr>
          <w:t>ס</w:t>
        </w:r>
        <w:r w:rsidR="00FE6BE7" w:rsidRPr="000A24E7">
          <w:rPr>
            <w:rStyle w:val="Hyperlink"/>
            <w:rFonts w:hint="cs"/>
            <w:sz w:val="20"/>
            <w:rtl/>
          </w:rPr>
          <w:t>"ח תשמ"ד מס' 1113</w:t>
        </w:r>
      </w:hyperlink>
      <w:r w:rsidR="00FE6BE7">
        <w:rPr>
          <w:rFonts w:hint="cs"/>
          <w:sz w:val="20"/>
          <w:rtl/>
        </w:rPr>
        <w:t xml:space="preserve"> מיום 30.3.1984 עמ' 96 </w:t>
      </w:r>
      <w:r>
        <w:rPr>
          <w:rFonts w:hint="cs"/>
          <w:sz w:val="20"/>
          <w:rtl/>
        </w:rPr>
        <w:t>(</w:t>
      </w:r>
      <w:hyperlink r:id="rId6" w:history="1">
        <w:r w:rsidRPr="000A24E7">
          <w:rPr>
            <w:rStyle w:val="Hyperlink"/>
            <w:rFonts w:hint="cs"/>
            <w:sz w:val="20"/>
            <w:rtl/>
          </w:rPr>
          <w:t>ה"ח תשמ"א מס' 1503</w:t>
        </w:r>
      </w:hyperlink>
      <w:r>
        <w:rPr>
          <w:rFonts w:hint="cs"/>
          <w:sz w:val="20"/>
          <w:rtl/>
        </w:rPr>
        <w:t xml:space="preserve"> עמ' 131) </w:t>
      </w:r>
      <w:r>
        <w:rPr>
          <w:sz w:val="20"/>
          <w:rtl/>
        </w:rPr>
        <w:t>–</w:t>
      </w:r>
      <w:r>
        <w:rPr>
          <w:rFonts w:hint="cs"/>
          <w:sz w:val="20"/>
          <w:rtl/>
        </w:rPr>
        <w:t xml:space="preserve"> תיקון מס' 3</w:t>
      </w:r>
      <w:r w:rsidR="00FE6BE7">
        <w:rPr>
          <w:rFonts w:hint="cs"/>
          <w:sz w:val="20"/>
          <w:rtl/>
        </w:rPr>
        <w:t xml:space="preserve"> </w:t>
      </w:r>
      <w:r>
        <w:rPr>
          <w:rFonts w:hint="cs"/>
          <w:sz w:val="20"/>
          <w:rtl/>
        </w:rPr>
        <w:t>ב</w:t>
      </w:r>
      <w:r w:rsidR="00FE6BE7">
        <w:rPr>
          <w:rFonts w:hint="cs"/>
          <w:sz w:val="20"/>
          <w:rtl/>
        </w:rPr>
        <w:t xml:space="preserve">סעיף 11 </w:t>
      </w:r>
      <w:r>
        <w:rPr>
          <w:rFonts w:hint="cs"/>
          <w:sz w:val="20"/>
          <w:rtl/>
        </w:rPr>
        <w:t>ל</w:t>
      </w:r>
      <w:r w:rsidR="00FE6BE7">
        <w:rPr>
          <w:rFonts w:hint="cs"/>
          <w:sz w:val="20"/>
          <w:rtl/>
        </w:rPr>
        <w:t>תוספת לחוק לביטול דינים שנושנו, תשמ"ד</w:t>
      </w:r>
      <w:r>
        <w:rPr>
          <w:rFonts w:hint="cs"/>
          <w:sz w:val="20"/>
          <w:rtl/>
        </w:rPr>
        <w:t>-</w:t>
      </w:r>
      <w:r w:rsidR="00FE6BE7">
        <w:rPr>
          <w:rFonts w:hint="cs"/>
          <w:sz w:val="20"/>
          <w:rtl/>
        </w:rPr>
        <w:t>1984</w:t>
      </w:r>
      <w:r>
        <w:rPr>
          <w:rFonts w:hint="cs"/>
          <w:sz w:val="20"/>
          <w:rtl/>
        </w:rPr>
        <w:t>; תחילתו ביום 1.9.1968</w:t>
      </w:r>
      <w:r w:rsidR="00FE6BE7">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0604" w14:textId="77777777" w:rsidR="00735035" w:rsidRDefault="007350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הפרוצדורה האזרחית</w:t>
    </w:r>
  </w:p>
  <w:p w14:paraId="0A1D94DC" w14:textId="77777777" w:rsidR="00735035" w:rsidRDefault="007350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E46163" w14:textId="77777777" w:rsidR="00735035" w:rsidRDefault="0073503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8F869" w14:textId="77777777" w:rsidR="00735035" w:rsidRDefault="007350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הפרוצדורה האזרחית</w:t>
    </w:r>
  </w:p>
  <w:p w14:paraId="58FE82D3" w14:textId="77777777" w:rsidR="00735035" w:rsidRDefault="007350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EDB8B6" w14:textId="77777777" w:rsidR="00735035" w:rsidRDefault="0073503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6BE7"/>
    <w:rsid w:val="000A24E7"/>
    <w:rsid w:val="00192217"/>
    <w:rsid w:val="003A02BE"/>
    <w:rsid w:val="003C626A"/>
    <w:rsid w:val="0043639D"/>
    <w:rsid w:val="00735035"/>
    <w:rsid w:val="008152E8"/>
    <w:rsid w:val="0099497D"/>
    <w:rsid w:val="00AB301D"/>
    <w:rsid w:val="00E85267"/>
    <w:rsid w:val="00FE6B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F8D7A51"/>
  <w15:chartTrackingRefBased/>
  <w15:docId w15:val="{3051B557-8CAC-44BA-A02B-B2827384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E6BE7"/>
    <w:rPr>
      <w:sz w:val="20"/>
      <w:szCs w:val="20"/>
    </w:rPr>
  </w:style>
  <w:style w:type="character" w:styleId="a6">
    <w:name w:val="footnote reference"/>
    <w:basedOn w:val="a0"/>
    <w:semiHidden/>
    <w:rsid w:val="00FE6B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507.pdf" TargetMode="External"/><Relationship Id="rId2" Type="http://schemas.openxmlformats.org/officeDocument/2006/relationships/hyperlink" Target="http://www.nevo.co.il/Law_word/law17/PROP-0510.pdf" TargetMode="External"/><Relationship Id="rId1" Type="http://schemas.openxmlformats.org/officeDocument/2006/relationships/hyperlink" Target="http://www.nevo.co.il/Law_word/law14/LAW-0388.pdf" TargetMode="External"/><Relationship Id="rId6" Type="http://schemas.openxmlformats.org/officeDocument/2006/relationships/hyperlink" Target="http://www.nevo.co.il/Law_word/law17/PROP-1503.pdf" TargetMode="External"/><Relationship Id="rId5" Type="http://schemas.openxmlformats.org/officeDocument/2006/relationships/hyperlink" Target="http://www.nevo.co.il/Law_word/law14/LAW-1113.pdf" TargetMode="External"/><Relationship Id="rId4" Type="http://schemas.openxmlformats.org/officeDocument/2006/relationships/hyperlink" Target="http://www.nevo.co.il/Law_word/law17/PROP-06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1548</CharactersWithSpaces>
  <SharedDoc>false</SharedDoc>
  <HLinks>
    <vt:vector size="6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983164</vt:i4>
      </vt:variant>
      <vt:variant>
        <vt:i4>15</vt:i4>
      </vt:variant>
      <vt:variant>
        <vt:i4>0</vt:i4>
      </vt:variant>
      <vt:variant>
        <vt:i4>5</vt:i4>
      </vt:variant>
      <vt:variant>
        <vt:lpwstr>http://www.nevo.co.il/Law_word/law17/PROP-1503.pdf</vt:lpwstr>
      </vt:variant>
      <vt:variant>
        <vt:lpwstr/>
      </vt:variant>
      <vt:variant>
        <vt:i4>8323083</vt:i4>
      </vt:variant>
      <vt:variant>
        <vt:i4>12</vt:i4>
      </vt:variant>
      <vt:variant>
        <vt:i4>0</vt:i4>
      </vt:variant>
      <vt:variant>
        <vt:i4>5</vt:i4>
      </vt:variant>
      <vt:variant>
        <vt:lpwstr>http://www.nevo.co.il/Law_word/law14/LAW-1113.pdf</vt:lpwstr>
      </vt:variant>
      <vt:variant>
        <vt:lpwstr/>
      </vt:variant>
      <vt:variant>
        <vt:i4>393336</vt:i4>
      </vt:variant>
      <vt:variant>
        <vt:i4>9</vt:i4>
      </vt:variant>
      <vt:variant>
        <vt:i4>0</vt:i4>
      </vt:variant>
      <vt:variant>
        <vt:i4>5</vt:i4>
      </vt:variant>
      <vt:variant>
        <vt:lpwstr>http://www.nevo.co.il/Law_word/law17/PROP-0659.pdf</vt:lpwstr>
      </vt:variant>
      <vt:variant>
        <vt:lpwstr/>
      </vt:variant>
      <vt:variant>
        <vt:i4>8323083</vt:i4>
      </vt:variant>
      <vt:variant>
        <vt:i4>6</vt:i4>
      </vt:variant>
      <vt:variant>
        <vt:i4>0</vt:i4>
      </vt:variant>
      <vt:variant>
        <vt:i4>5</vt:i4>
      </vt:variant>
      <vt:variant>
        <vt:lpwstr>http://www.nevo.co.il/Law_word/law14/LAW-0507.pdf</vt:lpwstr>
      </vt:variant>
      <vt:variant>
        <vt:lpwstr/>
      </vt:variant>
      <vt:variant>
        <vt:i4>786556</vt:i4>
      </vt:variant>
      <vt:variant>
        <vt:i4>3</vt:i4>
      </vt:variant>
      <vt:variant>
        <vt:i4>0</vt:i4>
      </vt:variant>
      <vt:variant>
        <vt:i4>5</vt:i4>
      </vt:variant>
      <vt:variant>
        <vt:lpwstr>http://www.nevo.co.il/Law_word/law17/PROP-0510.pdf</vt:lpwstr>
      </vt:variant>
      <vt:variant>
        <vt:lpwstr/>
      </vt:variant>
      <vt:variant>
        <vt:i4>7798786</vt:i4>
      </vt:variant>
      <vt:variant>
        <vt:i4>0</vt:i4>
      </vt:variant>
      <vt:variant>
        <vt:i4>0</vt:i4>
      </vt:variant>
      <vt:variant>
        <vt:i4>5</vt:i4>
      </vt:variant>
      <vt:variant>
        <vt:lpwstr>http://www.nevo.co.il/Law_word/law14/LAW-0388.pdf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פקודת הפרוצדורה האזרחית</vt:lpwstr>
  </property>
  <property fmtid="{D5CDD505-2E9C-101B-9397-08002B2CF9AE}" pid="5" name="LAWNUMBER">
    <vt:lpwstr>0058</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סדר דין אזרחי</vt:lpwstr>
  </property>
  <property fmtid="{D5CDD505-2E9C-101B-9397-08002B2CF9AE}" pid="9" name="NOSE31">
    <vt:lpwstr>החוק העותומני</vt:lpwstr>
  </property>
  <property fmtid="{D5CDD505-2E9C-101B-9397-08002B2CF9AE}" pid="10" name="NOSE41">
    <vt:lpwstr>פקודת הפרוצ' האזרחית</vt:lpwstr>
  </property>
  <property fmtid="{D5CDD505-2E9C-101B-9397-08002B2CF9AE}" pid="11" name="NOSE12">
    <vt:lpwstr>בתי משפט וסדרי דין</vt:lpwstr>
  </property>
  <property fmtid="{D5CDD505-2E9C-101B-9397-08002B2CF9AE}" pid="12" name="NOSE22">
    <vt:lpwstr>הוצאה לפועל</vt:lpwstr>
  </property>
  <property fmtid="{D5CDD505-2E9C-101B-9397-08002B2CF9AE}" pid="13" name="NOSE32">
    <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אזרחי</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