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23CB" w14:textId="77777777" w:rsidR="00785F10" w:rsidRDefault="00785F10">
      <w:pPr>
        <w:pStyle w:val="big-header"/>
        <w:ind w:left="0" w:right="2835"/>
      </w:pPr>
      <w:r>
        <w:rPr>
          <w:rtl/>
        </w:rPr>
        <w:t>פקודת סחף הקרקע</w:t>
      </w:r>
    </w:p>
    <w:p w14:paraId="3483F2BC" w14:textId="77777777" w:rsidR="00650393" w:rsidRPr="00650393" w:rsidRDefault="00650393" w:rsidP="00650393">
      <w:pPr>
        <w:spacing w:line="320" w:lineRule="auto"/>
        <w:rPr>
          <w:rFonts w:cs="FrankRuehl"/>
          <w:szCs w:val="26"/>
          <w:rtl/>
        </w:rPr>
      </w:pPr>
    </w:p>
    <w:p w14:paraId="4503D92C" w14:textId="77777777" w:rsidR="00650393" w:rsidRDefault="00650393" w:rsidP="00650393">
      <w:pPr>
        <w:spacing w:line="320" w:lineRule="auto"/>
        <w:rPr>
          <w:rtl/>
        </w:rPr>
      </w:pPr>
    </w:p>
    <w:p w14:paraId="3FAF3807" w14:textId="77777777" w:rsidR="00650393" w:rsidRPr="00650393" w:rsidRDefault="00650393" w:rsidP="00650393">
      <w:pPr>
        <w:spacing w:line="320" w:lineRule="auto"/>
        <w:rPr>
          <w:rFonts w:cs="Miriam"/>
          <w:szCs w:val="22"/>
          <w:rtl/>
        </w:rPr>
      </w:pPr>
      <w:r w:rsidRPr="00650393">
        <w:rPr>
          <w:rFonts w:cs="Miriam"/>
          <w:szCs w:val="22"/>
          <w:rtl/>
        </w:rPr>
        <w:t>רשויות ומשפט מנהלי</w:t>
      </w:r>
      <w:r w:rsidRPr="00650393">
        <w:rPr>
          <w:rFonts w:cs="FrankRuehl"/>
          <w:szCs w:val="26"/>
          <w:rtl/>
        </w:rPr>
        <w:t xml:space="preserve"> – רשויות מקומיות – ניקוז והגנה מפני שיטפונות</w:t>
      </w:r>
    </w:p>
    <w:p w14:paraId="400527D4" w14:textId="77777777" w:rsidR="00785F10" w:rsidRDefault="00785F10">
      <w:pPr>
        <w:pStyle w:val="big-header"/>
        <w:ind w:left="0" w:right="2835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85F10" w14:paraId="246602E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D5CE34" w14:textId="77777777" w:rsidR="00785F10" w:rsidRDefault="00785F1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1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55460BB" w14:textId="77777777" w:rsidR="00785F10" w:rsidRDefault="00785F10">
            <w:hyperlink w:anchor="Seif0" w:tooltip="השם הק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0FB67B" w14:textId="77777777" w:rsidR="00785F10" w:rsidRDefault="00785F10">
            <w:pPr>
              <w:rPr>
                <w:rtl/>
              </w:rPr>
            </w:pPr>
            <w:r>
              <w:rPr>
                <w:rtl/>
              </w:rPr>
              <w:t>השם הקצר</w:t>
            </w:r>
          </w:p>
        </w:tc>
        <w:tc>
          <w:tcPr>
            <w:tcW w:w="1247" w:type="dxa"/>
          </w:tcPr>
          <w:p w14:paraId="62D870A3" w14:textId="77777777" w:rsidR="00785F10" w:rsidRDefault="00785F10">
            <w:r>
              <w:rPr>
                <w:rtl/>
              </w:rPr>
              <w:t xml:space="preserve">סעיף 1 </w:t>
            </w:r>
          </w:p>
        </w:tc>
      </w:tr>
      <w:tr w:rsidR="00785F10" w14:paraId="0817AA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89D152" w14:textId="77777777" w:rsidR="00785F10" w:rsidRDefault="00785F1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A303797" w14:textId="77777777" w:rsidR="00785F10" w:rsidRDefault="00785F10">
            <w:hyperlink w:anchor="Seif1" w:tooltip="סמכותו של שר החקלאות להתקין 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D17EFD" w14:textId="77777777" w:rsidR="00785F10" w:rsidRDefault="00785F10">
            <w:pPr>
              <w:rPr>
                <w:rtl/>
              </w:rPr>
            </w:pPr>
            <w:r>
              <w:rPr>
                <w:rtl/>
              </w:rPr>
              <w:t>סמכותו של שר החקלאות להתקין תקנות</w:t>
            </w:r>
          </w:p>
        </w:tc>
        <w:tc>
          <w:tcPr>
            <w:tcW w:w="1247" w:type="dxa"/>
          </w:tcPr>
          <w:p w14:paraId="2E016F4D" w14:textId="77777777" w:rsidR="00785F10" w:rsidRDefault="00785F10">
            <w:r>
              <w:rPr>
                <w:rtl/>
              </w:rPr>
              <w:t xml:space="preserve">סעיף 2 </w:t>
            </w:r>
          </w:p>
        </w:tc>
      </w:tr>
      <w:tr w:rsidR="00785F10" w14:paraId="430E453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E47139" w14:textId="77777777" w:rsidR="00785F10" w:rsidRDefault="00785F1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CD854C5" w14:textId="77777777" w:rsidR="00785F10" w:rsidRDefault="00785F10">
            <w:hyperlink w:anchor="Seif2" w:tooltip="אין הממשלה חייבת בתשלום פיצו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390B31" w14:textId="77777777" w:rsidR="00785F10" w:rsidRDefault="00785F10">
            <w:pPr>
              <w:rPr>
                <w:rtl/>
              </w:rPr>
            </w:pPr>
            <w:r>
              <w:rPr>
                <w:rtl/>
              </w:rPr>
              <w:t>אין הממשלה חייבת בתשלום פיצויים</w:t>
            </w:r>
          </w:p>
        </w:tc>
        <w:tc>
          <w:tcPr>
            <w:tcW w:w="1247" w:type="dxa"/>
          </w:tcPr>
          <w:p w14:paraId="216F39EF" w14:textId="77777777" w:rsidR="00785F10" w:rsidRDefault="00785F10">
            <w:r>
              <w:rPr>
                <w:rtl/>
              </w:rPr>
              <w:t xml:space="preserve">סעיף 3 </w:t>
            </w:r>
          </w:p>
        </w:tc>
      </w:tr>
    </w:tbl>
    <w:p w14:paraId="15821C16" w14:textId="77777777" w:rsidR="00785F10" w:rsidRDefault="00785F10">
      <w:pPr>
        <w:pStyle w:val="big-header"/>
        <w:ind w:left="0" w:right="2835"/>
        <w:rPr>
          <w:rtl/>
        </w:rPr>
      </w:pPr>
    </w:p>
    <w:p w14:paraId="3B7C27F2" w14:textId="77777777" w:rsidR="00785F10" w:rsidRDefault="00785F10" w:rsidP="00650393">
      <w:pPr>
        <w:pStyle w:val="big-header"/>
        <w:ind w:left="0" w:right="2835"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פ</w:t>
      </w:r>
      <w:r>
        <w:rPr>
          <w:rFonts w:hint="cs"/>
          <w:rtl/>
        </w:rPr>
        <w:t>קודת סחף הקרקע (מניעה)</w:t>
      </w:r>
    </w:p>
    <w:p w14:paraId="25155259" w14:textId="77777777" w:rsidR="00785F10" w:rsidRDefault="00785F10">
      <w:pPr>
        <w:pStyle w:val="medium-header"/>
        <w:keepNext w:val="0"/>
        <w:keepLines w:val="0"/>
        <w:ind w:left="0" w:right="2835"/>
        <w:rPr>
          <w:rStyle w:val="default"/>
          <w:rtl/>
        </w:rPr>
      </w:pPr>
      <w:r>
        <w:rPr>
          <w:rtl/>
        </w:rPr>
        <w:t>מ</w:t>
      </w:r>
      <w:r>
        <w:rPr>
          <w:rFonts w:hint="cs"/>
          <w:rtl/>
        </w:rPr>
        <w:t>ס' 12 לש' 1941</w:t>
      </w:r>
      <w:r>
        <w:rPr>
          <w:rStyle w:val="super"/>
          <w:rFonts w:cs="Miriam"/>
          <w:rtl/>
        </w:rPr>
        <w:t>(11)(*)(**)</w:t>
      </w:r>
    </w:p>
    <w:p w14:paraId="3E04D53B" w14:textId="77777777" w:rsidR="00785F10" w:rsidRDefault="00785F10">
      <w:pPr>
        <w:pStyle w:val="medium-header"/>
        <w:keepNext w:val="0"/>
        <w:keepLines w:val="0"/>
        <w:ind w:left="0" w:right="2835"/>
        <w:rPr>
          <w:rtl/>
        </w:rPr>
      </w:pPr>
      <w:r>
        <w:rPr>
          <w:rtl/>
        </w:rPr>
        <w:t>פ</w:t>
      </w:r>
      <w:r>
        <w:rPr>
          <w:rFonts w:hint="cs"/>
          <w:rtl/>
        </w:rPr>
        <w:t>קודה הבאה לאפשר לשר החקלאות להתקין תקנות למניעת סחף-קרקע ולתי</w:t>
      </w:r>
      <w:r>
        <w:rPr>
          <w:rtl/>
        </w:rPr>
        <w:t>ק</w:t>
      </w:r>
      <w:r>
        <w:rPr>
          <w:rFonts w:hint="cs"/>
          <w:rtl/>
        </w:rPr>
        <w:t>ון נזקים שכבר נגרמו ע"י סחף-קרקע.</w:t>
      </w:r>
    </w:p>
    <w:p w14:paraId="5A751B6A" w14:textId="77777777" w:rsidR="00785F10" w:rsidRDefault="00785F10">
      <w:pPr>
        <w:pStyle w:val="P00"/>
        <w:spacing w:before="72"/>
        <w:ind w:left="0" w:right="2835"/>
        <w:rPr>
          <w:rStyle w:val="default"/>
          <w:rtl/>
        </w:rPr>
      </w:pPr>
      <w:bookmarkStart w:id="0" w:name="Seif0"/>
      <w:bookmarkEnd w:id="0"/>
      <w:r>
        <w:rPr>
          <w:lang w:val="he-IL"/>
        </w:rPr>
        <w:pict w14:anchorId="1AA40F75">
          <v:rect id="_x0000_s1026" style="position:absolute;left:0;text-align:left;margin-left:464.5pt;margin-top:8.05pt;width:75.05pt;height:8pt;z-index:251656704" o:allowincell="f" filled="f" stroked="f" strokecolor="lime" strokeweight=".25pt">
            <v:textbox style="mso-next-textbox:#_x0000_s1026" inset="0,0,0,0">
              <w:txbxContent>
                <w:p w14:paraId="132B0C80" w14:textId="77777777" w:rsidR="00785F10" w:rsidRDefault="00785F10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 הקצר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tl/>
        </w:rPr>
        <w:t>פ</w:t>
      </w:r>
      <w:r>
        <w:rPr>
          <w:rStyle w:val="default"/>
          <w:rFonts w:hint="cs"/>
          <w:rtl/>
        </w:rPr>
        <w:t>קודה זו תיקרא פקודת סחף הקרקע (מניעה), 1941.</w:t>
      </w:r>
    </w:p>
    <w:p w14:paraId="59A98953" w14:textId="77777777" w:rsidR="00785F10" w:rsidRDefault="00785F10">
      <w:pPr>
        <w:pStyle w:val="P00"/>
        <w:spacing w:before="72"/>
        <w:ind w:left="0" w:right="2835"/>
        <w:rPr>
          <w:rtl/>
        </w:rPr>
      </w:pPr>
      <w:r>
        <w:rPr>
          <w:rtl/>
        </w:rPr>
        <w:t>------------</w:t>
      </w:r>
    </w:p>
    <w:p w14:paraId="58060A7F" w14:textId="77777777" w:rsidR="00785F10" w:rsidRDefault="00785F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 xml:space="preserve"> (8)</w:t>
      </w:r>
      <w:r>
        <w:rPr>
          <w:rtl/>
        </w:rPr>
        <w:t> </w:t>
      </w:r>
      <w:r>
        <w:rPr>
          <w:sz w:val="20"/>
          <w:rtl/>
        </w:rPr>
        <w:t>ע</w:t>
      </w:r>
      <w:r>
        <w:rPr>
          <w:rFonts w:hint="cs"/>
          <w:sz w:val="20"/>
          <w:rtl/>
        </w:rPr>
        <w:t>"ר מס' 1560 מיום 6.3.1947, תוס' 2, עמ' (ע) 290, (א) 356;</w:t>
      </w:r>
    </w:p>
    <w:p w14:paraId="7ACD7FB4" w14:textId="77777777" w:rsidR="00785F10" w:rsidRDefault="00785F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>וקן ע"ר מס' 1633 מיום 18.12.1947, תוס' 2, עמ' (ע) 1502, (א) 1857.</w:t>
      </w:r>
    </w:p>
    <w:p w14:paraId="38A906DD" w14:textId="77777777" w:rsidR="00785F10" w:rsidRDefault="00785F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>(9)</w:t>
      </w:r>
      <w:r>
        <w:rPr>
          <w:rtl/>
        </w:rPr>
        <w:t> </w:t>
      </w:r>
      <w:r>
        <w:rPr>
          <w:sz w:val="20"/>
          <w:rtl/>
        </w:rPr>
        <w:t>ע</w:t>
      </w:r>
      <w:r>
        <w:rPr>
          <w:rFonts w:hint="cs"/>
          <w:sz w:val="20"/>
          <w:rtl/>
        </w:rPr>
        <w:t>"ר מס' 1354 מיום 24.8.1944, תוס' 2, עמ' (</w:t>
      </w:r>
      <w:r>
        <w:rPr>
          <w:sz w:val="20"/>
          <w:rtl/>
        </w:rPr>
        <w:t>ע</w:t>
      </w:r>
      <w:r>
        <w:rPr>
          <w:rFonts w:hint="cs"/>
          <w:sz w:val="20"/>
          <w:rtl/>
        </w:rPr>
        <w:t>) 658, (א) 852.</w:t>
      </w:r>
    </w:p>
    <w:p w14:paraId="47792A78" w14:textId="77777777" w:rsidR="00785F10" w:rsidRDefault="00785F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>ע</w:t>
      </w:r>
      <w:r>
        <w:rPr>
          <w:rFonts w:hint="cs"/>
          <w:sz w:val="20"/>
          <w:rtl/>
        </w:rPr>
        <w:t>"ר מס' 1524 מיום 26.9.1946 תוס' 2, עמ' (ע) 1023, (א) 1157.</w:t>
      </w:r>
    </w:p>
    <w:p w14:paraId="0E5F23CD" w14:textId="77777777" w:rsidR="00785F10" w:rsidRDefault="00785F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>(10)</w:t>
      </w:r>
      <w:r>
        <w:rPr>
          <w:rtl/>
        </w:rPr>
        <w:t> </w:t>
      </w:r>
      <w:r>
        <w:rPr>
          <w:sz w:val="20"/>
          <w:rtl/>
        </w:rPr>
        <w:t>ע</w:t>
      </w:r>
      <w:r>
        <w:rPr>
          <w:rFonts w:hint="cs"/>
          <w:sz w:val="20"/>
          <w:rtl/>
        </w:rPr>
        <w:t>"ר מס' 1390 מיום 8.2.1945, תוס' 2, עמ' (ע) 103, (א) 130.</w:t>
      </w:r>
    </w:p>
    <w:p w14:paraId="72ED19A8" w14:textId="77777777" w:rsidR="00785F10" w:rsidRDefault="00785F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>(11)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ורסמה ע"ר מס' 1097 מיום 10.5.1944, תוס' 1, עמ' (ע) 29, (א) 37;</w:t>
      </w:r>
    </w:p>
    <w:p w14:paraId="0CFE25FD" w14:textId="77777777" w:rsidR="00785F10" w:rsidRDefault="00785F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>וקנה ע"י חוק הניקוז וההגנה מפני שטפונות, תשי"ח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1957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ראה לעיל.</w:t>
      </w:r>
    </w:p>
    <w:p w14:paraId="0D041A61" w14:textId="77777777" w:rsidR="00785F10" w:rsidRDefault="00785F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>(*)</w:t>
      </w:r>
      <w:r>
        <w:rPr>
          <w:rtl/>
        </w:rPr>
        <w:t> </w:t>
      </w:r>
      <w:r>
        <w:rPr>
          <w:sz w:val="20"/>
          <w:rtl/>
        </w:rPr>
        <w:t>ע</w:t>
      </w:r>
      <w:r>
        <w:rPr>
          <w:rFonts w:hint="cs"/>
          <w:sz w:val="20"/>
          <w:rtl/>
        </w:rPr>
        <w:t>"י חוק התיקון תוקן השם הקצר של הפקודה (פקודת השטפון וסחף הקרקע, 1941), והכותרת הארוכה של הפקודה ובסעיף 2, במקום "שטפון וסחף הקרקע" בא "סחף הקרקע".</w:t>
      </w:r>
    </w:p>
    <w:p w14:paraId="7174A8F1" w14:textId="77777777" w:rsidR="00785F10" w:rsidRDefault="00785F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>(**)</w:t>
      </w:r>
      <w:r>
        <w:rPr>
          <w:rtl/>
        </w:rPr>
        <w:t> </w:t>
      </w:r>
      <w:r>
        <w:rPr>
          <w:sz w:val="20"/>
          <w:rtl/>
        </w:rPr>
        <w:t>ס</w:t>
      </w:r>
      <w:r>
        <w:rPr>
          <w:rFonts w:hint="cs"/>
          <w:sz w:val="20"/>
          <w:rtl/>
        </w:rPr>
        <w:t xml:space="preserve">מכויות הנציב העליון לפי פקודה זו הועברו לשר החקלאות </w:t>
      </w:r>
      <w:r>
        <w:rPr>
          <w:sz w:val="20"/>
          <w:rtl/>
        </w:rPr>
        <w:t>—</w:t>
      </w:r>
      <w:r>
        <w:rPr>
          <w:rFonts w:hint="cs"/>
          <w:sz w:val="20"/>
          <w:rtl/>
        </w:rPr>
        <w:t xml:space="preserve"> ע"ר מס' 5 מיום ט' בסיון תש</w:t>
      </w:r>
      <w:r>
        <w:rPr>
          <w:sz w:val="20"/>
          <w:rtl/>
        </w:rPr>
        <w:t>"</w:t>
      </w:r>
      <w:r>
        <w:rPr>
          <w:rFonts w:hint="cs"/>
          <w:sz w:val="20"/>
          <w:rtl/>
        </w:rPr>
        <w:t>ח (16.6.1948) עמ' 22.</w:t>
      </w:r>
    </w:p>
    <w:p w14:paraId="23821E1D" w14:textId="77777777" w:rsidR="00785F10" w:rsidRDefault="00785F10">
      <w:pPr>
        <w:pStyle w:val="page"/>
        <w:widowControl/>
        <w:rPr>
          <w:position w:val="0"/>
          <w:rtl/>
        </w:rPr>
      </w:pPr>
      <w:r>
        <w:rPr>
          <w:position w:val="0"/>
          <w:rtl/>
        </w:rPr>
        <w:t xml:space="preserve"> </w:t>
      </w:r>
    </w:p>
    <w:p w14:paraId="51C9FC0D" w14:textId="77777777" w:rsidR="00785F10" w:rsidRDefault="00785F10">
      <w:pPr>
        <w:pStyle w:val="P00"/>
        <w:spacing w:before="72"/>
        <w:ind w:left="0" w:right="2835"/>
        <w:rPr>
          <w:rStyle w:val="default"/>
          <w:rtl/>
        </w:rPr>
      </w:pPr>
      <w:bookmarkStart w:id="1" w:name="Seif1"/>
      <w:bookmarkEnd w:id="1"/>
      <w:r>
        <w:rPr>
          <w:lang w:val="he-IL"/>
        </w:rPr>
        <w:pict w14:anchorId="22F1C1DD">
          <v:rect id="_x0000_s1027" style="position:absolute;left:0;text-align:left;margin-left:464.5pt;margin-top:8.05pt;width:75.05pt;height:36.15pt;z-index:251657728" o:allowincell="f" filled="f" stroked="f" strokecolor="lime" strokeweight=".25pt">
            <v:textbox style="mso-next-textbox:#_x0000_s1027" inset="0,0,0,0">
              <w:txbxContent>
                <w:p w14:paraId="7DC4F429" w14:textId="77777777" w:rsidR="00785F10" w:rsidRDefault="00785F10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מכותו של שר החקלאות להתקין 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tl/>
        </w:rPr>
        <w:t>כ</w:t>
      </w:r>
      <w:r>
        <w:rPr>
          <w:rStyle w:val="default"/>
          <w:rFonts w:hint="cs"/>
          <w:rtl/>
        </w:rPr>
        <w:t xml:space="preserve">די למנוע סחף הקרקע וכדי לתקן את הנזק שנגרם כבר ע"י סחף הקרקע רשאי שר החקלאות להתקין תקנות למטרות דלקמן כולן או מקצתן: </w:t>
      </w:r>
      <w:r>
        <w:rPr>
          <w:rStyle w:val="default"/>
          <w:rtl/>
        </w:rPr>
        <w:t>—</w:t>
      </w:r>
    </w:p>
    <w:p w14:paraId="4CD75D6E" w14:textId="77777777" w:rsidR="00785F10" w:rsidRDefault="00785F10">
      <w:pPr>
        <w:pStyle w:val="P22"/>
        <w:spacing w:before="72"/>
        <w:ind w:left="1021" w:right="2835"/>
        <w:rPr>
          <w:rStyle w:val="default"/>
          <w:rtl/>
        </w:rPr>
      </w:pPr>
      <w:r>
        <w:rPr>
          <w:rStyle w:val="default"/>
          <w:rtl/>
        </w:rPr>
        <w:t>(</w:t>
      </w:r>
      <w:r>
        <w:rPr>
          <w:rStyle w:val="default"/>
          <w:rFonts w:hint="cs"/>
          <w:rtl/>
        </w:rPr>
        <w:t>א)</w:t>
      </w:r>
      <w:r>
        <w:rPr>
          <w:rStyle w:val="default"/>
          <w:rtl/>
        </w:rPr>
        <w:tab/>
      </w:r>
      <w:r>
        <w:rPr>
          <w:rStyle w:val="default"/>
          <w:rFonts w:hint="cs"/>
          <w:rtl/>
        </w:rPr>
        <w:t xml:space="preserve">תקנות הקובעות הוראות לבדיקתה של כל קרקע והמכריזות, אם יראה צורך בכך, על אותה </w:t>
      </w:r>
      <w:r>
        <w:rPr>
          <w:rStyle w:val="default"/>
          <w:rtl/>
        </w:rPr>
        <w:t>ק</w:t>
      </w:r>
      <w:r>
        <w:rPr>
          <w:rStyle w:val="default"/>
          <w:rFonts w:hint="cs"/>
          <w:rtl/>
        </w:rPr>
        <w:t>רקע כעל אזור מיוחד;</w:t>
      </w:r>
    </w:p>
    <w:p w14:paraId="7D283593" w14:textId="77777777" w:rsidR="00785F10" w:rsidRDefault="00785F10">
      <w:pPr>
        <w:pStyle w:val="P22"/>
        <w:spacing w:before="72"/>
        <w:ind w:left="1021" w:right="2835"/>
        <w:rPr>
          <w:rStyle w:val="default"/>
          <w:rtl/>
        </w:rPr>
      </w:pPr>
      <w:r>
        <w:rPr>
          <w:rStyle w:val="default"/>
          <w:rtl/>
        </w:rPr>
        <w:t>(</w:t>
      </w:r>
      <w:r>
        <w:rPr>
          <w:rStyle w:val="default"/>
          <w:rFonts w:hint="cs"/>
          <w:rtl/>
        </w:rPr>
        <w:t>ב)</w:t>
      </w:r>
      <w:r>
        <w:rPr>
          <w:rStyle w:val="default"/>
          <w:rtl/>
        </w:rPr>
        <w:tab/>
      </w:r>
      <w:r>
        <w:rPr>
          <w:rStyle w:val="default"/>
          <w:rFonts w:hint="cs"/>
          <w:rtl/>
        </w:rPr>
        <w:t>תקנות האוסרות או המסדירות את המרעה של כל בהמות בית באזור מיוחד או את מעברן דרך אזור מיוחד;</w:t>
      </w:r>
    </w:p>
    <w:p w14:paraId="0A9C48D5" w14:textId="77777777" w:rsidR="00785F10" w:rsidRDefault="00785F10">
      <w:pPr>
        <w:pStyle w:val="P22"/>
        <w:spacing w:before="72"/>
        <w:ind w:left="1021" w:right="2835"/>
        <w:rPr>
          <w:rStyle w:val="default"/>
          <w:rtl/>
        </w:rPr>
      </w:pPr>
      <w:r>
        <w:rPr>
          <w:rStyle w:val="default"/>
          <w:rtl/>
        </w:rPr>
        <w:t>(</w:t>
      </w:r>
      <w:r>
        <w:rPr>
          <w:rStyle w:val="default"/>
          <w:rFonts w:hint="cs"/>
          <w:rtl/>
        </w:rPr>
        <w:t>ג)</w:t>
      </w:r>
      <w:r>
        <w:rPr>
          <w:rStyle w:val="default"/>
          <w:rtl/>
        </w:rPr>
        <w:tab/>
      </w:r>
      <w:r>
        <w:rPr>
          <w:rStyle w:val="default"/>
          <w:rFonts w:hint="cs"/>
          <w:rtl/>
        </w:rPr>
        <w:t>תקנות האוסרות או המסדירות את עבוד הקרקע באזור מיוחד;</w:t>
      </w:r>
    </w:p>
    <w:p w14:paraId="28A2D3BE" w14:textId="77777777" w:rsidR="00785F10" w:rsidRDefault="00785F10">
      <w:pPr>
        <w:pStyle w:val="P22"/>
        <w:spacing w:before="72"/>
        <w:ind w:left="1021" w:right="2835"/>
        <w:rPr>
          <w:rStyle w:val="default"/>
          <w:rtl/>
        </w:rPr>
      </w:pPr>
      <w:r>
        <w:rPr>
          <w:rStyle w:val="default"/>
          <w:rtl/>
        </w:rPr>
        <w:t>(</w:t>
      </w:r>
      <w:r>
        <w:rPr>
          <w:rStyle w:val="default"/>
          <w:rFonts w:hint="cs"/>
          <w:rtl/>
        </w:rPr>
        <w:t>ד)</w:t>
      </w:r>
      <w:r>
        <w:rPr>
          <w:rStyle w:val="default"/>
          <w:rtl/>
        </w:rPr>
        <w:tab/>
      </w:r>
      <w:r>
        <w:rPr>
          <w:rStyle w:val="default"/>
          <w:rFonts w:hint="cs"/>
          <w:rtl/>
        </w:rPr>
        <w:t xml:space="preserve">תקנות האוסרות או המסדירות את הקטילה, הכריתה, השריפה או הסילוק של כל צמחיה, בין </w:t>
      </w:r>
      <w:r>
        <w:rPr>
          <w:rStyle w:val="default"/>
          <w:rtl/>
        </w:rPr>
        <w:t>נ</w:t>
      </w:r>
      <w:r>
        <w:rPr>
          <w:rStyle w:val="default"/>
          <w:rFonts w:hint="cs"/>
          <w:rtl/>
        </w:rPr>
        <w:t>טיעות ובין גידולי-בר, באזור מיוחד;</w:t>
      </w:r>
    </w:p>
    <w:p w14:paraId="09A1FAFD" w14:textId="77777777" w:rsidR="00785F10" w:rsidRDefault="00785F10">
      <w:pPr>
        <w:pStyle w:val="P22"/>
        <w:spacing w:before="72"/>
        <w:ind w:left="1021" w:right="2835"/>
        <w:rPr>
          <w:rStyle w:val="default"/>
          <w:rtl/>
        </w:rPr>
      </w:pPr>
      <w:r>
        <w:rPr>
          <w:rStyle w:val="default"/>
          <w:rtl/>
        </w:rPr>
        <w:t>(</w:t>
      </w:r>
      <w:r>
        <w:rPr>
          <w:rStyle w:val="default"/>
          <w:rFonts w:hint="cs"/>
          <w:rtl/>
        </w:rPr>
        <w:t>ה)</w:t>
      </w:r>
      <w:r>
        <w:rPr>
          <w:rStyle w:val="default"/>
          <w:rtl/>
        </w:rPr>
        <w:tab/>
      </w:r>
      <w:r>
        <w:rPr>
          <w:rStyle w:val="default"/>
          <w:rFonts w:hint="cs"/>
          <w:rtl/>
        </w:rPr>
        <w:t>תקנות הקובעות הוראות לביצועה של כל עבודה באזור מיוחד והחזקתה של כל עבודה שבוצעה כך.</w:t>
      </w:r>
    </w:p>
    <w:p w14:paraId="26268305" w14:textId="77777777" w:rsidR="00785F10" w:rsidRDefault="00785F10">
      <w:pPr>
        <w:pStyle w:val="P00"/>
        <w:spacing w:before="72"/>
        <w:ind w:left="0" w:right="2835"/>
        <w:rPr>
          <w:rStyle w:val="default"/>
          <w:rtl/>
        </w:rPr>
      </w:pPr>
      <w:bookmarkStart w:id="2" w:name="Seif2"/>
      <w:bookmarkEnd w:id="2"/>
      <w:r>
        <w:rPr>
          <w:lang w:val="he-IL"/>
        </w:rPr>
        <w:pict w14:anchorId="2FA70444">
          <v:rect id="_x0000_s1028" style="position:absolute;left:0;text-align:left;margin-left:475.65pt;margin-top:8.05pt;width:63.9pt;height:45.55pt;z-index:251658752" o:allowincell="f" filled="f" stroked="f" strokecolor="lime" strokeweight=".25pt">
            <v:textbox style="mso-next-textbox:#_x0000_s1028" inset="0,0,0,0">
              <w:txbxContent>
                <w:p w14:paraId="7B5EE06E" w14:textId="77777777" w:rsidR="00785F10" w:rsidRDefault="00785F10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ין הממשלה חייבת בתשלום פיצויים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tl/>
        </w:rPr>
        <w:t>א</w:t>
      </w:r>
      <w:r>
        <w:rPr>
          <w:rStyle w:val="default"/>
          <w:rFonts w:hint="cs"/>
          <w:rtl/>
        </w:rPr>
        <w:t>ין הממשלה חייבת בתשלום פיצויים בעד כל פעולה שנקטה בה בהתאם להוראות הפקודה הזאת או בהתאם לכל תקנות שהותקנו על פיה.</w:t>
      </w:r>
    </w:p>
    <w:p w14:paraId="2E7D18C1" w14:textId="77777777" w:rsidR="00785F10" w:rsidRDefault="00785F10">
      <w:pPr>
        <w:pStyle w:val="P00"/>
        <w:spacing w:before="72"/>
        <w:ind w:left="0" w:right="2835"/>
        <w:rPr>
          <w:rStyle w:val="default"/>
          <w:rtl/>
        </w:rPr>
      </w:pPr>
    </w:p>
    <w:p w14:paraId="102B77F6" w14:textId="77777777" w:rsidR="00785F10" w:rsidRDefault="00785F10">
      <w:pPr>
        <w:pStyle w:val="P00"/>
        <w:spacing w:before="72"/>
        <w:ind w:left="0" w:right="2835"/>
        <w:rPr>
          <w:rStyle w:val="default"/>
          <w:rtl/>
        </w:rPr>
      </w:pPr>
    </w:p>
    <w:p w14:paraId="6EA5D5A8" w14:textId="77777777" w:rsidR="00785F10" w:rsidRDefault="00785F10">
      <w:pPr>
        <w:pStyle w:val="page"/>
        <w:widowControl/>
        <w:rPr>
          <w:position w:val="0"/>
          <w:rtl/>
        </w:rPr>
      </w:pPr>
    </w:p>
    <w:p w14:paraId="6B027E32" w14:textId="77777777" w:rsidR="00785F10" w:rsidRDefault="00785F10">
      <w:pPr>
        <w:pStyle w:val="page"/>
        <w:widowControl/>
        <w:rPr>
          <w:position w:val="0"/>
          <w:rtl/>
        </w:rPr>
      </w:pPr>
    </w:p>
    <w:p w14:paraId="59B04138" w14:textId="77777777" w:rsidR="00785F10" w:rsidRDefault="00785F10">
      <w:pPr>
        <w:pStyle w:val="page"/>
        <w:widowControl/>
        <w:rPr>
          <w:position w:val="0"/>
          <w:rtl/>
        </w:rPr>
      </w:pPr>
    </w:p>
    <w:p w14:paraId="59C2E153" w14:textId="77777777" w:rsidR="00785F10" w:rsidRDefault="00785F10">
      <w:pPr>
        <w:pStyle w:val="page"/>
        <w:widowControl/>
        <w:rPr>
          <w:position w:val="0"/>
          <w:rtl/>
        </w:rPr>
      </w:pPr>
    </w:p>
    <w:p w14:paraId="244B2125" w14:textId="77777777" w:rsidR="00785F10" w:rsidRDefault="00785F10">
      <w:pPr>
        <w:pStyle w:val="page"/>
        <w:widowControl/>
        <w:rPr>
          <w:position w:val="0"/>
          <w:rtl/>
        </w:rPr>
      </w:pPr>
    </w:p>
    <w:p w14:paraId="714342CF" w14:textId="77777777" w:rsidR="00785F10" w:rsidRDefault="00785F10">
      <w:pPr>
        <w:pStyle w:val="page"/>
        <w:widowControl/>
        <w:rPr>
          <w:position w:val="0"/>
          <w:rtl/>
        </w:rPr>
      </w:pPr>
    </w:p>
    <w:p w14:paraId="3C66EC25" w14:textId="77777777" w:rsidR="00785F10" w:rsidRDefault="00785F10">
      <w:pPr>
        <w:pStyle w:val="page"/>
        <w:widowControl/>
        <w:rPr>
          <w:position w:val="0"/>
          <w:rtl/>
        </w:rPr>
      </w:pPr>
    </w:p>
    <w:p w14:paraId="537E257A" w14:textId="77777777" w:rsidR="00785F10" w:rsidRDefault="00785F10">
      <w:pPr>
        <w:pStyle w:val="page"/>
        <w:widowControl/>
        <w:rPr>
          <w:position w:val="0"/>
          <w:rtl/>
        </w:rPr>
      </w:pPr>
    </w:p>
    <w:p w14:paraId="29709196" w14:textId="77777777" w:rsidR="00785F10" w:rsidRDefault="00785F10">
      <w:pPr>
        <w:pStyle w:val="page"/>
        <w:widowControl/>
        <w:rPr>
          <w:position w:val="0"/>
          <w:rtl/>
        </w:rPr>
      </w:pPr>
    </w:p>
    <w:p w14:paraId="5E8E0048" w14:textId="77777777" w:rsidR="00785F10" w:rsidRDefault="00785F10">
      <w:pPr>
        <w:pStyle w:val="page"/>
        <w:widowControl/>
        <w:rPr>
          <w:position w:val="0"/>
          <w:rtl/>
        </w:rPr>
      </w:pPr>
    </w:p>
    <w:p w14:paraId="08ADAD5D" w14:textId="77777777" w:rsidR="00785F10" w:rsidRDefault="00785F10">
      <w:pPr>
        <w:pStyle w:val="page"/>
        <w:widowControl/>
        <w:rPr>
          <w:position w:val="0"/>
          <w:rtl/>
        </w:rPr>
      </w:pPr>
    </w:p>
    <w:p w14:paraId="09E08F25" w14:textId="77777777" w:rsidR="00785F10" w:rsidRDefault="00785F10">
      <w:pPr>
        <w:pStyle w:val="page"/>
        <w:widowControl/>
        <w:rPr>
          <w:position w:val="0"/>
          <w:rtl/>
        </w:rPr>
      </w:pPr>
    </w:p>
    <w:p w14:paraId="06E0476D" w14:textId="77777777" w:rsidR="00785F10" w:rsidRDefault="00785F10">
      <w:pPr>
        <w:pStyle w:val="page"/>
        <w:widowControl/>
        <w:rPr>
          <w:position w:val="0"/>
          <w:rtl/>
        </w:rPr>
      </w:pPr>
    </w:p>
    <w:p w14:paraId="6520D0ED" w14:textId="77777777" w:rsidR="00785F10" w:rsidRDefault="00785F10">
      <w:pPr>
        <w:pStyle w:val="page"/>
        <w:widowControl/>
        <w:rPr>
          <w:position w:val="0"/>
          <w:rtl/>
        </w:rPr>
      </w:pPr>
    </w:p>
    <w:p w14:paraId="36FBF402" w14:textId="77777777" w:rsidR="00785F10" w:rsidRDefault="00785F10">
      <w:pPr>
        <w:rPr>
          <w:rtl/>
        </w:rPr>
      </w:pPr>
      <w:bookmarkStart w:id="3" w:name="LawPartEnd"/>
    </w:p>
    <w:bookmarkEnd w:id="3"/>
    <w:p w14:paraId="7ACCB761" w14:textId="77777777" w:rsidR="00785F10" w:rsidRDefault="00785F10"/>
    <w:sectPr w:rsidR="00785F1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D35AF" w14:textId="77777777" w:rsidR="00785F10" w:rsidRDefault="00785F10">
      <w:r>
        <w:separator/>
      </w:r>
    </w:p>
  </w:endnote>
  <w:endnote w:type="continuationSeparator" w:id="0">
    <w:p w14:paraId="0962CD56" w14:textId="77777777" w:rsidR="00785F10" w:rsidRDefault="0078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3A2F" w14:textId="77777777" w:rsidR="00785F10" w:rsidRDefault="00785F10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2</w:t>
    </w:r>
    <w:r>
      <w:rPr>
        <w:rFonts w:hAnsi="FrankRuehl" w:cs="FrankRuehl"/>
        <w:rtl/>
      </w:rPr>
      <w:fldChar w:fldCharType="end"/>
    </w:r>
  </w:p>
  <w:p w14:paraId="3173D4E6" w14:textId="77777777" w:rsidR="00785F10" w:rsidRDefault="00785F1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3BB3B65" w14:textId="77777777" w:rsidR="00785F10" w:rsidRDefault="00785F10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G:\Nevo\Laws\Laws\309_008.doc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FA21E" w14:textId="77777777" w:rsidR="00785F10" w:rsidRDefault="00785F10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650393">
      <w:rPr>
        <w:rFonts w:hAnsi="FrankRuehl" w:cs="FrankRuehl"/>
        <w:noProof/>
        <w:rtl/>
      </w:rPr>
      <w:t>3</w:t>
    </w:r>
    <w:r>
      <w:rPr>
        <w:rFonts w:hAnsi="FrankRuehl" w:cs="FrankRuehl"/>
        <w:rtl/>
      </w:rPr>
      <w:fldChar w:fldCharType="end"/>
    </w:r>
  </w:p>
  <w:p w14:paraId="295B1837" w14:textId="77777777" w:rsidR="00785F10" w:rsidRDefault="00785F1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6BCC79E" w14:textId="77777777" w:rsidR="00785F10" w:rsidRDefault="00785F10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G:\Nevo\Laws\Laws\309_008.doc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B7B65" w14:textId="77777777" w:rsidR="00785F10" w:rsidRDefault="00785F10">
      <w:r>
        <w:separator/>
      </w:r>
    </w:p>
  </w:footnote>
  <w:footnote w:type="continuationSeparator" w:id="0">
    <w:p w14:paraId="503F279A" w14:textId="77777777" w:rsidR="00785F10" w:rsidRDefault="00785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EE56" w14:textId="77777777" w:rsidR="00785F10" w:rsidRDefault="00785F10">
    <w:pPr>
      <w:pStyle w:val="a3"/>
      <w:spacing w:line="220" w:lineRule="exact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סחף הקרקע</w:t>
    </w:r>
  </w:p>
  <w:p w14:paraId="78171A94" w14:textId="77777777" w:rsidR="00785F10" w:rsidRDefault="00785F10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638898" w14:textId="77777777" w:rsidR="00785F10" w:rsidRDefault="00785F10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1094" w14:textId="77777777" w:rsidR="00785F10" w:rsidRDefault="00785F10">
    <w:pPr>
      <w:pStyle w:val="a3"/>
      <w:spacing w:line="220" w:lineRule="exact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סחף הקרקע</w:t>
    </w:r>
  </w:p>
  <w:p w14:paraId="5CC5C612" w14:textId="77777777" w:rsidR="00785F10" w:rsidRDefault="00785F10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4C853F" w14:textId="77777777" w:rsidR="00785F10" w:rsidRDefault="00785F10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0393"/>
    <w:rsid w:val="00650393"/>
    <w:rsid w:val="00785F10"/>
    <w:rsid w:val="008E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ACFD31"/>
  <w15:chartTrackingRefBased/>
  <w15:docId w15:val="{F3D702DB-DCB5-4D42-A107-A8D217AB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309</vt:lpstr>
    </vt:vector>
  </TitlesOfParts>
  <Company> </Company>
  <LinksUpToDate>false</LinksUpToDate>
  <CharactersWithSpaces>2081</CharactersWithSpaces>
  <SharedDoc>false</SharedDoc>
  <HLinks>
    <vt:vector size="18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309</dc:title>
  <dc:subject/>
  <dc:creator> 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0309</vt:lpwstr>
  </property>
  <property fmtid="{D5CDD505-2E9C-101B-9397-08002B2CF9AE}" pid="3" name="CHNAME">
    <vt:lpwstr>ניקוז והגנה מפני שטפונות</vt:lpwstr>
  </property>
  <property fmtid="{D5CDD505-2E9C-101B-9397-08002B2CF9AE}" pid="4" name="LAWNAME">
    <vt:lpwstr>פקודת סחף הקרקע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רשויות מקומיות</vt:lpwstr>
  </property>
  <property fmtid="{D5CDD505-2E9C-101B-9397-08002B2CF9AE}" pid="9" name="NOSE31">
    <vt:lpwstr>ניקוז והגנה מפני שיטפונות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