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C07F2" w14:textId="77777777" w:rsidR="00742D9A" w:rsidRDefault="00742D9A">
      <w:pPr>
        <w:pStyle w:val="big-header"/>
        <w:ind w:left="0" w:right="1134"/>
        <w:rPr>
          <w:rFonts w:cs="FrankRuehl" w:hint="cs"/>
          <w:sz w:val="32"/>
          <w:rtl/>
        </w:rPr>
      </w:pPr>
      <w:r>
        <w:rPr>
          <w:rFonts w:cs="FrankRuehl"/>
          <w:sz w:val="32"/>
          <w:rtl/>
        </w:rPr>
        <w:t>פקודת שטח השיפוט והסמכויות</w:t>
      </w:r>
    </w:p>
    <w:p w14:paraId="13699413" w14:textId="77777777" w:rsidR="005E7F85" w:rsidRDefault="005E7F85" w:rsidP="005E7F85">
      <w:pPr>
        <w:spacing w:line="320" w:lineRule="auto"/>
        <w:jc w:val="left"/>
        <w:rPr>
          <w:rFonts w:hint="cs"/>
          <w:rtl/>
        </w:rPr>
      </w:pPr>
    </w:p>
    <w:p w14:paraId="5462697A" w14:textId="77777777" w:rsidR="00AE0866" w:rsidRDefault="00AE0866" w:rsidP="005E7F85">
      <w:pPr>
        <w:spacing w:line="320" w:lineRule="auto"/>
        <w:jc w:val="left"/>
        <w:rPr>
          <w:rFonts w:hint="cs"/>
          <w:rtl/>
        </w:rPr>
      </w:pPr>
    </w:p>
    <w:p w14:paraId="5E755F96" w14:textId="77777777" w:rsidR="005E7F85" w:rsidRDefault="005E7F85" w:rsidP="005E7F85">
      <w:pPr>
        <w:spacing w:line="320" w:lineRule="auto"/>
        <w:jc w:val="left"/>
        <w:rPr>
          <w:rFonts w:cs="FrankRuehl"/>
          <w:szCs w:val="26"/>
          <w:rtl/>
        </w:rPr>
      </w:pPr>
      <w:r w:rsidRPr="005E7F85">
        <w:rPr>
          <w:rFonts w:cs="Miriam"/>
          <w:szCs w:val="22"/>
          <w:rtl/>
        </w:rPr>
        <w:t>בטחון</w:t>
      </w:r>
      <w:r w:rsidRPr="005E7F85">
        <w:rPr>
          <w:rFonts w:cs="FrankRuehl"/>
          <w:szCs w:val="26"/>
          <w:rtl/>
        </w:rPr>
        <w:t xml:space="preserve"> – שטח שיפוט וסמכויות</w:t>
      </w:r>
    </w:p>
    <w:p w14:paraId="57E0D768" w14:textId="77777777" w:rsidR="009D5566" w:rsidRPr="005E7F85" w:rsidRDefault="005E7F85" w:rsidP="005E7F85">
      <w:pPr>
        <w:spacing w:line="320" w:lineRule="auto"/>
        <w:jc w:val="left"/>
        <w:rPr>
          <w:rFonts w:cs="Miriam"/>
          <w:szCs w:val="22"/>
          <w:rtl/>
        </w:rPr>
      </w:pPr>
      <w:r w:rsidRPr="005E7F85">
        <w:rPr>
          <w:rFonts w:cs="Miriam"/>
          <w:szCs w:val="22"/>
          <w:rtl/>
        </w:rPr>
        <w:t xml:space="preserve">דיני חוקה </w:t>
      </w:r>
      <w:r w:rsidRPr="005E7F85">
        <w:rPr>
          <w:rFonts w:cs="FrankRuehl"/>
          <w:szCs w:val="26"/>
          <w:rtl/>
        </w:rPr>
        <w:t xml:space="preserve"> – שטח שיפוט</w:t>
      </w:r>
    </w:p>
    <w:p w14:paraId="67B4896B" w14:textId="77777777" w:rsidR="00742D9A" w:rsidRDefault="00742D9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42D9A" w14:paraId="05FADFB4" w14:textId="77777777">
        <w:tblPrEx>
          <w:tblCellMar>
            <w:top w:w="0" w:type="dxa"/>
            <w:bottom w:w="0" w:type="dxa"/>
          </w:tblCellMar>
        </w:tblPrEx>
        <w:tc>
          <w:tcPr>
            <w:tcW w:w="850" w:type="dxa"/>
          </w:tcPr>
          <w:p w14:paraId="1408C981" w14:textId="77777777" w:rsidR="00742D9A" w:rsidRDefault="00742D9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927D4">
              <w:rPr>
                <w:noProof/>
                <w:sz w:val="24"/>
                <w:rtl/>
              </w:rPr>
              <w:t>2</w:t>
            </w:r>
            <w:r>
              <w:rPr>
                <w:sz w:val="24"/>
                <w:rtl/>
              </w:rPr>
              <w:fldChar w:fldCharType="end"/>
            </w:r>
          </w:p>
        </w:tc>
        <w:tc>
          <w:tcPr>
            <w:tcW w:w="567" w:type="dxa"/>
          </w:tcPr>
          <w:p w14:paraId="30272877" w14:textId="77777777" w:rsidR="00742D9A" w:rsidRDefault="00742D9A">
            <w:pPr>
              <w:spacing w:line="240" w:lineRule="auto"/>
              <w:rPr>
                <w:sz w:val="24"/>
              </w:rPr>
            </w:pPr>
            <w:hyperlink w:anchor="Seif0" w:tooltip="שטח תחולת החוק" w:history="1">
              <w:r>
                <w:rPr>
                  <w:rStyle w:val="Hyperlink"/>
                </w:rPr>
                <w:t>Go</w:t>
              </w:r>
            </w:hyperlink>
          </w:p>
        </w:tc>
        <w:tc>
          <w:tcPr>
            <w:tcW w:w="5669" w:type="dxa"/>
          </w:tcPr>
          <w:p w14:paraId="69482576" w14:textId="77777777" w:rsidR="00742D9A" w:rsidRDefault="00742D9A">
            <w:pPr>
              <w:spacing w:line="240" w:lineRule="auto"/>
              <w:rPr>
                <w:sz w:val="24"/>
                <w:rtl/>
              </w:rPr>
            </w:pPr>
            <w:r>
              <w:rPr>
                <w:sz w:val="24"/>
                <w:rtl/>
              </w:rPr>
              <w:t>שטח תחולת החוק</w:t>
            </w:r>
          </w:p>
        </w:tc>
        <w:tc>
          <w:tcPr>
            <w:tcW w:w="1247" w:type="dxa"/>
          </w:tcPr>
          <w:p w14:paraId="0FD1FD9B" w14:textId="77777777" w:rsidR="00742D9A" w:rsidRDefault="00742D9A">
            <w:pPr>
              <w:spacing w:line="240" w:lineRule="auto"/>
              <w:rPr>
                <w:sz w:val="24"/>
              </w:rPr>
            </w:pPr>
            <w:r>
              <w:rPr>
                <w:sz w:val="24"/>
                <w:rtl/>
              </w:rPr>
              <w:t xml:space="preserve">סעיף 1 </w:t>
            </w:r>
          </w:p>
        </w:tc>
      </w:tr>
      <w:tr w:rsidR="00742D9A" w14:paraId="497782F4" w14:textId="77777777">
        <w:tblPrEx>
          <w:tblCellMar>
            <w:top w:w="0" w:type="dxa"/>
            <w:bottom w:w="0" w:type="dxa"/>
          </w:tblCellMar>
        </w:tblPrEx>
        <w:tc>
          <w:tcPr>
            <w:tcW w:w="850" w:type="dxa"/>
          </w:tcPr>
          <w:p w14:paraId="0464BF4E" w14:textId="77777777" w:rsidR="00742D9A" w:rsidRDefault="00742D9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927D4">
              <w:rPr>
                <w:noProof/>
                <w:sz w:val="24"/>
                <w:rtl/>
              </w:rPr>
              <w:t>2</w:t>
            </w:r>
            <w:r>
              <w:rPr>
                <w:sz w:val="24"/>
                <w:rtl/>
              </w:rPr>
              <w:fldChar w:fldCharType="end"/>
            </w:r>
          </w:p>
        </w:tc>
        <w:tc>
          <w:tcPr>
            <w:tcW w:w="567" w:type="dxa"/>
          </w:tcPr>
          <w:p w14:paraId="280BCEAE" w14:textId="77777777" w:rsidR="00742D9A" w:rsidRDefault="00742D9A">
            <w:pPr>
              <w:spacing w:line="240" w:lineRule="auto"/>
              <w:rPr>
                <w:sz w:val="24"/>
              </w:rPr>
            </w:pPr>
            <w:hyperlink w:anchor="Seif1" w:tooltip="שטח הסמכויות" w:history="1">
              <w:r>
                <w:rPr>
                  <w:rStyle w:val="Hyperlink"/>
                </w:rPr>
                <w:t>Go</w:t>
              </w:r>
            </w:hyperlink>
          </w:p>
        </w:tc>
        <w:tc>
          <w:tcPr>
            <w:tcW w:w="5669" w:type="dxa"/>
          </w:tcPr>
          <w:p w14:paraId="6804BDA7" w14:textId="77777777" w:rsidR="00742D9A" w:rsidRDefault="00742D9A">
            <w:pPr>
              <w:spacing w:line="240" w:lineRule="auto"/>
              <w:rPr>
                <w:sz w:val="24"/>
                <w:rtl/>
              </w:rPr>
            </w:pPr>
            <w:r>
              <w:rPr>
                <w:sz w:val="24"/>
                <w:rtl/>
              </w:rPr>
              <w:t>שטח הסמכויות</w:t>
            </w:r>
          </w:p>
        </w:tc>
        <w:tc>
          <w:tcPr>
            <w:tcW w:w="1247" w:type="dxa"/>
          </w:tcPr>
          <w:p w14:paraId="18ECA4B5" w14:textId="77777777" w:rsidR="00742D9A" w:rsidRDefault="00742D9A">
            <w:pPr>
              <w:spacing w:line="240" w:lineRule="auto"/>
              <w:rPr>
                <w:sz w:val="24"/>
              </w:rPr>
            </w:pPr>
            <w:r>
              <w:rPr>
                <w:sz w:val="24"/>
                <w:rtl/>
              </w:rPr>
              <w:t xml:space="preserve">סעיף 2 </w:t>
            </w:r>
          </w:p>
        </w:tc>
      </w:tr>
      <w:tr w:rsidR="00742D9A" w14:paraId="599C8E02" w14:textId="77777777">
        <w:tblPrEx>
          <w:tblCellMar>
            <w:top w:w="0" w:type="dxa"/>
            <w:bottom w:w="0" w:type="dxa"/>
          </w:tblCellMar>
        </w:tblPrEx>
        <w:tc>
          <w:tcPr>
            <w:tcW w:w="850" w:type="dxa"/>
          </w:tcPr>
          <w:p w14:paraId="08E7A442" w14:textId="77777777" w:rsidR="00742D9A" w:rsidRDefault="00742D9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927D4">
              <w:rPr>
                <w:noProof/>
                <w:sz w:val="24"/>
                <w:rtl/>
              </w:rPr>
              <w:t>2</w:t>
            </w:r>
            <w:r>
              <w:rPr>
                <w:sz w:val="24"/>
                <w:rtl/>
              </w:rPr>
              <w:fldChar w:fldCharType="end"/>
            </w:r>
          </w:p>
        </w:tc>
        <w:tc>
          <w:tcPr>
            <w:tcW w:w="567" w:type="dxa"/>
          </w:tcPr>
          <w:p w14:paraId="399534BE" w14:textId="77777777" w:rsidR="00742D9A" w:rsidRDefault="00742D9A">
            <w:pPr>
              <w:spacing w:line="240" w:lineRule="auto"/>
              <w:rPr>
                <w:sz w:val="24"/>
              </w:rPr>
            </w:pPr>
            <w:hyperlink w:anchor="Seif2" w:tooltip="כלי שיט וכלי טיס" w:history="1">
              <w:r>
                <w:rPr>
                  <w:rStyle w:val="Hyperlink"/>
                </w:rPr>
                <w:t>Go</w:t>
              </w:r>
            </w:hyperlink>
          </w:p>
        </w:tc>
        <w:tc>
          <w:tcPr>
            <w:tcW w:w="5669" w:type="dxa"/>
          </w:tcPr>
          <w:p w14:paraId="2C1542C7" w14:textId="77777777" w:rsidR="00742D9A" w:rsidRDefault="00742D9A">
            <w:pPr>
              <w:spacing w:line="240" w:lineRule="auto"/>
              <w:rPr>
                <w:sz w:val="24"/>
                <w:rtl/>
              </w:rPr>
            </w:pPr>
            <w:r>
              <w:rPr>
                <w:sz w:val="24"/>
                <w:rtl/>
              </w:rPr>
              <w:t>כלי שיט וכלי טיס</w:t>
            </w:r>
          </w:p>
        </w:tc>
        <w:tc>
          <w:tcPr>
            <w:tcW w:w="1247" w:type="dxa"/>
          </w:tcPr>
          <w:p w14:paraId="46AF9965" w14:textId="77777777" w:rsidR="00742D9A" w:rsidRDefault="00742D9A">
            <w:pPr>
              <w:spacing w:line="240" w:lineRule="auto"/>
              <w:rPr>
                <w:sz w:val="24"/>
              </w:rPr>
            </w:pPr>
            <w:r>
              <w:rPr>
                <w:sz w:val="24"/>
                <w:rtl/>
              </w:rPr>
              <w:t xml:space="preserve">סעיף 2א </w:t>
            </w:r>
          </w:p>
        </w:tc>
      </w:tr>
      <w:tr w:rsidR="00742D9A" w14:paraId="75D8474E" w14:textId="77777777">
        <w:tblPrEx>
          <w:tblCellMar>
            <w:top w:w="0" w:type="dxa"/>
            <w:bottom w:w="0" w:type="dxa"/>
          </w:tblCellMar>
        </w:tblPrEx>
        <w:tc>
          <w:tcPr>
            <w:tcW w:w="850" w:type="dxa"/>
          </w:tcPr>
          <w:p w14:paraId="6600C628" w14:textId="77777777" w:rsidR="00742D9A" w:rsidRDefault="00742D9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927D4">
              <w:rPr>
                <w:noProof/>
                <w:sz w:val="24"/>
                <w:rtl/>
              </w:rPr>
              <w:t>2</w:t>
            </w:r>
            <w:r>
              <w:rPr>
                <w:sz w:val="24"/>
                <w:rtl/>
              </w:rPr>
              <w:fldChar w:fldCharType="end"/>
            </w:r>
          </w:p>
        </w:tc>
        <w:tc>
          <w:tcPr>
            <w:tcW w:w="567" w:type="dxa"/>
          </w:tcPr>
          <w:p w14:paraId="46BEC7CB" w14:textId="77777777" w:rsidR="00742D9A" w:rsidRDefault="00742D9A">
            <w:pPr>
              <w:spacing w:line="240" w:lineRule="auto"/>
              <w:rPr>
                <w:sz w:val="24"/>
              </w:rPr>
            </w:pPr>
            <w:hyperlink w:anchor="Seif3" w:tooltip="תחילת תוקף ואישור פעולות" w:history="1">
              <w:r>
                <w:rPr>
                  <w:rStyle w:val="Hyperlink"/>
                </w:rPr>
                <w:t>Go</w:t>
              </w:r>
            </w:hyperlink>
          </w:p>
        </w:tc>
        <w:tc>
          <w:tcPr>
            <w:tcW w:w="5669" w:type="dxa"/>
          </w:tcPr>
          <w:p w14:paraId="200399BB" w14:textId="77777777" w:rsidR="00742D9A" w:rsidRDefault="00742D9A">
            <w:pPr>
              <w:spacing w:line="240" w:lineRule="auto"/>
              <w:rPr>
                <w:sz w:val="24"/>
                <w:rtl/>
              </w:rPr>
            </w:pPr>
            <w:r>
              <w:rPr>
                <w:sz w:val="24"/>
                <w:rtl/>
              </w:rPr>
              <w:t>תחילת תוקף ואישור פעולות</w:t>
            </w:r>
          </w:p>
        </w:tc>
        <w:tc>
          <w:tcPr>
            <w:tcW w:w="1247" w:type="dxa"/>
          </w:tcPr>
          <w:p w14:paraId="452D4C63" w14:textId="77777777" w:rsidR="00742D9A" w:rsidRDefault="00742D9A">
            <w:pPr>
              <w:spacing w:line="240" w:lineRule="auto"/>
              <w:rPr>
                <w:sz w:val="24"/>
              </w:rPr>
            </w:pPr>
            <w:r>
              <w:rPr>
                <w:sz w:val="24"/>
                <w:rtl/>
              </w:rPr>
              <w:t xml:space="preserve">סעיף 3 </w:t>
            </w:r>
          </w:p>
        </w:tc>
      </w:tr>
      <w:tr w:rsidR="00742D9A" w14:paraId="30EA5CD0" w14:textId="77777777">
        <w:tblPrEx>
          <w:tblCellMar>
            <w:top w:w="0" w:type="dxa"/>
            <w:bottom w:w="0" w:type="dxa"/>
          </w:tblCellMar>
        </w:tblPrEx>
        <w:tc>
          <w:tcPr>
            <w:tcW w:w="850" w:type="dxa"/>
          </w:tcPr>
          <w:p w14:paraId="05347745" w14:textId="77777777" w:rsidR="00742D9A" w:rsidRDefault="00742D9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927D4">
              <w:rPr>
                <w:noProof/>
                <w:sz w:val="24"/>
                <w:rtl/>
              </w:rPr>
              <w:t>2</w:t>
            </w:r>
            <w:r>
              <w:rPr>
                <w:sz w:val="24"/>
                <w:rtl/>
              </w:rPr>
              <w:fldChar w:fldCharType="end"/>
            </w:r>
          </w:p>
        </w:tc>
        <w:tc>
          <w:tcPr>
            <w:tcW w:w="567" w:type="dxa"/>
          </w:tcPr>
          <w:p w14:paraId="48D05653" w14:textId="77777777" w:rsidR="00742D9A" w:rsidRDefault="00742D9A">
            <w:pPr>
              <w:spacing w:line="240" w:lineRule="auto"/>
              <w:rPr>
                <w:sz w:val="24"/>
              </w:rPr>
            </w:pPr>
            <w:hyperlink w:anchor="Seif4" w:tooltip="שם" w:history="1">
              <w:r>
                <w:rPr>
                  <w:rStyle w:val="Hyperlink"/>
                </w:rPr>
                <w:t>Go</w:t>
              </w:r>
            </w:hyperlink>
          </w:p>
        </w:tc>
        <w:tc>
          <w:tcPr>
            <w:tcW w:w="5669" w:type="dxa"/>
          </w:tcPr>
          <w:p w14:paraId="7B8C9A32" w14:textId="77777777" w:rsidR="00742D9A" w:rsidRDefault="00742D9A">
            <w:pPr>
              <w:spacing w:line="240" w:lineRule="auto"/>
              <w:rPr>
                <w:sz w:val="24"/>
                <w:rtl/>
              </w:rPr>
            </w:pPr>
            <w:r>
              <w:rPr>
                <w:sz w:val="24"/>
                <w:rtl/>
              </w:rPr>
              <w:t>שם</w:t>
            </w:r>
          </w:p>
        </w:tc>
        <w:tc>
          <w:tcPr>
            <w:tcW w:w="1247" w:type="dxa"/>
          </w:tcPr>
          <w:p w14:paraId="5C046D85" w14:textId="77777777" w:rsidR="00742D9A" w:rsidRDefault="00742D9A">
            <w:pPr>
              <w:spacing w:line="240" w:lineRule="auto"/>
              <w:rPr>
                <w:sz w:val="24"/>
              </w:rPr>
            </w:pPr>
            <w:r>
              <w:rPr>
                <w:sz w:val="24"/>
                <w:rtl/>
              </w:rPr>
              <w:t xml:space="preserve">סעיף 4 </w:t>
            </w:r>
          </w:p>
        </w:tc>
      </w:tr>
    </w:tbl>
    <w:p w14:paraId="29F754B5" w14:textId="77777777" w:rsidR="00742D9A" w:rsidRDefault="00742D9A">
      <w:pPr>
        <w:pStyle w:val="big-header"/>
        <w:ind w:left="0" w:right="1134"/>
        <w:rPr>
          <w:rFonts w:cs="FrankRuehl"/>
          <w:sz w:val="32"/>
          <w:rtl/>
        </w:rPr>
      </w:pPr>
    </w:p>
    <w:p w14:paraId="10795FA0" w14:textId="77777777" w:rsidR="00742D9A" w:rsidRDefault="00742D9A" w:rsidP="009D5566">
      <w:pPr>
        <w:pStyle w:val="big-header"/>
        <w:ind w:left="0" w:right="1134"/>
        <w:rPr>
          <w:rFonts w:cs="FrankRuehl"/>
          <w:sz w:val="32"/>
          <w:rtl/>
        </w:rPr>
      </w:pPr>
      <w:r>
        <w:rPr>
          <w:rtl/>
        </w:rPr>
        <w:br w:type="page"/>
      </w:r>
      <w:r>
        <w:rPr>
          <w:rFonts w:cs="FrankRuehl"/>
          <w:sz w:val="32"/>
          <w:rtl/>
        </w:rPr>
        <w:lastRenderedPageBreak/>
        <w:t>פק</w:t>
      </w:r>
      <w:r>
        <w:rPr>
          <w:rFonts w:cs="FrankRuehl" w:hint="cs"/>
          <w:sz w:val="32"/>
          <w:rtl/>
        </w:rPr>
        <w:t>ודת שטח השיפוט והסמכויות</w:t>
      </w:r>
      <w:r w:rsidR="005927D4">
        <w:rPr>
          <w:rStyle w:val="a6"/>
          <w:rFonts w:cs="FrankRuehl"/>
          <w:sz w:val="32"/>
          <w:rtl/>
        </w:rPr>
        <w:footnoteReference w:customMarkFollows="1" w:id="1"/>
        <w:t>*</w:t>
      </w:r>
    </w:p>
    <w:p w14:paraId="1B5635A0" w14:textId="77777777" w:rsidR="00742D9A" w:rsidRDefault="00742D9A">
      <w:pPr>
        <w:pStyle w:val="medium-header"/>
        <w:keepNext w:val="0"/>
        <w:keepLines w:val="0"/>
        <w:ind w:left="0" w:right="1134"/>
        <w:rPr>
          <w:rStyle w:val="default"/>
          <w:rFonts w:cs="FrankRuehl" w:hint="cs"/>
          <w:rtl/>
        </w:rPr>
      </w:pPr>
      <w:r>
        <w:rPr>
          <w:rFonts w:cs="FrankRuehl"/>
          <w:sz w:val="26"/>
          <w:rtl/>
        </w:rPr>
        <w:t>מס</w:t>
      </w:r>
      <w:r>
        <w:rPr>
          <w:rFonts w:cs="FrankRuehl" w:hint="cs"/>
          <w:sz w:val="26"/>
          <w:rtl/>
        </w:rPr>
        <w:t>' 29 לש' תש"ח</w:t>
      </w:r>
      <w:r w:rsidR="005927D4">
        <w:rPr>
          <w:rFonts w:cs="FrankRuehl" w:hint="cs"/>
          <w:sz w:val="26"/>
          <w:rtl/>
        </w:rPr>
        <w:t>-</w:t>
      </w:r>
      <w:r>
        <w:rPr>
          <w:rFonts w:cs="FrankRuehl"/>
          <w:sz w:val="26"/>
          <w:rtl/>
        </w:rPr>
        <w:t>1948</w:t>
      </w:r>
    </w:p>
    <w:p w14:paraId="5553ECF4" w14:textId="77777777" w:rsidR="00742D9A" w:rsidRDefault="00742D9A">
      <w:pPr>
        <w:pStyle w:val="P00"/>
        <w:spacing w:before="72"/>
        <w:ind w:left="0" w:right="1134"/>
        <w:rPr>
          <w:rStyle w:val="default"/>
          <w:rFonts w:cs="FrankRuehl"/>
          <w:rtl/>
        </w:rPr>
      </w:pPr>
      <w:r>
        <w:rPr>
          <w:rFonts w:cs="FrankRuehl"/>
          <w:sz w:val="26"/>
          <w:rtl/>
        </w:rPr>
        <w:tab/>
      </w:r>
      <w:r>
        <w:rPr>
          <w:rStyle w:val="default"/>
          <w:rFonts w:cs="FrankRuehl"/>
          <w:rtl/>
        </w:rPr>
        <w:t>מו</w:t>
      </w:r>
      <w:r>
        <w:rPr>
          <w:rStyle w:val="default"/>
          <w:rFonts w:cs="FrankRuehl" w:hint="cs"/>
          <w:rtl/>
        </w:rPr>
        <w:t>עצת המדינה הזמנית מחוקקת בזה לאמור:</w:t>
      </w:r>
    </w:p>
    <w:p w14:paraId="0FB61E77" w14:textId="77777777" w:rsidR="00742D9A" w:rsidRDefault="00742D9A">
      <w:pPr>
        <w:pStyle w:val="P00"/>
        <w:spacing w:before="72"/>
        <w:ind w:left="0" w:right="1134"/>
        <w:rPr>
          <w:rStyle w:val="default"/>
          <w:rFonts w:cs="FrankRuehl"/>
          <w:rtl/>
        </w:rPr>
      </w:pPr>
      <w:bookmarkStart w:id="0" w:name="Seif0"/>
      <w:bookmarkEnd w:id="0"/>
      <w:r>
        <w:rPr>
          <w:lang w:val="he-IL"/>
        </w:rPr>
        <w:pict w14:anchorId="3BC253F6">
          <v:rect id="_x0000_s1026" style="position:absolute;left:0;text-align:left;margin-left:464.5pt;margin-top:8.05pt;width:75.05pt;height:16pt;z-index:251655680" o:allowincell="f" filled="f" stroked="f" strokecolor="lime" strokeweight=".25pt">
            <v:textbox inset="0,0,0,0">
              <w:txbxContent>
                <w:p w14:paraId="1AD7EC2A" w14:textId="77777777" w:rsidR="00742D9A" w:rsidRDefault="00742D9A" w:rsidP="005927D4">
                  <w:pPr>
                    <w:spacing w:line="160" w:lineRule="exact"/>
                    <w:jc w:val="left"/>
                    <w:rPr>
                      <w:rFonts w:cs="Miriam"/>
                      <w:noProof/>
                      <w:sz w:val="18"/>
                      <w:szCs w:val="18"/>
                      <w:rtl/>
                    </w:rPr>
                  </w:pPr>
                  <w:r>
                    <w:rPr>
                      <w:rFonts w:cs="Miriam"/>
                      <w:sz w:val="18"/>
                      <w:szCs w:val="18"/>
                      <w:rtl/>
                    </w:rPr>
                    <w:t>שט</w:t>
                  </w:r>
                  <w:r>
                    <w:rPr>
                      <w:rFonts w:cs="Miriam" w:hint="cs"/>
                      <w:sz w:val="18"/>
                      <w:szCs w:val="18"/>
                      <w:rtl/>
                    </w:rPr>
                    <w:t>ח תחולת</w:t>
                  </w:r>
                  <w:r w:rsidR="005927D4">
                    <w:rPr>
                      <w:rFonts w:cs="Miriam" w:hint="cs"/>
                      <w:sz w:val="18"/>
                      <w:szCs w:val="18"/>
                      <w:rtl/>
                    </w:rPr>
                    <w:t xml:space="preserve"> </w:t>
                  </w:r>
                  <w:r>
                    <w:rPr>
                      <w:rFonts w:cs="Miriam"/>
                      <w:sz w:val="18"/>
                      <w:szCs w:val="18"/>
                      <w:rtl/>
                    </w:rPr>
                    <w:t>הח</w:t>
                  </w:r>
                  <w:r>
                    <w:rPr>
                      <w:rFonts w:cs="Miriam" w:hint="cs"/>
                      <w:sz w:val="18"/>
                      <w:szCs w:val="18"/>
                      <w:rtl/>
                    </w:rPr>
                    <w:t>וק</w:t>
                  </w:r>
                </w:p>
              </w:txbxContent>
            </v:textbox>
            <w10:anchorlock/>
          </v:rect>
        </w:pict>
      </w:r>
      <w:r>
        <w:rPr>
          <w:rStyle w:val="big-number"/>
          <w:rFonts w:cs="Miriam"/>
          <w:rtl/>
        </w:rPr>
        <w:t>1.</w:t>
      </w:r>
      <w:r>
        <w:rPr>
          <w:rStyle w:val="big-number"/>
          <w:rFonts w:cs="Miriam"/>
          <w:rtl/>
        </w:rPr>
        <w:tab/>
      </w:r>
      <w:r>
        <w:rPr>
          <w:rStyle w:val="default"/>
          <w:rFonts w:cs="FrankRuehl"/>
          <w:rtl/>
        </w:rPr>
        <w:t>כל</w:t>
      </w:r>
      <w:r>
        <w:rPr>
          <w:rStyle w:val="default"/>
          <w:rFonts w:cs="FrankRuehl" w:hint="cs"/>
          <w:rtl/>
        </w:rPr>
        <w:t xml:space="preserve"> חוק החל על מדינת ישראל כולה ייראה כחל על כל השטח הכולל גם את שטח מדינת ישראל וגם כל חלק מארץ-ישראל אשר שר הבטחון הגדיר אותו במנשר</w:t>
      </w:r>
      <w:r>
        <w:rPr>
          <w:rStyle w:val="default"/>
          <w:rFonts w:cs="FrankRuehl"/>
          <w:rtl/>
        </w:rPr>
        <w:t xml:space="preserve"> כ</w:t>
      </w:r>
      <w:r>
        <w:rPr>
          <w:rStyle w:val="default"/>
          <w:rFonts w:cs="FrankRuehl" w:hint="cs"/>
          <w:rtl/>
        </w:rPr>
        <w:t>מוחזק על ידי צבא-הגנה לישראל.</w:t>
      </w:r>
    </w:p>
    <w:p w14:paraId="58BB7C31" w14:textId="77777777" w:rsidR="00742D9A" w:rsidRDefault="00742D9A">
      <w:pPr>
        <w:pStyle w:val="P00"/>
        <w:spacing w:before="72"/>
        <w:ind w:left="0" w:right="1134"/>
        <w:rPr>
          <w:rStyle w:val="default"/>
          <w:rFonts w:cs="FrankRuehl"/>
          <w:rtl/>
        </w:rPr>
      </w:pPr>
      <w:bookmarkStart w:id="1" w:name="Seif1"/>
      <w:bookmarkEnd w:id="1"/>
      <w:r>
        <w:rPr>
          <w:lang w:val="he-IL"/>
        </w:rPr>
        <w:pict w14:anchorId="291BE387">
          <v:rect id="_x0000_s1027" style="position:absolute;left:0;text-align:left;margin-left:464.5pt;margin-top:8.05pt;width:75.05pt;height:12.1pt;z-index:251656704" o:allowincell="f" filled="f" stroked="f" strokecolor="lime" strokeweight=".25pt">
            <v:textbox inset="0,0,0,0">
              <w:txbxContent>
                <w:p w14:paraId="577B6272" w14:textId="77777777" w:rsidR="00742D9A" w:rsidRDefault="00742D9A">
                  <w:pPr>
                    <w:spacing w:line="160" w:lineRule="exact"/>
                    <w:jc w:val="left"/>
                    <w:rPr>
                      <w:rFonts w:cs="Miriam"/>
                      <w:noProof/>
                      <w:sz w:val="18"/>
                      <w:szCs w:val="18"/>
                      <w:rtl/>
                    </w:rPr>
                  </w:pPr>
                  <w:r>
                    <w:rPr>
                      <w:rFonts w:cs="Miriam"/>
                      <w:sz w:val="18"/>
                      <w:szCs w:val="18"/>
                      <w:rtl/>
                    </w:rPr>
                    <w:t>שט</w:t>
                  </w:r>
                  <w:r>
                    <w:rPr>
                      <w:rFonts w:cs="Miriam" w:hint="cs"/>
                      <w:sz w:val="18"/>
                      <w:szCs w:val="18"/>
                      <w:rtl/>
                    </w:rPr>
                    <w:t>ח הסמכויות</w:t>
                  </w:r>
                </w:p>
              </w:txbxContent>
            </v:textbox>
            <w10:anchorlock/>
          </v:rect>
        </w:pict>
      </w:r>
      <w:r>
        <w:rPr>
          <w:rStyle w:val="big-number"/>
          <w:rFonts w:cs="Miriam"/>
          <w:rtl/>
        </w:rPr>
        <w:t>2.</w:t>
      </w:r>
      <w:r>
        <w:rPr>
          <w:rStyle w:val="big-number"/>
          <w:rFonts w:cs="Miriam"/>
          <w:rtl/>
        </w:rPr>
        <w:tab/>
      </w:r>
      <w:r>
        <w:rPr>
          <w:rStyle w:val="default"/>
          <w:rFonts w:cs="FrankRuehl"/>
          <w:rtl/>
        </w:rPr>
        <w:t>כל</w:t>
      </w:r>
      <w:r>
        <w:rPr>
          <w:rStyle w:val="default"/>
          <w:rFonts w:cs="FrankRuehl" w:hint="cs"/>
          <w:rtl/>
        </w:rPr>
        <w:t xml:space="preserve"> איש או חבר אנשים המוסמכים בתוקף חוק כאמור לכהן או לפעול במדינת ישראל כולה ייראו כמוסמכים לכהן או לפעול בכל השטח הכולל גם את שטח מדינת ישראל וגם כל חלק מארץ-ישראל אשר שר הבטחון הגדיר אותו במנשר כמוחזק על ידי צבא-הגנה ל</w:t>
      </w:r>
      <w:r>
        <w:rPr>
          <w:rStyle w:val="default"/>
          <w:rFonts w:cs="FrankRuehl"/>
          <w:rtl/>
        </w:rPr>
        <w:t>יש</w:t>
      </w:r>
      <w:r>
        <w:rPr>
          <w:rStyle w:val="default"/>
          <w:rFonts w:cs="FrankRuehl" w:hint="cs"/>
          <w:rtl/>
        </w:rPr>
        <w:t>ראל.</w:t>
      </w:r>
    </w:p>
    <w:p w14:paraId="2B985026" w14:textId="77777777" w:rsidR="00742D9A" w:rsidRDefault="00742D9A">
      <w:pPr>
        <w:pStyle w:val="P00"/>
        <w:spacing w:before="72"/>
        <w:ind w:left="0" w:right="1134"/>
        <w:rPr>
          <w:rStyle w:val="default"/>
          <w:rFonts w:cs="FrankRuehl" w:hint="cs"/>
          <w:rtl/>
        </w:rPr>
      </w:pPr>
      <w:bookmarkStart w:id="2" w:name="Seif2"/>
      <w:bookmarkEnd w:id="2"/>
      <w:r>
        <w:rPr>
          <w:lang w:val="he-IL"/>
        </w:rPr>
        <w:pict w14:anchorId="2DF47FBF">
          <v:rect id="_x0000_s1028" style="position:absolute;left:0;text-align:left;margin-left:464.5pt;margin-top:8.05pt;width:75.05pt;height:33.35pt;z-index:251657728" o:allowincell="f" filled="f" stroked="f" strokecolor="lime" strokeweight=".25pt">
            <v:textbox inset="0,0,0,0">
              <w:txbxContent>
                <w:p w14:paraId="4CAD08A5" w14:textId="77777777" w:rsidR="00742D9A" w:rsidRDefault="00742D9A" w:rsidP="005927D4">
                  <w:pPr>
                    <w:spacing w:line="160" w:lineRule="exact"/>
                    <w:jc w:val="left"/>
                    <w:rPr>
                      <w:rFonts w:cs="Miriam" w:hint="cs"/>
                      <w:sz w:val="18"/>
                      <w:szCs w:val="18"/>
                      <w:rtl/>
                    </w:rPr>
                  </w:pPr>
                  <w:r>
                    <w:rPr>
                      <w:rFonts w:cs="Miriam"/>
                      <w:sz w:val="18"/>
                      <w:szCs w:val="18"/>
                      <w:rtl/>
                    </w:rPr>
                    <w:t>כל</w:t>
                  </w:r>
                  <w:r>
                    <w:rPr>
                      <w:rFonts w:cs="Miriam" w:hint="cs"/>
                      <w:sz w:val="18"/>
                      <w:szCs w:val="18"/>
                      <w:rtl/>
                    </w:rPr>
                    <w:t>י שיט</w:t>
                  </w:r>
                  <w:r w:rsidR="005927D4">
                    <w:rPr>
                      <w:rFonts w:cs="Miriam" w:hint="cs"/>
                      <w:sz w:val="18"/>
                      <w:szCs w:val="18"/>
                      <w:rtl/>
                    </w:rPr>
                    <w:t xml:space="preserve"> </w:t>
                  </w:r>
                  <w:r>
                    <w:rPr>
                      <w:rFonts w:cs="Miriam"/>
                      <w:sz w:val="18"/>
                      <w:szCs w:val="18"/>
                      <w:rtl/>
                    </w:rPr>
                    <w:t>וכ</w:t>
                  </w:r>
                  <w:r>
                    <w:rPr>
                      <w:rFonts w:cs="Miriam" w:hint="cs"/>
                      <w:sz w:val="18"/>
                      <w:szCs w:val="18"/>
                      <w:rtl/>
                    </w:rPr>
                    <w:t>לי טיס</w:t>
                  </w:r>
                </w:p>
                <w:p w14:paraId="25318812" w14:textId="77777777" w:rsidR="005927D4" w:rsidRDefault="005927D4" w:rsidP="005927D4">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תשט"ז-1956</w:t>
                  </w:r>
                </w:p>
              </w:txbxContent>
            </v:textbox>
            <w10:anchorlock/>
          </v:rect>
        </w:pict>
      </w:r>
      <w:r>
        <w:rPr>
          <w:rStyle w:val="big-number"/>
          <w:rFonts w:cs="Miriam"/>
          <w:rtl/>
        </w:rPr>
        <w:t>2</w:t>
      </w:r>
      <w:r>
        <w:rPr>
          <w:rStyle w:val="default"/>
          <w:rFonts w:cs="FrankRuehl"/>
          <w:rtl/>
        </w:rPr>
        <w:t>א.</w:t>
      </w:r>
      <w:r>
        <w:rPr>
          <w:rStyle w:val="default"/>
          <w:rFonts w:cs="FrankRuehl"/>
          <w:rtl/>
        </w:rPr>
        <w:tab/>
        <w:t>כ</w:t>
      </w:r>
      <w:r>
        <w:rPr>
          <w:rStyle w:val="default"/>
          <w:rFonts w:cs="FrankRuehl" w:hint="cs"/>
          <w:rtl/>
        </w:rPr>
        <w:t>ל כלי שיט או כלי טיס, באשר הם שם, ה</w:t>
      </w:r>
      <w:r>
        <w:rPr>
          <w:rStyle w:val="default"/>
          <w:rFonts w:cs="FrankRuehl"/>
          <w:rtl/>
        </w:rPr>
        <w:t>ר</w:t>
      </w:r>
      <w:r>
        <w:rPr>
          <w:rStyle w:val="default"/>
          <w:rFonts w:cs="FrankRuehl" w:hint="cs"/>
          <w:rtl/>
        </w:rPr>
        <w:t>שומים בישראל, יראו אותם, לענין השיפוט של בתי המשפט, כאילו היו חלק משטח מדינת ישראל.</w:t>
      </w:r>
    </w:p>
    <w:p w14:paraId="0D478E4F" w14:textId="77777777" w:rsidR="001C0058" w:rsidRPr="005927D4" w:rsidRDefault="001C0058" w:rsidP="001C0058">
      <w:pPr>
        <w:pStyle w:val="P00"/>
        <w:spacing w:before="0"/>
        <w:ind w:left="0" w:right="1134"/>
        <w:rPr>
          <w:rFonts w:cs="FrankRuehl" w:hint="cs"/>
          <w:vanish/>
          <w:color w:val="FF0000"/>
          <w:szCs w:val="20"/>
          <w:shd w:val="clear" w:color="auto" w:fill="FFFF99"/>
          <w:rtl/>
        </w:rPr>
      </w:pPr>
      <w:bookmarkStart w:id="3" w:name="Rov7"/>
      <w:r w:rsidRPr="005927D4">
        <w:rPr>
          <w:rFonts w:cs="FrankRuehl" w:hint="cs"/>
          <w:vanish/>
          <w:color w:val="FF0000"/>
          <w:szCs w:val="20"/>
          <w:shd w:val="clear" w:color="auto" w:fill="FFFF99"/>
          <w:rtl/>
        </w:rPr>
        <w:t>מיום 23.2.1956</w:t>
      </w:r>
    </w:p>
    <w:p w14:paraId="0D2B31A3" w14:textId="77777777" w:rsidR="001C0058" w:rsidRPr="005927D4" w:rsidRDefault="001C0058" w:rsidP="001C0058">
      <w:pPr>
        <w:pStyle w:val="P00"/>
        <w:spacing w:before="0"/>
        <w:ind w:left="0" w:right="1134"/>
        <w:rPr>
          <w:rStyle w:val="default"/>
          <w:rFonts w:cs="FrankRuehl" w:hint="cs"/>
          <w:b/>
          <w:bCs/>
          <w:vanish/>
          <w:sz w:val="20"/>
          <w:szCs w:val="20"/>
          <w:shd w:val="clear" w:color="auto" w:fill="FFFF99"/>
          <w:rtl/>
        </w:rPr>
      </w:pPr>
      <w:r w:rsidRPr="005927D4">
        <w:rPr>
          <w:rFonts w:cs="FrankRuehl" w:hint="cs"/>
          <w:b/>
          <w:bCs/>
          <w:vanish/>
          <w:szCs w:val="20"/>
          <w:shd w:val="clear" w:color="auto" w:fill="FFFF99"/>
          <w:rtl/>
        </w:rPr>
        <w:t>תיקון מס' 1</w:t>
      </w:r>
    </w:p>
    <w:p w14:paraId="4D1BF1E3" w14:textId="77777777" w:rsidR="001C0058" w:rsidRPr="005927D4" w:rsidRDefault="001C0058" w:rsidP="001C0058">
      <w:pPr>
        <w:pStyle w:val="P00"/>
        <w:spacing w:before="0"/>
        <w:ind w:left="0" w:right="1134"/>
        <w:rPr>
          <w:rFonts w:cs="FrankRuehl" w:hint="cs"/>
          <w:vanish/>
          <w:szCs w:val="20"/>
          <w:shd w:val="clear" w:color="auto" w:fill="FFFF99"/>
          <w:rtl/>
        </w:rPr>
      </w:pPr>
      <w:hyperlink r:id="rId6" w:history="1">
        <w:r w:rsidRPr="005927D4">
          <w:rPr>
            <w:rStyle w:val="Hyperlink"/>
            <w:rFonts w:cs="FrankRuehl" w:hint="cs"/>
            <w:vanish/>
            <w:szCs w:val="20"/>
            <w:shd w:val="clear" w:color="auto" w:fill="FFFF99"/>
            <w:rtl/>
          </w:rPr>
          <w:t>ס"ח תשט"ז מס' 198</w:t>
        </w:r>
      </w:hyperlink>
      <w:r w:rsidRPr="005927D4">
        <w:rPr>
          <w:rFonts w:cs="FrankRuehl" w:hint="cs"/>
          <w:vanish/>
          <w:szCs w:val="20"/>
          <w:shd w:val="clear" w:color="auto" w:fill="FFFF99"/>
          <w:rtl/>
        </w:rPr>
        <w:t xml:space="preserve"> מיום 23.2.1956 עמ' 34 (</w:t>
      </w:r>
      <w:hyperlink r:id="rId7" w:history="1">
        <w:r w:rsidRPr="005927D4">
          <w:rPr>
            <w:rStyle w:val="Hyperlink"/>
            <w:rFonts w:cs="FrankRuehl" w:hint="cs"/>
            <w:vanish/>
            <w:szCs w:val="20"/>
            <w:shd w:val="clear" w:color="auto" w:fill="FFFF99"/>
            <w:rtl/>
          </w:rPr>
          <w:t>ה"ח 253</w:t>
        </w:r>
      </w:hyperlink>
      <w:r w:rsidRPr="005927D4">
        <w:rPr>
          <w:rFonts w:cs="FrankRuehl" w:hint="cs"/>
          <w:vanish/>
          <w:szCs w:val="20"/>
          <w:shd w:val="clear" w:color="auto" w:fill="FFFF99"/>
          <w:rtl/>
        </w:rPr>
        <w:t>)</w:t>
      </w:r>
    </w:p>
    <w:p w14:paraId="441B69BB" w14:textId="77777777" w:rsidR="001C0058" w:rsidRPr="0036472F" w:rsidRDefault="00466AC5" w:rsidP="0036472F">
      <w:pPr>
        <w:pStyle w:val="P00"/>
        <w:spacing w:before="0"/>
        <w:ind w:left="0" w:right="1134"/>
        <w:rPr>
          <w:rStyle w:val="default"/>
          <w:rFonts w:cs="FrankRuehl" w:hint="cs"/>
          <w:sz w:val="2"/>
          <w:szCs w:val="2"/>
          <w:rtl/>
        </w:rPr>
      </w:pPr>
      <w:r w:rsidRPr="005927D4">
        <w:rPr>
          <w:rFonts w:cs="FrankRuehl" w:hint="cs"/>
          <w:b/>
          <w:bCs/>
          <w:vanish/>
          <w:szCs w:val="20"/>
          <w:shd w:val="clear" w:color="auto" w:fill="FFFF99"/>
          <w:rtl/>
        </w:rPr>
        <w:t>הוספת סעיף 2א</w:t>
      </w:r>
      <w:bookmarkEnd w:id="3"/>
    </w:p>
    <w:p w14:paraId="6AB403B9" w14:textId="77777777" w:rsidR="00742D9A" w:rsidRDefault="00742D9A">
      <w:pPr>
        <w:pStyle w:val="P00"/>
        <w:spacing w:before="72"/>
        <w:ind w:left="0" w:right="1134"/>
        <w:rPr>
          <w:rStyle w:val="default"/>
          <w:rFonts w:cs="FrankRuehl"/>
          <w:rtl/>
        </w:rPr>
      </w:pPr>
      <w:bookmarkStart w:id="4" w:name="Seif3"/>
      <w:bookmarkEnd w:id="4"/>
      <w:r>
        <w:rPr>
          <w:lang w:val="he-IL"/>
        </w:rPr>
        <w:pict w14:anchorId="17D583BA">
          <v:rect id="_x0000_s1029" style="position:absolute;left:0;text-align:left;margin-left:464.5pt;margin-top:8.05pt;width:75.05pt;height:22.05pt;z-index:251658752" o:allowincell="f" filled="f" stroked="f" strokecolor="lime" strokeweight=".25pt">
            <v:textbox inset="0,0,0,0">
              <w:txbxContent>
                <w:p w14:paraId="79653AF8" w14:textId="77777777" w:rsidR="00742D9A" w:rsidRDefault="00742D9A" w:rsidP="005927D4">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r w:rsidR="005927D4">
                    <w:rPr>
                      <w:rFonts w:cs="Miriam" w:hint="cs"/>
                      <w:sz w:val="18"/>
                      <w:szCs w:val="18"/>
                      <w:rtl/>
                    </w:rPr>
                    <w:t xml:space="preserve"> </w:t>
                  </w:r>
                  <w:r>
                    <w:rPr>
                      <w:rFonts w:cs="Miriam"/>
                      <w:sz w:val="18"/>
                      <w:szCs w:val="18"/>
                      <w:rtl/>
                    </w:rPr>
                    <w:t>וא</w:t>
                  </w:r>
                  <w:r>
                    <w:rPr>
                      <w:rFonts w:cs="Miriam" w:hint="cs"/>
                      <w:sz w:val="18"/>
                      <w:szCs w:val="18"/>
                      <w:rtl/>
                    </w:rPr>
                    <w:t>ישור פעולות</w:t>
                  </w:r>
                </w:p>
              </w:txbxContent>
            </v:textbox>
            <w10:anchorlock/>
          </v:rect>
        </w:pict>
      </w:r>
      <w:r>
        <w:rPr>
          <w:rStyle w:val="big-number"/>
          <w:rFonts w:cs="Miriam"/>
          <w:rtl/>
        </w:rPr>
        <w:t>3.</w:t>
      </w:r>
      <w:r>
        <w:rPr>
          <w:rStyle w:val="big-number"/>
          <w:rFonts w:cs="Miriam"/>
          <w:rtl/>
        </w:rPr>
        <w:tab/>
      </w:r>
      <w:r>
        <w:rPr>
          <w:rStyle w:val="default"/>
          <w:rFonts w:cs="FrankRuehl"/>
          <w:rtl/>
        </w:rPr>
        <w:t>תק</w:t>
      </w:r>
      <w:r>
        <w:rPr>
          <w:rStyle w:val="default"/>
          <w:rFonts w:cs="FrankRuehl" w:hint="cs"/>
          <w:rtl/>
        </w:rPr>
        <w:t>פה של פקודה זו הוא למפרע מיום ו' באייר תש"ח (15 במאי 1948), ואישור למפרע ניתן בזה לכל הפעולות אשר נעשו ואשר, לולא הור</w:t>
      </w:r>
      <w:r>
        <w:rPr>
          <w:rStyle w:val="default"/>
          <w:rFonts w:cs="FrankRuehl"/>
          <w:rtl/>
        </w:rPr>
        <w:t>או</w:t>
      </w:r>
      <w:r>
        <w:rPr>
          <w:rStyle w:val="default"/>
          <w:rFonts w:cs="FrankRuehl" w:hint="cs"/>
          <w:rtl/>
        </w:rPr>
        <w:t>ת פקודה זו, היו חסר</w:t>
      </w:r>
      <w:r>
        <w:rPr>
          <w:rStyle w:val="default"/>
          <w:rFonts w:cs="FrankRuehl"/>
          <w:rtl/>
        </w:rPr>
        <w:t>ו</w:t>
      </w:r>
      <w:r>
        <w:rPr>
          <w:rStyle w:val="default"/>
          <w:rFonts w:cs="FrankRuehl" w:hint="cs"/>
          <w:rtl/>
        </w:rPr>
        <w:t>ת תוקף.</w:t>
      </w:r>
    </w:p>
    <w:p w14:paraId="16FFB36A" w14:textId="77777777" w:rsidR="00742D9A" w:rsidRDefault="00742D9A" w:rsidP="005D53E9">
      <w:pPr>
        <w:pStyle w:val="P00"/>
        <w:spacing w:before="72"/>
        <w:ind w:left="0" w:right="1134"/>
        <w:rPr>
          <w:rStyle w:val="default"/>
          <w:rFonts w:cs="FrankRuehl"/>
          <w:rtl/>
        </w:rPr>
      </w:pPr>
      <w:bookmarkStart w:id="5" w:name="Seif4"/>
      <w:bookmarkEnd w:id="5"/>
      <w:r>
        <w:rPr>
          <w:lang w:val="he-IL"/>
        </w:rPr>
        <w:pict w14:anchorId="752B3907">
          <v:rect id="_x0000_s1030" style="position:absolute;left:0;text-align:left;margin-left:464.5pt;margin-top:8.05pt;width:75.05pt;height:11.5pt;z-index:251659776" o:allowincell="f" filled="f" stroked="f" strokecolor="lime" strokeweight=".25pt">
            <v:textbox inset="0,0,0,0">
              <w:txbxContent>
                <w:p w14:paraId="4294AD71" w14:textId="77777777" w:rsidR="00742D9A" w:rsidRDefault="00742D9A">
                  <w:pPr>
                    <w:spacing w:line="160" w:lineRule="exact"/>
                    <w:jc w:val="left"/>
                    <w:rPr>
                      <w:rFonts w:cs="Miriam"/>
                      <w:noProof/>
                      <w:sz w:val="18"/>
                      <w:szCs w:val="18"/>
                      <w:rtl/>
                    </w:rPr>
                  </w:pPr>
                  <w:r>
                    <w:rPr>
                      <w:rFonts w:cs="Miriam"/>
                      <w:sz w:val="18"/>
                      <w:szCs w:val="18"/>
                      <w:rtl/>
                    </w:rPr>
                    <w:t>שם</w:t>
                  </w:r>
                </w:p>
              </w:txbxContent>
            </v:textbox>
            <w10:anchorlock/>
          </v:rect>
        </w:pict>
      </w:r>
      <w:r>
        <w:rPr>
          <w:rStyle w:val="big-number"/>
          <w:rFonts w:cs="Miriam"/>
          <w:rtl/>
        </w:rPr>
        <w:t>4.</w:t>
      </w:r>
      <w:r>
        <w:rPr>
          <w:rStyle w:val="big-number"/>
          <w:rFonts w:cs="Miriam"/>
          <w:rtl/>
        </w:rPr>
        <w:tab/>
      </w:r>
      <w:r>
        <w:rPr>
          <w:rStyle w:val="default"/>
          <w:rFonts w:cs="FrankRuehl"/>
          <w:rtl/>
        </w:rPr>
        <w:t>פק</w:t>
      </w:r>
      <w:r>
        <w:rPr>
          <w:rStyle w:val="default"/>
          <w:rFonts w:cs="FrankRuehl" w:hint="cs"/>
          <w:rtl/>
        </w:rPr>
        <w:t>ודה זו תיקרא בשם "פקודת שטח השיפוט והסמכויות, תש"ח</w:t>
      </w:r>
      <w:r w:rsidR="005D53E9">
        <w:rPr>
          <w:rStyle w:val="default"/>
          <w:rFonts w:cs="FrankRuehl" w:hint="cs"/>
          <w:rtl/>
        </w:rPr>
        <w:t>-</w:t>
      </w:r>
      <w:r>
        <w:rPr>
          <w:rStyle w:val="default"/>
          <w:rFonts w:cs="FrankRuehl"/>
          <w:rtl/>
        </w:rPr>
        <w:t>1948".</w:t>
      </w:r>
    </w:p>
    <w:p w14:paraId="6A92AFDD" w14:textId="77777777" w:rsidR="00742D9A" w:rsidRDefault="00742D9A">
      <w:pPr>
        <w:pStyle w:val="P00"/>
        <w:spacing w:before="72"/>
        <w:ind w:left="0" w:right="1134"/>
        <w:rPr>
          <w:rStyle w:val="default"/>
          <w:rFonts w:cs="FrankRuehl" w:hint="cs"/>
          <w:rtl/>
        </w:rPr>
      </w:pPr>
    </w:p>
    <w:p w14:paraId="1871A0A2" w14:textId="77777777" w:rsidR="005927D4" w:rsidRDefault="005927D4">
      <w:pPr>
        <w:pStyle w:val="P00"/>
        <w:spacing w:before="72"/>
        <w:ind w:left="0" w:right="1134"/>
        <w:rPr>
          <w:rStyle w:val="default"/>
          <w:rFonts w:cs="FrankRuehl" w:hint="cs"/>
          <w:rtl/>
        </w:rPr>
      </w:pPr>
    </w:p>
    <w:p w14:paraId="5A2C172E" w14:textId="77777777" w:rsidR="00742D9A" w:rsidRDefault="00742D9A" w:rsidP="005927D4">
      <w:pPr>
        <w:pStyle w:val="sig-0"/>
        <w:tabs>
          <w:tab w:val="clear" w:pos="4820"/>
          <w:tab w:val="center" w:pos="4536"/>
          <w:tab w:val="center" w:pos="6804"/>
        </w:tabs>
        <w:spacing w:before="72"/>
        <w:ind w:left="0" w:right="1134"/>
        <w:rPr>
          <w:rFonts w:cs="FrankRuehl" w:hint="cs"/>
          <w:sz w:val="26"/>
          <w:rtl/>
        </w:rPr>
      </w:pPr>
      <w:r>
        <w:rPr>
          <w:rFonts w:cs="FrankRuehl"/>
          <w:sz w:val="26"/>
          <w:rtl/>
        </w:rPr>
        <w:t>י"</w:t>
      </w:r>
      <w:r w:rsidR="005927D4">
        <w:rPr>
          <w:rFonts w:cs="FrankRuehl" w:hint="cs"/>
          <w:sz w:val="26"/>
          <w:rtl/>
        </w:rPr>
        <w:t>ב באלול תש"ח (26 בספטמבר 1948)</w:t>
      </w:r>
      <w:r>
        <w:rPr>
          <w:rFonts w:cs="FrankRuehl"/>
          <w:sz w:val="26"/>
          <w:rtl/>
        </w:rPr>
        <w:tab/>
        <w:t>ד</w:t>
      </w:r>
      <w:r>
        <w:rPr>
          <w:rFonts w:cs="FrankRuehl" w:hint="cs"/>
          <w:sz w:val="26"/>
          <w:rtl/>
        </w:rPr>
        <w:t>וד בן-גוריון</w:t>
      </w:r>
      <w:r w:rsidR="005927D4">
        <w:rPr>
          <w:rFonts w:cs="FrankRuehl" w:hint="cs"/>
          <w:sz w:val="26"/>
          <w:rtl/>
        </w:rPr>
        <w:tab/>
      </w:r>
      <w:r w:rsidR="005927D4">
        <w:rPr>
          <w:rFonts w:cs="FrankRuehl"/>
          <w:sz w:val="22"/>
          <w:rtl/>
        </w:rPr>
        <w:t>פ</w:t>
      </w:r>
      <w:r w:rsidR="005927D4">
        <w:rPr>
          <w:rFonts w:cs="FrankRuehl" w:hint="cs"/>
          <w:sz w:val="22"/>
          <w:rtl/>
        </w:rPr>
        <w:t>ליכס רוזנבליט</w:t>
      </w:r>
    </w:p>
    <w:p w14:paraId="68821F9E" w14:textId="77777777" w:rsidR="00742D9A" w:rsidRDefault="00742D9A" w:rsidP="005927D4">
      <w:pPr>
        <w:pStyle w:val="sig-1"/>
        <w:widowControl/>
        <w:tabs>
          <w:tab w:val="clear" w:pos="851"/>
          <w:tab w:val="clear" w:pos="2835"/>
          <w:tab w:val="clear" w:pos="4820"/>
          <w:tab w:val="center" w:pos="4536"/>
          <w:tab w:val="center" w:pos="6804"/>
        </w:tabs>
        <w:ind w:left="0" w:right="1134"/>
        <w:rPr>
          <w:rFonts w:cs="FrankRuehl" w:hint="cs"/>
          <w:sz w:val="22"/>
          <w:rtl/>
        </w:rPr>
      </w:pPr>
      <w:r>
        <w:rPr>
          <w:rFonts w:cs="FrankRuehl"/>
          <w:sz w:val="22"/>
          <w:rtl/>
        </w:rPr>
        <w:tab/>
        <w:t>ר</w:t>
      </w:r>
      <w:r>
        <w:rPr>
          <w:rFonts w:cs="FrankRuehl" w:hint="cs"/>
          <w:sz w:val="22"/>
          <w:rtl/>
        </w:rPr>
        <w:t>אש הממשלה ושר הבטחון</w:t>
      </w:r>
      <w:r w:rsidR="005927D4">
        <w:rPr>
          <w:rFonts w:cs="FrankRuehl" w:hint="cs"/>
          <w:sz w:val="22"/>
          <w:rtl/>
        </w:rPr>
        <w:tab/>
      </w:r>
      <w:r w:rsidR="005927D4">
        <w:rPr>
          <w:rFonts w:cs="FrankRuehl"/>
          <w:sz w:val="22"/>
          <w:rtl/>
        </w:rPr>
        <w:t>ש</w:t>
      </w:r>
      <w:r w:rsidR="005927D4">
        <w:rPr>
          <w:rFonts w:cs="FrankRuehl" w:hint="cs"/>
          <w:sz w:val="22"/>
          <w:rtl/>
        </w:rPr>
        <w:t>ר המשפטים</w:t>
      </w:r>
    </w:p>
    <w:p w14:paraId="6303DD6B" w14:textId="77777777" w:rsidR="005927D4" w:rsidRPr="005927D4" w:rsidRDefault="005927D4" w:rsidP="005927D4">
      <w:pPr>
        <w:pStyle w:val="P00"/>
        <w:spacing w:before="72"/>
        <w:ind w:left="0" w:right="1134"/>
        <w:rPr>
          <w:rStyle w:val="default"/>
          <w:rFonts w:cs="FrankRuehl" w:hint="cs"/>
          <w:rtl/>
        </w:rPr>
      </w:pPr>
    </w:p>
    <w:p w14:paraId="265236BA" w14:textId="77777777" w:rsidR="005927D4" w:rsidRPr="005927D4" w:rsidRDefault="005927D4" w:rsidP="005927D4">
      <w:pPr>
        <w:pStyle w:val="P00"/>
        <w:spacing w:before="72"/>
        <w:ind w:left="0" w:right="1134"/>
        <w:rPr>
          <w:rStyle w:val="default"/>
          <w:rFonts w:cs="FrankRuehl"/>
          <w:rtl/>
        </w:rPr>
      </w:pPr>
    </w:p>
    <w:p w14:paraId="3B0A43C7" w14:textId="77777777" w:rsidR="00742D9A" w:rsidRPr="005927D4" w:rsidRDefault="00742D9A" w:rsidP="005927D4">
      <w:pPr>
        <w:pStyle w:val="P00"/>
        <w:spacing w:before="72"/>
        <w:ind w:left="0" w:right="1134"/>
        <w:rPr>
          <w:rStyle w:val="default"/>
          <w:rFonts w:cs="FrankRuehl"/>
          <w:rtl/>
        </w:rPr>
      </w:pPr>
      <w:bookmarkStart w:id="6" w:name="LawPartEnd"/>
    </w:p>
    <w:bookmarkEnd w:id="6"/>
    <w:p w14:paraId="13D70AB4" w14:textId="77777777" w:rsidR="00742D9A" w:rsidRPr="005927D4" w:rsidRDefault="00742D9A" w:rsidP="005927D4">
      <w:pPr>
        <w:pStyle w:val="P00"/>
        <w:spacing w:before="72"/>
        <w:ind w:left="0" w:right="1134"/>
        <w:rPr>
          <w:rStyle w:val="default"/>
          <w:rFonts w:cs="FrankRuehl"/>
          <w:rtl/>
        </w:rPr>
      </w:pPr>
    </w:p>
    <w:sectPr w:rsidR="00742D9A" w:rsidRPr="005927D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578D" w14:textId="77777777" w:rsidR="009F0214" w:rsidRDefault="009F0214">
      <w:r>
        <w:separator/>
      </w:r>
    </w:p>
  </w:endnote>
  <w:endnote w:type="continuationSeparator" w:id="0">
    <w:p w14:paraId="7618933A" w14:textId="77777777" w:rsidR="009F0214" w:rsidRDefault="009F0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30A7D" w14:textId="77777777" w:rsidR="00742D9A" w:rsidRDefault="00742D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364111" w14:textId="77777777" w:rsidR="00742D9A" w:rsidRDefault="00742D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56AF2FC" w14:textId="77777777" w:rsidR="00742D9A" w:rsidRDefault="00742D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7D4">
      <w:rPr>
        <w:rFonts w:cs="TopType Jerushalmi"/>
        <w:noProof/>
        <w:color w:val="000000"/>
        <w:sz w:val="14"/>
        <w:szCs w:val="14"/>
      </w:rPr>
      <w:t>D:\Yael\hakika\Revadim\p216_001.doc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5A69" w14:textId="77777777" w:rsidR="00742D9A" w:rsidRDefault="00742D9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E0866">
      <w:rPr>
        <w:rFonts w:hAnsi="FrankRuehl" w:cs="FrankRuehl"/>
        <w:noProof/>
        <w:sz w:val="24"/>
        <w:szCs w:val="24"/>
        <w:rtl/>
      </w:rPr>
      <w:t>1</w:t>
    </w:r>
    <w:r>
      <w:rPr>
        <w:rFonts w:hAnsi="FrankRuehl" w:cs="FrankRuehl"/>
        <w:sz w:val="24"/>
        <w:szCs w:val="24"/>
        <w:rtl/>
      </w:rPr>
      <w:fldChar w:fldCharType="end"/>
    </w:r>
  </w:p>
  <w:p w14:paraId="46205F49" w14:textId="77777777" w:rsidR="00742D9A" w:rsidRDefault="00742D9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2F457FF" w14:textId="77777777" w:rsidR="00742D9A" w:rsidRDefault="00742D9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927D4">
      <w:rPr>
        <w:rFonts w:cs="TopType Jerushalmi"/>
        <w:noProof/>
        <w:color w:val="000000"/>
        <w:sz w:val="14"/>
        <w:szCs w:val="14"/>
      </w:rPr>
      <w:t>D:\Yael\hakika\Revadim\p216_001.doc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7C62B" w14:textId="77777777" w:rsidR="009F0214" w:rsidRDefault="009F0214" w:rsidP="005927D4">
      <w:pPr>
        <w:spacing w:before="60" w:line="240" w:lineRule="auto"/>
        <w:ind w:right="1134"/>
      </w:pPr>
      <w:r>
        <w:separator/>
      </w:r>
    </w:p>
  </w:footnote>
  <w:footnote w:type="continuationSeparator" w:id="0">
    <w:p w14:paraId="2466D622" w14:textId="77777777" w:rsidR="009F0214" w:rsidRDefault="009F0214">
      <w:r>
        <w:continuationSeparator/>
      </w:r>
    </w:p>
  </w:footnote>
  <w:footnote w:id="1">
    <w:p w14:paraId="088B1B32" w14:textId="77777777" w:rsidR="005927D4" w:rsidRDefault="005927D4" w:rsidP="005927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5927D4">
        <w:rPr>
          <w:rFonts w:cs="FrankRuehl"/>
          <w:rtl/>
        </w:rPr>
        <w:t xml:space="preserve">* </w:t>
      </w:r>
      <w:r>
        <w:rPr>
          <w:rFonts w:cs="FrankRuehl"/>
          <w:rtl/>
        </w:rPr>
        <w:t>פו</w:t>
      </w:r>
      <w:r>
        <w:rPr>
          <w:rFonts w:cs="FrankRuehl" w:hint="cs"/>
          <w:rtl/>
        </w:rPr>
        <w:t xml:space="preserve">רסמה </w:t>
      </w:r>
      <w:hyperlink r:id="rId1" w:history="1">
        <w:r w:rsidRPr="003447F4">
          <w:rPr>
            <w:rStyle w:val="Hyperlink"/>
            <w:rFonts w:cs="FrankRuehl" w:hint="cs"/>
            <w:rtl/>
          </w:rPr>
          <w:t>ע"ר מס</w:t>
        </w:r>
        <w:r w:rsidRPr="003447F4">
          <w:rPr>
            <w:rStyle w:val="Hyperlink"/>
            <w:rFonts w:cs="FrankRuehl" w:hint="cs"/>
            <w:rtl/>
          </w:rPr>
          <w:t>'</w:t>
        </w:r>
        <w:r w:rsidRPr="003447F4">
          <w:rPr>
            <w:rStyle w:val="Hyperlink"/>
            <w:rFonts w:cs="FrankRuehl" w:hint="cs"/>
            <w:rtl/>
          </w:rPr>
          <w:t xml:space="preserve"> 23</w:t>
        </w:r>
      </w:hyperlink>
      <w:r>
        <w:rPr>
          <w:rFonts w:cs="FrankRuehl" w:hint="cs"/>
          <w:rtl/>
        </w:rPr>
        <w:t xml:space="preserve"> מיום 22.9.1948</w:t>
      </w:r>
      <w:r>
        <w:rPr>
          <w:rFonts w:cs="FrankRuehl"/>
          <w:rtl/>
        </w:rPr>
        <w:t>, ת</w:t>
      </w:r>
      <w:r>
        <w:rPr>
          <w:rFonts w:cs="FrankRuehl" w:hint="cs"/>
          <w:rtl/>
        </w:rPr>
        <w:t>וס' א', עמ' 61.</w:t>
      </w:r>
    </w:p>
    <w:p w14:paraId="5B9EF134" w14:textId="77777777" w:rsidR="005927D4" w:rsidRPr="005927D4" w:rsidRDefault="005927D4" w:rsidP="005927D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קנה </w:t>
      </w:r>
      <w:hyperlink r:id="rId2" w:history="1">
        <w:r w:rsidRPr="00A26671">
          <w:rPr>
            <w:rStyle w:val="Hyperlink"/>
            <w:rFonts w:cs="FrankRuehl" w:hint="cs"/>
            <w:rtl/>
          </w:rPr>
          <w:t>ס"ח תשט"ז מס' 198</w:t>
        </w:r>
      </w:hyperlink>
      <w:r>
        <w:rPr>
          <w:rFonts w:cs="FrankRuehl" w:hint="cs"/>
          <w:rtl/>
        </w:rPr>
        <w:t xml:space="preserve"> מיום 23.2.1956 עמ' 34 (</w:t>
      </w:r>
      <w:hyperlink r:id="rId3" w:history="1">
        <w:r w:rsidRPr="00A61373">
          <w:rPr>
            <w:rStyle w:val="Hyperlink"/>
            <w:rFonts w:cs="FrankRuehl" w:hint="cs"/>
            <w:rtl/>
          </w:rPr>
          <w:t>ה"ח תשט"ז מס' 253</w:t>
        </w:r>
      </w:hyperlink>
      <w:r>
        <w:rPr>
          <w:rFonts w:cs="FrankRuehl" w:hint="cs"/>
          <w:rtl/>
        </w:rPr>
        <w:t xml:space="preserve"> עמ' 32) </w:t>
      </w:r>
      <w:r>
        <w:rPr>
          <w:rFonts w:cs="FrankRuehl"/>
          <w:rtl/>
        </w:rPr>
        <w:t>–</w:t>
      </w:r>
      <w:r>
        <w:rPr>
          <w:rFonts w:cs="FrankRuehl" w:hint="cs"/>
          <w:rtl/>
        </w:rPr>
        <w:t xml:space="preserve"> תיקון מס'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9B5A" w14:textId="77777777" w:rsidR="00742D9A" w:rsidRDefault="00742D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שטח השיפוט והסמכויות</w:t>
    </w:r>
  </w:p>
  <w:p w14:paraId="3664A2C3" w14:textId="77777777" w:rsidR="00742D9A" w:rsidRDefault="00742D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C4EF3A" w14:textId="77777777" w:rsidR="00742D9A" w:rsidRDefault="00742D9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AE7C5" w14:textId="77777777" w:rsidR="00742D9A" w:rsidRDefault="00742D9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פקודת שטח השיפוט והסמכויות</w:t>
    </w:r>
  </w:p>
  <w:p w14:paraId="5F7A71E4" w14:textId="77777777" w:rsidR="00742D9A" w:rsidRDefault="00742D9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70254C" w14:textId="77777777" w:rsidR="00742D9A" w:rsidRDefault="00742D9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6671"/>
    <w:rsid w:val="001A3A99"/>
    <w:rsid w:val="001C0058"/>
    <w:rsid w:val="002F0F8C"/>
    <w:rsid w:val="003447F4"/>
    <w:rsid w:val="0036472F"/>
    <w:rsid w:val="003B7F5E"/>
    <w:rsid w:val="00425BCC"/>
    <w:rsid w:val="00466AC5"/>
    <w:rsid w:val="005927D4"/>
    <w:rsid w:val="005A273D"/>
    <w:rsid w:val="005D53E9"/>
    <w:rsid w:val="005E7F85"/>
    <w:rsid w:val="006A2B24"/>
    <w:rsid w:val="00711E0B"/>
    <w:rsid w:val="00742D9A"/>
    <w:rsid w:val="007F4FAE"/>
    <w:rsid w:val="009D5566"/>
    <w:rsid w:val="009F0214"/>
    <w:rsid w:val="00A26671"/>
    <w:rsid w:val="00A61373"/>
    <w:rsid w:val="00AE0866"/>
    <w:rsid w:val="00BD41E4"/>
    <w:rsid w:val="00BF1A0C"/>
    <w:rsid w:val="00CD19BC"/>
    <w:rsid w:val="00EC32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DACAE7A"/>
  <w15:chartTrackingRefBased/>
  <w15:docId w15:val="{96969384-D84D-48E1-BB38-9B74D710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5927D4"/>
    <w:rPr>
      <w:sz w:val="20"/>
      <w:szCs w:val="20"/>
    </w:rPr>
  </w:style>
  <w:style w:type="character" w:styleId="a6">
    <w:name w:val="footnote reference"/>
    <w:basedOn w:val="a0"/>
    <w:semiHidden/>
    <w:rsid w:val="005927D4"/>
    <w:rPr>
      <w:vertAlign w:val="superscript"/>
    </w:rPr>
  </w:style>
  <w:style w:type="character" w:styleId="FollowedHyperlink">
    <w:name w:val="FollowedHyperlink"/>
    <w:basedOn w:val="a0"/>
    <w:rsid w:val="003447F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17/PROP-0253.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0198.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7/PROP-0253.pdf" TargetMode="External"/><Relationship Id="rId2" Type="http://schemas.openxmlformats.org/officeDocument/2006/relationships/hyperlink" Target="http://www.nevo.co.il/Law_word/law14/LAW-0198.pdf" TargetMode="External"/><Relationship Id="rId1" Type="http://schemas.openxmlformats.org/officeDocument/2006/relationships/hyperlink" Target="http://www.nevo.co.il/law_word/law12/er-023-t.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פרק 216</vt:lpstr>
    </vt:vector>
  </TitlesOfParts>
  <Company/>
  <LinksUpToDate>false</LinksUpToDate>
  <CharactersWithSpaces>1715</CharactersWithSpaces>
  <SharedDoc>false</SharedDoc>
  <HLinks>
    <vt:vector size="60" baseType="variant">
      <vt:variant>
        <vt:i4>524408</vt:i4>
      </vt:variant>
      <vt:variant>
        <vt:i4>33</vt:i4>
      </vt:variant>
      <vt:variant>
        <vt:i4>0</vt:i4>
      </vt:variant>
      <vt:variant>
        <vt:i4>5</vt:i4>
      </vt:variant>
      <vt:variant>
        <vt:lpwstr>http://www.nevo.co.il/Law_word/law17/PROP-0253.pdf</vt:lpwstr>
      </vt:variant>
      <vt:variant>
        <vt:lpwstr/>
      </vt:variant>
      <vt:variant>
        <vt:i4>7733248</vt:i4>
      </vt:variant>
      <vt:variant>
        <vt:i4>30</vt:i4>
      </vt:variant>
      <vt:variant>
        <vt:i4>0</vt:i4>
      </vt:variant>
      <vt:variant>
        <vt:i4>5</vt:i4>
      </vt:variant>
      <vt:variant>
        <vt:lpwstr>http://www.nevo.co.il/Law_word/law14/LAW-0198.pdf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524408</vt:i4>
      </vt:variant>
      <vt:variant>
        <vt:i4>6</vt:i4>
      </vt:variant>
      <vt:variant>
        <vt:i4>0</vt:i4>
      </vt:variant>
      <vt:variant>
        <vt:i4>5</vt:i4>
      </vt:variant>
      <vt:variant>
        <vt:lpwstr>http://www.nevo.co.il/Law_word/law17/PROP-0253.pdf</vt:lpwstr>
      </vt:variant>
      <vt:variant>
        <vt:lpwstr/>
      </vt:variant>
      <vt:variant>
        <vt:i4>7733248</vt:i4>
      </vt:variant>
      <vt:variant>
        <vt:i4>3</vt:i4>
      </vt:variant>
      <vt:variant>
        <vt:i4>0</vt:i4>
      </vt:variant>
      <vt:variant>
        <vt:i4>5</vt:i4>
      </vt:variant>
      <vt:variant>
        <vt:lpwstr>http://www.nevo.co.il/Law_word/law14/LAW-0198.pdf</vt:lpwstr>
      </vt:variant>
      <vt:variant>
        <vt:lpwstr/>
      </vt:variant>
      <vt:variant>
        <vt:i4>3473472</vt:i4>
      </vt:variant>
      <vt:variant>
        <vt:i4>0</vt:i4>
      </vt:variant>
      <vt:variant>
        <vt:i4>0</vt:i4>
      </vt:variant>
      <vt:variant>
        <vt:i4>5</vt:i4>
      </vt:variant>
      <vt:variant>
        <vt:lpwstr>http://www.nevo.co.il/law_word/law12/er-023-t.pdf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216</dc:title>
  <dc:subject/>
  <dc:creator>tali</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p216</vt:lpwstr>
  </property>
  <property fmtid="{D5CDD505-2E9C-101B-9397-08002B2CF9AE}" pid="3" name="CHNAME">
    <vt:lpwstr>שטח השיפוט והסמכויות</vt:lpwstr>
  </property>
  <property fmtid="{D5CDD505-2E9C-101B-9397-08002B2CF9AE}" pid="4" name="LAWNAME">
    <vt:lpwstr>פקודת שטח השיפוט והסמכויות</vt:lpwstr>
  </property>
  <property fmtid="{D5CDD505-2E9C-101B-9397-08002B2CF9AE}" pid="5" name="LAWNUMBER">
    <vt:lpwstr>0001</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שטח שיפוט וסמכויות</vt:lpwstr>
  </property>
  <property fmtid="{D5CDD505-2E9C-101B-9397-08002B2CF9AE}" pid="9" name="NOSE31">
    <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שטח שיפוט</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