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8B6" w:rsidRDefault="009F37F8" w:rsidP="00006650">
      <w:pPr>
        <w:pStyle w:val="big-header"/>
        <w:ind w:left="0" w:right="1134"/>
        <w:rPr>
          <w:rFonts w:cs="FrankRuehl" w:hint="cs"/>
          <w:rtl/>
        </w:rPr>
      </w:pPr>
      <w:r>
        <w:rPr>
          <w:rFonts w:cs="FrankRuehl" w:hint="cs"/>
          <w:rtl/>
        </w:rPr>
        <w:t>צו בנק ישראל (</w:t>
      </w:r>
      <w:r w:rsidR="00006650">
        <w:rPr>
          <w:rFonts w:cs="FrankRuehl" w:hint="cs"/>
          <w:rtl/>
        </w:rPr>
        <w:t>חובות דיווח של קרנות נאמנות), תשע"ה-2015</w:t>
      </w:r>
    </w:p>
    <w:p w:rsidR="00006650" w:rsidRPr="00006650" w:rsidRDefault="00006650" w:rsidP="00006650">
      <w:pPr>
        <w:spacing w:line="320" w:lineRule="auto"/>
        <w:rPr>
          <w:rFonts w:cs="FrankRuehl"/>
          <w:szCs w:val="26"/>
          <w:rtl/>
        </w:rPr>
      </w:pPr>
    </w:p>
    <w:p w:rsidR="00006650" w:rsidRDefault="00006650" w:rsidP="00006650">
      <w:pPr>
        <w:spacing w:line="320" w:lineRule="auto"/>
        <w:rPr>
          <w:rtl/>
        </w:rPr>
      </w:pPr>
    </w:p>
    <w:p w:rsidR="00006650" w:rsidRDefault="00006650" w:rsidP="00006650">
      <w:pPr>
        <w:spacing w:line="320" w:lineRule="auto"/>
        <w:rPr>
          <w:rFonts w:cs="Miriam"/>
          <w:szCs w:val="22"/>
          <w:rtl/>
        </w:rPr>
      </w:pPr>
      <w:r w:rsidRPr="00006650">
        <w:rPr>
          <w:rFonts w:cs="Miriam"/>
          <w:szCs w:val="22"/>
          <w:rtl/>
        </w:rPr>
        <w:t>משפט פרטי וכלכלה</w:t>
      </w:r>
      <w:r w:rsidRPr="00006650">
        <w:rPr>
          <w:rFonts w:cs="FrankRuehl"/>
          <w:szCs w:val="26"/>
          <w:rtl/>
        </w:rPr>
        <w:t xml:space="preserve"> – כספים – בנק ישראל</w:t>
      </w:r>
    </w:p>
    <w:p w:rsidR="00006650" w:rsidRDefault="00006650" w:rsidP="00006650">
      <w:pPr>
        <w:spacing w:line="320" w:lineRule="auto"/>
        <w:rPr>
          <w:rFonts w:cs="Miriam"/>
          <w:szCs w:val="22"/>
          <w:rtl/>
        </w:rPr>
      </w:pPr>
      <w:r w:rsidRPr="00006650">
        <w:rPr>
          <w:rFonts w:cs="Miriam"/>
          <w:szCs w:val="22"/>
          <w:rtl/>
        </w:rPr>
        <w:t>משפט פרטי וכלכלה</w:t>
      </w:r>
      <w:r w:rsidRPr="00006650">
        <w:rPr>
          <w:rFonts w:cs="FrankRuehl"/>
          <w:szCs w:val="26"/>
          <w:rtl/>
        </w:rPr>
        <w:t xml:space="preserve"> – כספים – שוק ההון</w:t>
      </w:r>
    </w:p>
    <w:p w:rsidR="00006650" w:rsidRPr="00006650" w:rsidRDefault="00006650" w:rsidP="00006650">
      <w:pPr>
        <w:spacing w:line="320" w:lineRule="auto"/>
        <w:rPr>
          <w:rFonts w:cs="Miriam" w:hint="cs"/>
          <w:szCs w:val="22"/>
          <w:rtl/>
        </w:rPr>
      </w:pPr>
      <w:r w:rsidRPr="00006650">
        <w:rPr>
          <w:rFonts w:cs="Miriam"/>
          <w:szCs w:val="22"/>
          <w:rtl/>
        </w:rPr>
        <w:t>משפט פרטי וכלכלה</w:t>
      </w:r>
      <w:r w:rsidRPr="00006650">
        <w:rPr>
          <w:rFonts w:cs="FrankRuehl"/>
          <w:szCs w:val="26"/>
          <w:rtl/>
        </w:rPr>
        <w:t xml:space="preserve"> – תאגידים וניירות ערך – השק' משותפות בנאמנות</w:t>
      </w:r>
    </w:p>
    <w:p w:rsidR="00D078B6" w:rsidRPr="00536FF0" w:rsidRDefault="00D078B6">
      <w:pPr>
        <w:pStyle w:val="big-header"/>
        <w:ind w:left="0" w:right="1134"/>
        <w:rPr>
          <w:rFonts w:cs="FrankRuehl" w:hint="cs"/>
          <w:rtl/>
        </w:rPr>
      </w:pPr>
      <w:r w:rsidRPr="00536FF0">
        <w:rPr>
          <w:rFonts w:cs="FrankRuehl"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34B7C" w:rsidRPr="00634B7C" w:rsidTr="00634B7C">
        <w:tblPrEx>
          <w:tblCellMar>
            <w:top w:w="0" w:type="dxa"/>
            <w:bottom w:w="0" w:type="dxa"/>
          </w:tblCellMar>
        </w:tblPrEx>
        <w:tc>
          <w:tcPr>
            <w:tcW w:w="1247" w:type="dxa"/>
          </w:tcPr>
          <w:p w:rsidR="00634B7C" w:rsidRPr="00634B7C" w:rsidRDefault="00634B7C" w:rsidP="00634B7C">
            <w:pPr>
              <w:rPr>
                <w:rFonts w:cs="Frankruhel" w:hint="cs"/>
                <w:rtl/>
              </w:rPr>
            </w:pPr>
            <w:r>
              <w:rPr>
                <w:rtl/>
              </w:rPr>
              <w:t xml:space="preserve">סעיף 1 </w:t>
            </w:r>
          </w:p>
        </w:tc>
        <w:tc>
          <w:tcPr>
            <w:tcW w:w="5669" w:type="dxa"/>
          </w:tcPr>
          <w:p w:rsidR="00634B7C" w:rsidRPr="00634B7C" w:rsidRDefault="00634B7C" w:rsidP="00634B7C">
            <w:pPr>
              <w:rPr>
                <w:rFonts w:cs="Frankruhel" w:hint="cs"/>
                <w:rtl/>
              </w:rPr>
            </w:pPr>
            <w:r>
              <w:rPr>
                <w:rtl/>
              </w:rPr>
              <w:t>הגדרות</w:t>
            </w:r>
          </w:p>
        </w:tc>
        <w:tc>
          <w:tcPr>
            <w:tcW w:w="567" w:type="dxa"/>
          </w:tcPr>
          <w:p w:rsidR="00634B7C" w:rsidRPr="00634B7C" w:rsidRDefault="00634B7C" w:rsidP="00634B7C">
            <w:pPr>
              <w:rPr>
                <w:rStyle w:val="Hyperlink"/>
                <w:rFonts w:hint="cs"/>
                <w:rtl/>
              </w:rPr>
            </w:pPr>
            <w:hyperlink w:anchor="Seif1" w:tooltip="הגדרות" w:history="1">
              <w:r w:rsidRPr="00634B7C">
                <w:rPr>
                  <w:rStyle w:val="Hyperlink"/>
                </w:rPr>
                <w:t>Go</w:t>
              </w:r>
            </w:hyperlink>
          </w:p>
        </w:tc>
        <w:tc>
          <w:tcPr>
            <w:tcW w:w="850" w:type="dxa"/>
          </w:tcPr>
          <w:p w:rsidR="00634B7C" w:rsidRPr="00634B7C" w:rsidRDefault="00634B7C" w:rsidP="00634B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34B7C" w:rsidRPr="00634B7C" w:rsidTr="00634B7C">
        <w:tblPrEx>
          <w:tblCellMar>
            <w:top w:w="0" w:type="dxa"/>
            <w:bottom w:w="0" w:type="dxa"/>
          </w:tblCellMar>
        </w:tblPrEx>
        <w:tc>
          <w:tcPr>
            <w:tcW w:w="1247" w:type="dxa"/>
          </w:tcPr>
          <w:p w:rsidR="00634B7C" w:rsidRPr="00634B7C" w:rsidRDefault="00634B7C" w:rsidP="00634B7C">
            <w:pPr>
              <w:rPr>
                <w:rFonts w:cs="Frankruhel" w:hint="cs"/>
                <w:rtl/>
              </w:rPr>
            </w:pPr>
            <w:r>
              <w:rPr>
                <w:rtl/>
              </w:rPr>
              <w:t xml:space="preserve">סעיף 2 </w:t>
            </w:r>
          </w:p>
        </w:tc>
        <w:tc>
          <w:tcPr>
            <w:tcW w:w="5669" w:type="dxa"/>
          </w:tcPr>
          <w:p w:rsidR="00634B7C" w:rsidRPr="00634B7C" w:rsidRDefault="00634B7C" w:rsidP="00634B7C">
            <w:pPr>
              <w:rPr>
                <w:rFonts w:cs="Frankruhel" w:hint="cs"/>
                <w:rtl/>
              </w:rPr>
            </w:pPr>
            <w:r>
              <w:rPr>
                <w:rtl/>
              </w:rPr>
              <w:t>חובת דיווח</w:t>
            </w:r>
          </w:p>
        </w:tc>
        <w:tc>
          <w:tcPr>
            <w:tcW w:w="567" w:type="dxa"/>
          </w:tcPr>
          <w:p w:rsidR="00634B7C" w:rsidRPr="00634B7C" w:rsidRDefault="00634B7C" w:rsidP="00634B7C">
            <w:pPr>
              <w:rPr>
                <w:rStyle w:val="Hyperlink"/>
                <w:rFonts w:hint="cs"/>
                <w:rtl/>
              </w:rPr>
            </w:pPr>
            <w:hyperlink w:anchor="Seif2" w:tooltip="חובת דיווח" w:history="1">
              <w:r w:rsidRPr="00634B7C">
                <w:rPr>
                  <w:rStyle w:val="Hyperlink"/>
                </w:rPr>
                <w:t>Go</w:t>
              </w:r>
            </w:hyperlink>
          </w:p>
        </w:tc>
        <w:tc>
          <w:tcPr>
            <w:tcW w:w="850" w:type="dxa"/>
          </w:tcPr>
          <w:p w:rsidR="00634B7C" w:rsidRPr="00634B7C" w:rsidRDefault="00634B7C" w:rsidP="00634B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34B7C" w:rsidRPr="00634B7C" w:rsidTr="00634B7C">
        <w:tblPrEx>
          <w:tblCellMar>
            <w:top w:w="0" w:type="dxa"/>
            <w:bottom w:w="0" w:type="dxa"/>
          </w:tblCellMar>
        </w:tblPrEx>
        <w:tc>
          <w:tcPr>
            <w:tcW w:w="1247" w:type="dxa"/>
          </w:tcPr>
          <w:p w:rsidR="00634B7C" w:rsidRPr="00634B7C" w:rsidRDefault="00634B7C" w:rsidP="00634B7C">
            <w:pPr>
              <w:rPr>
                <w:rFonts w:cs="Frankruhel" w:hint="cs"/>
                <w:rtl/>
              </w:rPr>
            </w:pPr>
            <w:r>
              <w:rPr>
                <w:rtl/>
              </w:rPr>
              <w:t xml:space="preserve">סעיף 3 </w:t>
            </w:r>
          </w:p>
        </w:tc>
        <w:tc>
          <w:tcPr>
            <w:tcW w:w="5669" w:type="dxa"/>
          </w:tcPr>
          <w:p w:rsidR="00634B7C" w:rsidRPr="00634B7C" w:rsidRDefault="00634B7C" w:rsidP="00634B7C">
            <w:pPr>
              <w:rPr>
                <w:rFonts w:cs="Frankruhel" w:hint="cs"/>
                <w:rtl/>
              </w:rPr>
            </w:pPr>
            <w:r>
              <w:rPr>
                <w:rtl/>
              </w:rPr>
              <w:t>תחילה</w:t>
            </w:r>
          </w:p>
        </w:tc>
        <w:tc>
          <w:tcPr>
            <w:tcW w:w="567" w:type="dxa"/>
          </w:tcPr>
          <w:p w:rsidR="00634B7C" w:rsidRPr="00634B7C" w:rsidRDefault="00634B7C" w:rsidP="00634B7C">
            <w:pPr>
              <w:rPr>
                <w:rStyle w:val="Hyperlink"/>
                <w:rFonts w:hint="cs"/>
                <w:rtl/>
              </w:rPr>
            </w:pPr>
            <w:hyperlink w:anchor="Seif3" w:tooltip="תחילה" w:history="1">
              <w:r w:rsidRPr="00634B7C">
                <w:rPr>
                  <w:rStyle w:val="Hyperlink"/>
                </w:rPr>
                <w:t>Go</w:t>
              </w:r>
            </w:hyperlink>
          </w:p>
        </w:tc>
        <w:tc>
          <w:tcPr>
            <w:tcW w:w="850" w:type="dxa"/>
          </w:tcPr>
          <w:p w:rsidR="00634B7C" w:rsidRPr="00634B7C" w:rsidRDefault="00634B7C" w:rsidP="00634B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634B7C" w:rsidRPr="00634B7C" w:rsidTr="00634B7C">
        <w:tblPrEx>
          <w:tblCellMar>
            <w:top w:w="0" w:type="dxa"/>
            <w:bottom w:w="0" w:type="dxa"/>
          </w:tblCellMar>
        </w:tblPrEx>
        <w:tc>
          <w:tcPr>
            <w:tcW w:w="1247" w:type="dxa"/>
          </w:tcPr>
          <w:p w:rsidR="00634B7C" w:rsidRPr="00634B7C" w:rsidRDefault="00634B7C" w:rsidP="00634B7C">
            <w:pPr>
              <w:rPr>
                <w:rFonts w:cs="Frankruhel" w:hint="cs"/>
                <w:rtl/>
              </w:rPr>
            </w:pPr>
          </w:p>
        </w:tc>
        <w:tc>
          <w:tcPr>
            <w:tcW w:w="5669" w:type="dxa"/>
          </w:tcPr>
          <w:p w:rsidR="00634B7C" w:rsidRPr="00634B7C" w:rsidRDefault="00634B7C" w:rsidP="00634B7C">
            <w:pPr>
              <w:rPr>
                <w:rFonts w:cs="Frankruhel" w:hint="cs"/>
                <w:rtl/>
              </w:rPr>
            </w:pPr>
            <w:r>
              <w:rPr>
                <w:rtl/>
              </w:rPr>
              <w:t>תוספת</w:t>
            </w:r>
          </w:p>
        </w:tc>
        <w:tc>
          <w:tcPr>
            <w:tcW w:w="567" w:type="dxa"/>
          </w:tcPr>
          <w:p w:rsidR="00634B7C" w:rsidRPr="00634B7C" w:rsidRDefault="00634B7C" w:rsidP="00634B7C">
            <w:pPr>
              <w:rPr>
                <w:rStyle w:val="Hyperlink"/>
                <w:rFonts w:hint="cs"/>
                <w:rtl/>
              </w:rPr>
            </w:pPr>
            <w:hyperlink w:anchor="med0" w:tooltip="תוספת" w:history="1">
              <w:r w:rsidRPr="00634B7C">
                <w:rPr>
                  <w:rStyle w:val="Hyperlink"/>
                </w:rPr>
                <w:t>Go</w:t>
              </w:r>
            </w:hyperlink>
          </w:p>
        </w:tc>
        <w:tc>
          <w:tcPr>
            <w:tcW w:w="850" w:type="dxa"/>
          </w:tcPr>
          <w:p w:rsidR="00634B7C" w:rsidRPr="00634B7C" w:rsidRDefault="00634B7C" w:rsidP="00634B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bl>
    <w:p w:rsidR="00D078B6" w:rsidRPr="00536FF0" w:rsidRDefault="00D078B6">
      <w:pPr>
        <w:pStyle w:val="big-header"/>
        <w:ind w:left="0" w:right="1134"/>
        <w:rPr>
          <w:rFonts w:cs="FrankRuehl" w:hint="cs"/>
          <w:rtl/>
        </w:rPr>
      </w:pPr>
    </w:p>
    <w:p w:rsidR="00D078B6" w:rsidRPr="00536FF0" w:rsidRDefault="00D078B6" w:rsidP="00006650">
      <w:pPr>
        <w:pStyle w:val="big-header"/>
        <w:ind w:left="0" w:right="1134"/>
        <w:rPr>
          <w:rStyle w:val="default"/>
          <w:rFonts w:hint="cs"/>
          <w:sz w:val="20"/>
          <w:szCs w:val="22"/>
          <w:rtl/>
        </w:rPr>
      </w:pPr>
      <w:r w:rsidRPr="00536FF0">
        <w:rPr>
          <w:rFonts w:cs="FrankRuehl"/>
          <w:rtl/>
        </w:rPr>
        <w:br w:type="page"/>
      </w:r>
      <w:r w:rsidR="00006650">
        <w:rPr>
          <w:rFonts w:cs="FrankRuehl" w:hint="cs"/>
          <w:rtl/>
        </w:rPr>
        <w:lastRenderedPageBreak/>
        <w:t>צו בנק ישראל (חובות דיווח של קרנות נאמנות), תשע"ה-2015</w:t>
      </w:r>
      <w:r w:rsidRPr="00536FF0">
        <w:rPr>
          <w:rStyle w:val="default"/>
          <w:sz w:val="20"/>
          <w:szCs w:val="22"/>
          <w:rtl/>
        </w:rPr>
        <w:footnoteReference w:customMarkFollows="1" w:id="1"/>
        <w:t>*</w:t>
      </w:r>
    </w:p>
    <w:p w:rsidR="006411A2" w:rsidRDefault="008D2195" w:rsidP="00211ACC">
      <w:pPr>
        <w:pStyle w:val="P00"/>
        <w:spacing w:before="72"/>
        <w:ind w:left="0" w:right="1134"/>
        <w:rPr>
          <w:rStyle w:val="default"/>
          <w:rFonts w:cs="FrankRuehl" w:hint="cs"/>
          <w:sz w:val="20"/>
          <w:rtl/>
        </w:rPr>
      </w:pPr>
      <w:r w:rsidRPr="00536FF0">
        <w:rPr>
          <w:rStyle w:val="default"/>
          <w:rFonts w:cs="FrankRuehl" w:hint="cs"/>
          <w:sz w:val="20"/>
          <w:rtl/>
        </w:rPr>
        <w:tab/>
        <w:t xml:space="preserve">בתוקף </w:t>
      </w:r>
      <w:r w:rsidR="00330AB2">
        <w:rPr>
          <w:rStyle w:val="default"/>
          <w:rFonts w:cs="FrankRuehl" w:hint="cs"/>
          <w:sz w:val="20"/>
          <w:rtl/>
        </w:rPr>
        <w:t xml:space="preserve">סמכותי לפי </w:t>
      </w:r>
      <w:r w:rsidR="000720A8">
        <w:rPr>
          <w:rStyle w:val="default"/>
          <w:rFonts w:cs="FrankRuehl" w:hint="cs"/>
          <w:sz w:val="20"/>
          <w:rtl/>
        </w:rPr>
        <w:t xml:space="preserve">סעיף </w:t>
      </w:r>
      <w:r w:rsidR="007464A9">
        <w:rPr>
          <w:rStyle w:val="default"/>
          <w:rFonts w:cs="FrankRuehl" w:hint="cs"/>
          <w:sz w:val="20"/>
          <w:rtl/>
        </w:rPr>
        <w:t>39</w:t>
      </w:r>
      <w:r w:rsidR="004C0963">
        <w:rPr>
          <w:rStyle w:val="default"/>
          <w:rFonts w:cs="FrankRuehl" w:hint="cs"/>
          <w:sz w:val="20"/>
          <w:rtl/>
        </w:rPr>
        <w:t>(</w:t>
      </w:r>
      <w:r w:rsidR="00211ACC">
        <w:rPr>
          <w:rStyle w:val="default"/>
          <w:rFonts w:cs="FrankRuehl" w:hint="cs"/>
          <w:sz w:val="20"/>
          <w:rtl/>
        </w:rPr>
        <w:t>א</w:t>
      </w:r>
      <w:r w:rsidR="004C0963">
        <w:rPr>
          <w:rStyle w:val="default"/>
          <w:rFonts w:cs="FrankRuehl" w:hint="cs"/>
          <w:sz w:val="20"/>
          <w:rtl/>
        </w:rPr>
        <w:t>)</w:t>
      </w:r>
      <w:r w:rsidR="007464A9">
        <w:rPr>
          <w:rStyle w:val="default"/>
          <w:rFonts w:cs="FrankRuehl" w:hint="cs"/>
          <w:sz w:val="20"/>
          <w:rtl/>
        </w:rPr>
        <w:t xml:space="preserve"> לחוק בנק ישראל, התש"ע-2010</w:t>
      </w:r>
      <w:r w:rsidR="00211ACC">
        <w:rPr>
          <w:rStyle w:val="default"/>
          <w:rFonts w:cs="FrankRuehl" w:hint="cs"/>
          <w:sz w:val="20"/>
          <w:rtl/>
        </w:rPr>
        <w:t xml:space="preserve"> (להלן </w:t>
      </w:r>
      <w:r w:rsidR="00211ACC">
        <w:rPr>
          <w:rStyle w:val="default"/>
          <w:rFonts w:cs="FrankRuehl"/>
          <w:sz w:val="20"/>
          <w:rtl/>
        </w:rPr>
        <w:t>–</w:t>
      </w:r>
      <w:r w:rsidR="00211ACC">
        <w:rPr>
          <w:rStyle w:val="default"/>
          <w:rFonts w:cs="FrankRuehl" w:hint="cs"/>
          <w:sz w:val="20"/>
          <w:rtl/>
        </w:rPr>
        <w:t xml:space="preserve"> החוק), ובאישור הוועדה</w:t>
      </w:r>
      <w:r w:rsidR="007464A9">
        <w:rPr>
          <w:rStyle w:val="default"/>
          <w:rFonts w:cs="FrankRuehl" w:hint="cs"/>
          <w:sz w:val="20"/>
          <w:rtl/>
        </w:rPr>
        <w:t>, אני מצווה לאמור</w:t>
      </w:r>
      <w:r w:rsidRPr="00536FF0">
        <w:rPr>
          <w:rStyle w:val="default"/>
          <w:rFonts w:cs="FrankRuehl" w:hint="cs"/>
          <w:sz w:val="20"/>
          <w:rtl/>
        </w:rPr>
        <w:t>:</w:t>
      </w:r>
    </w:p>
    <w:p w:rsidR="00D078B6" w:rsidRDefault="00D078B6" w:rsidP="007464A9">
      <w:pPr>
        <w:pStyle w:val="P00"/>
        <w:spacing w:before="72"/>
        <w:ind w:left="0" w:right="1134"/>
        <w:rPr>
          <w:rStyle w:val="default"/>
          <w:rFonts w:cs="FrankRuehl" w:hint="cs"/>
          <w:sz w:val="20"/>
          <w:rtl/>
        </w:rPr>
      </w:pPr>
      <w:bookmarkStart w:id="0" w:name="Seif1"/>
      <w:bookmarkEnd w:id="0"/>
      <w:r w:rsidRPr="00536FF0">
        <w:rPr>
          <w:rFonts w:cs="Miriam"/>
          <w:lang w:val="he-IL"/>
        </w:rPr>
        <w:pict>
          <v:rect id="_x0000_s1026" style="position:absolute;left:0;text-align:left;margin-left:464.35pt;margin-top:7.1pt;width:75.05pt;height:8.95pt;z-index:251656704" o:allowincell="f" filled="f" stroked="f" strokecolor="lime" strokeweight=".25pt">
            <v:textbox style="mso-next-textbox:#_x0000_s1026" inset="0,0,0,0">
              <w:txbxContent>
                <w:p w:rsidR="00CB07BE" w:rsidRDefault="007464A9"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sidRPr="00536FF0">
        <w:rPr>
          <w:rStyle w:val="big-number"/>
          <w:rFonts w:cs="Miriam"/>
          <w:sz w:val="20"/>
          <w:rtl/>
        </w:rPr>
        <w:t>1</w:t>
      </w:r>
      <w:r w:rsidRPr="00536FF0">
        <w:rPr>
          <w:rStyle w:val="big-number"/>
          <w:rFonts w:cs="FrankRuehl"/>
          <w:sz w:val="20"/>
          <w:szCs w:val="26"/>
          <w:rtl/>
        </w:rPr>
        <w:t>.</w:t>
      </w:r>
      <w:r w:rsidRPr="00536FF0">
        <w:rPr>
          <w:rStyle w:val="big-number"/>
          <w:rFonts w:cs="FrankRuehl"/>
          <w:sz w:val="20"/>
          <w:szCs w:val="26"/>
          <w:rtl/>
        </w:rPr>
        <w:tab/>
      </w:r>
      <w:r w:rsidR="007464A9">
        <w:rPr>
          <w:rStyle w:val="default"/>
          <w:rFonts w:cs="FrankRuehl" w:hint="cs"/>
          <w:sz w:val="20"/>
          <w:rtl/>
        </w:rPr>
        <w:t xml:space="preserve">בצו זה </w:t>
      </w:r>
      <w:r w:rsidR="007464A9">
        <w:rPr>
          <w:rStyle w:val="default"/>
          <w:rFonts w:cs="FrankRuehl"/>
          <w:sz w:val="20"/>
          <w:rtl/>
        </w:rPr>
        <w:t>–</w:t>
      </w:r>
    </w:p>
    <w:p w:rsidR="007464A9" w:rsidRDefault="007464A9" w:rsidP="00211ACC">
      <w:pPr>
        <w:pStyle w:val="P00"/>
        <w:spacing w:before="72"/>
        <w:ind w:left="0" w:right="1134"/>
        <w:rPr>
          <w:rStyle w:val="default"/>
          <w:rFonts w:cs="FrankRuehl" w:hint="cs"/>
          <w:sz w:val="20"/>
          <w:rtl/>
        </w:rPr>
      </w:pPr>
      <w:r>
        <w:rPr>
          <w:rStyle w:val="default"/>
          <w:rFonts w:cs="FrankRuehl" w:hint="cs"/>
          <w:sz w:val="20"/>
          <w:rtl/>
        </w:rPr>
        <w:tab/>
        <w:t>"</w:t>
      </w:r>
      <w:r w:rsidR="00211ACC">
        <w:rPr>
          <w:rStyle w:val="default"/>
          <w:rFonts w:cs="FrankRuehl" w:hint="cs"/>
          <w:sz w:val="20"/>
          <w:rtl/>
        </w:rPr>
        <w:t xml:space="preserve">אגרת חוב קונצרנית" </w:t>
      </w:r>
      <w:r w:rsidR="00211ACC">
        <w:rPr>
          <w:rStyle w:val="default"/>
          <w:rFonts w:cs="FrankRuehl"/>
          <w:sz w:val="20"/>
          <w:rtl/>
        </w:rPr>
        <w:t>–</w:t>
      </w:r>
      <w:r w:rsidR="00211ACC">
        <w:rPr>
          <w:rStyle w:val="default"/>
          <w:rFonts w:cs="FrankRuehl" w:hint="cs"/>
          <w:sz w:val="20"/>
          <w:rtl/>
        </w:rPr>
        <w:t xml:space="preserve"> אגרת חוב של חברה</w:t>
      </w:r>
      <w:r>
        <w:rPr>
          <w:rStyle w:val="default"/>
          <w:rFonts w:cs="FrankRuehl" w:hint="cs"/>
          <w:sz w:val="20"/>
          <w:rtl/>
        </w:rPr>
        <w:t>;</w:t>
      </w:r>
    </w:p>
    <w:p w:rsidR="007464A9" w:rsidRDefault="007464A9" w:rsidP="00211ACC">
      <w:pPr>
        <w:pStyle w:val="P00"/>
        <w:spacing w:before="72"/>
        <w:ind w:left="0" w:right="1134"/>
        <w:rPr>
          <w:rStyle w:val="default"/>
          <w:rFonts w:cs="FrankRuehl" w:hint="cs"/>
          <w:sz w:val="20"/>
          <w:rtl/>
        </w:rPr>
      </w:pPr>
      <w:r>
        <w:rPr>
          <w:rStyle w:val="default"/>
          <w:rFonts w:cs="FrankRuehl" w:hint="cs"/>
          <w:sz w:val="20"/>
          <w:rtl/>
        </w:rPr>
        <w:tab/>
        <w:t>"</w:t>
      </w:r>
      <w:r w:rsidR="00211ACC">
        <w:rPr>
          <w:rStyle w:val="default"/>
          <w:rFonts w:cs="FrankRuehl" w:hint="cs"/>
          <w:sz w:val="20"/>
          <w:rtl/>
        </w:rPr>
        <w:t xml:space="preserve">חברה זרה" </w:t>
      </w:r>
      <w:r w:rsidR="00211ACC">
        <w:rPr>
          <w:rStyle w:val="default"/>
          <w:rFonts w:cs="FrankRuehl"/>
          <w:sz w:val="20"/>
          <w:rtl/>
        </w:rPr>
        <w:t>–</w:t>
      </w:r>
      <w:r w:rsidR="00211ACC">
        <w:rPr>
          <w:rStyle w:val="default"/>
          <w:rFonts w:cs="FrankRuehl" w:hint="cs"/>
          <w:sz w:val="20"/>
          <w:rtl/>
        </w:rPr>
        <w:t xml:space="preserve"> חברה תושבת חוץ</w:t>
      </w:r>
      <w:r>
        <w:rPr>
          <w:rStyle w:val="default"/>
          <w:rFonts w:cs="FrankRuehl" w:hint="cs"/>
          <w:sz w:val="20"/>
          <w:rtl/>
        </w:rPr>
        <w:t>;</w:t>
      </w:r>
    </w:p>
    <w:p w:rsidR="007464A9" w:rsidRDefault="007464A9" w:rsidP="00211ACC">
      <w:pPr>
        <w:pStyle w:val="P00"/>
        <w:spacing w:before="72"/>
        <w:ind w:left="0" w:right="1134"/>
        <w:rPr>
          <w:rStyle w:val="default"/>
          <w:rFonts w:cs="FrankRuehl" w:hint="cs"/>
          <w:sz w:val="20"/>
          <w:rtl/>
        </w:rPr>
      </w:pPr>
      <w:r>
        <w:rPr>
          <w:rStyle w:val="default"/>
          <w:rFonts w:cs="FrankRuehl" w:hint="cs"/>
          <w:sz w:val="20"/>
          <w:rtl/>
        </w:rPr>
        <w:tab/>
        <w:t>"</w:t>
      </w:r>
      <w:r w:rsidR="00211ACC">
        <w:rPr>
          <w:rStyle w:val="default"/>
          <w:rFonts w:cs="FrankRuehl" w:hint="cs"/>
          <w:sz w:val="20"/>
          <w:rtl/>
        </w:rPr>
        <w:t xml:space="preserve">חברה ישראלית" </w:t>
      </w:r>
      <w:r w:rsidR="00211ACC">
        <w:rPr>
          <w:rStyle w:val="default"/>
          <w:rFonts w:cs="FrankRuehl"/>
          <w:sz w:val="20"/>
          <w:rtl/>
        </w:rPr>
        <w:t>–</w:t>
      </w:r>
      <w:r w:rsidR="00211ACC">
        <w:rPr>
          <w:rStyle w:val="default"/>
          <w:rFonts w:cs="FrankRuehl" w:hint="cs"/>
          <w:sz w:val="20"/>
          <w:rtl/>
        </w:rPr>
        <w:t xml:space="preserve"> חברה תושבת ישראל</w:t>
      </w:r>
      <w:r>
        <w:rPr>
          <w:rStyle w:val="default"/>
          <w:rFonts w:cs="FrankRuehl" w:hint="cs"/>
          <w:sz w:val="20"/>
          <w:rtl/>
        </w:rPr>
        <w:t>;</w:t>
      </w:r>
    </w:p>
    <w:p w:rsidR="00211ACC" w:rsidRDefault="00211ACC" w:rsidP="00211ACC">
      <w:pPr>
        <w:pStyle w:val="P00"/>
        <w:spacing w:before="72"/>
        <w:ind w:left="0" w:right="1134"/>
        <w:rPr>
          <w:rStyle w:val="default"/>
          <w:rFonts w:cs="FrankRuehl" w:hint="cs"/>
          <w:sz w:val="20"/>
          <w:rtl/>
        </w:rPr>
      </w:pPr>
      <w:r>
        <w:rPr>
          <w:rStyle w:val="default"/>
          <w:rFonts w:cs="FrankRuehl" w:hint="cs"/>
          <w:sz w:val="20"/>
          <w:rtl/>
        </w:rPr>
        <w:tab/>
        <w:t xml:space="preserve">"חוק השקעות משותפות בנאמנות" </w:t>
      </w:r>
      <w:r w:rsidR="00D92C64">
        <w:rPr>
          <w:rStyle w:val="default"/>
          <w:rFonts w:cs="FrankRuehl"/>
          <w:sz w:val="20"/>
          <w:rtl/>
        </w:rPr>
        <w:t>–</w:t>
      </w:r>
      <w:r>
        <w:rPr>
          <w:rStyle w:val="default"/>
          <w:rFonts w:cs="FrankRuehl" w:hint="cs"/>
          <w:sz w:val="20"/>
          <w:rtl/>
        </w:rPr>
        <w:t xml:space="preserve"> </w:t>
      </w:r>
      <w:r w:rsidR="00D92C64">
        <w:rPr>
          <w:rStyle w:val="default"/>
          <w:rFonts w:cs="FrankRuehl" w:hint="cs"/>
          <w:sz w:val="20"/>
          <w:rtl/>
        </w:rPr>
        <w:t>חוק השקעות משותפות בנאמנות, התשנ"ד-1994;</w:t>
      </w:r>
    </w:p>
    <w:p w:rsidR="00202D55" w:rsidRDefault="00202D55" w:rsidP="00D92C64">
      <w:pPr>
        <w:pStyle w:val="P00"/>
        <w:spacing w:before="72"/>
        <w:ind w:left="0" w:right="1134"/>
        <w:rPr>
          <w:rStyle w:val="default"/>
          <w:rFonts w:cs="FrankRuehl" w:hint="cs"/>
          <w:sz w:val="20"/>
          <w:rtl/>
        </w:rPr>
      </w:pPr>
      <w:r>
        <w:rPr>
          <w:rStyle w:val="default"/>
          <w:rFonts w:cs="FrankRuehl" w:hint="cs"/>
          <w:sz w:val="20"/>
          <w:rtl/>
        </w:rPr>
        <w:tab/>
        <w:t>"</w:t>
      </w:r>
      <w:r w:rsidR="00D92C64">
        <w:rPr>
          <w:rStyle w:val="default"/>
          <w:rFonts w:cs="FrankRuehl" w:hint="cs"/>
          <w:sz w:val="20"/>
          <w:rtl/>
        </w:rPr>
        <w:t xml:space="preserve">מדד" </w:t>
      </w:r>
      <w:r w:rsidR="00D92C64">
        <w:rPr>
          <w:rStyle w:val="default"/>
          <w:rFonts w:cs="FrankRuehl"/>
          <w:sz w:val="20"/>
          <w:rtl/>
        </w:rPr>
        <w:t>–</w:t>
      </w:r>
      <w:r w:rsidR="00D92C64">
        <w:rPr>
          <w:rStyle w:val="default"/>
          <w:rFonts w:cs="FrankRuehl" w:hint="cs"/>
          <w:sz w:val="20"/>
          <w:rtl/>
        </w:rPr>
        <w:t xml:space="preserve"> מדד המחירים לצרכן שמפרסמת הלשכה המרכזית לסטטיסטיקה</w:t>
      </w:r>
      <w:r>
        <w:rPr>
          <w:rStyle w:val="default"/>
          <w:rFonts w:cs="FrankRuehl" w:hint="cs"/>
          <w:sz w:val="20"/>
          <w:rtl/>
        </w:rPr>
        <w:t>;</w:t>
      </w:r>
    </w:p>
    <w:p w:rsidR="00D92C64" w:rsidRDefault="00D92C64" w:rsidP="00D92C64">
      <w:pPr>
        <w:pStyle w:val="P00"/>
        <w:spacing w:before="72"/>
        <w:ind w:left="0" w:right="1134"/>
        <w:rPr>
          <w:rStyle w:val="default"/>
          <w:rFonts w:cs="FrankRuehl" w:hint="cs"/>
          <w:sz w:val="20"/>
          <w:rtl/>
        </w:rPr>
      </w:pPr>
      <w:r>
        <w:rPr>
          <w:rStyle w:val="default"/>
          <w:rFonts w:cs="FrankRuehl" w:hint="cs"/>
          <w:sz w:val="20"/>
          <w:rtl/>
        </w:rPr>
        <w:tab/>
        <w:t xml:space="preserve">"מנהל קרן" </w:t>
      </w:r>
      <w:r>
        <w:rPr>
          <w:rStyle w:val="default"/>
          <w:rFonts w:cs="FrankRuehl"/>
          <w:sz w:val="20"/>
          <w:rtl/>
        </w:rPr>
        <w:t>–</w:t>
      </w:r>
      <w:r>
        <w:rPr>
          <w:rStyle w:val="default"/>
          <w:rFonts w:cs="FrankRuehl" w:hint="cs"/>
          <w:sz w:val="20"/>
          <w:rtl/>
        </w:rPr>
        <w:t xml:space="preserve"> כמשמעותו בסעיף 4 לחוק השקעות משותפות בנאמנות;</w:t>
      </w:r>
    </w:p>
    <w:p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 xml:space="preserve">"נייר ערך" </w:t>
      </w:r>
      <w:r>
        <w:rPr>
          <w:rStyle w:val="default"/>
          <w:rFonts w:cs="FrankRuehl"/>
          <w:sz w:val="20"/>
          <w:rtl/>
        </w:rPr>
        <w:t>–</w:t>
      </w:r>
      <w:r>
        <w:rPr>
          <w:rStyle w:val="default"/>
          <w:rFonts w:cs="FrankRuehl" w:hint="cs"/>
          <w:sz w:val="20"/>
          <w:rtl/>
        </w:rPr>
        <w:t xml:space="preserve"> כהגדרתו בחוק ניירות ערך, התשכ"ח-1967;</w:t>
      </w:r>
    </w:p>
    <w:p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 xml:space="preserve">"נייר ערך חוץ" </w:t>
      </w:r>
      <w:r>
        <w:rPr>
          <w:rStyle w:val="default"/>
          <w:rFonts w:cs="FrankRuehl"/>
          <w:sz w:val="20"/>
          <w:rtl/>
        </w:rPr>
        <w:t>–</w:t>
      </w:r>
      <w:r>
        <w:rPr>
          <w:rStyle w:val="default"/>
          <w:rFonts w:cs="FrankRuehl" w:hint="cs"/>
          <w:sz w:val="20"/>
          <w:rtl/>
        </w:rPr>
        <w:t xml:space="preserve"> נייר ערך של חברה שהואגדה מחוץ לישראל;</w:t>
      </w:r>
    </w:p>
    <w:p w:rsidR="00202D55" w:rsidRDefault="00D92C64" w:rsidP="00D92C64">
      <w:pPr>
        <w:pStyle w:val="P00"/>
        <w:spacing w:before="72"/>
        <w:ind w:left="0" w:right="1134"/>
        <w:rPr>
          <w:rStyle w:val="default"/>
          <w:rFonts w:cs="FrankRuehl" w:hint="cs"/>
          <w:sz w:val="20"/>
          <w:rtl/>
        </w:rPr>
      </w:pPr>
      <w:r>
        <w:rPr>
          <w:rStyle w:val="default"/>
          <w:rFonts w:cs="FrankRuehl" w:hint="cs"/>
          <w:sz w:val="20"/>
          <w:rtl/>
        </w:rPr>
        <w:tab/>
        <w:t>"קרן</w:t>
      </w:r>
      <w:r w:rsidR="00202D55">
        <w:rPr>
          <w:rStyle w:val="default"/>
          <w:rFonts w:cs="FrankRuehl" w:hint="cs"/>
          <w:sz w:val="20"/>
          <w:rtl/>
        </w:rPr>
        <w:t xml:space="preserve">" </w:t>
      </w:r>
      <w:r w:rsidR="00202D55">
        <w:rPr>
          <w:rStyle w:val="default"/>
          <w:rFonts w:cs="FrankRuehl"/>
          <w:sz w:val="20"/>
          <w:rtl/>
        </w:rPr>
        <w:t>–</w:t>
      </w:r>
      <w:r w:rsidR="00202D55">
        <w:rPr>
          <w:rStyle w:val="default"/>
          <w:rFonts w:cs="FrankRuehl" w:hint="cs"/>
          <w:sz w:val="20"/>
          <w:rtl/>
        </w:rPr>
        <w:t xml:space="preserve"> קרן </w:t>
      </w:r>
      <w:r>
        <w:rPr>
          <w:rStyle w:val="default"/>
          <w:rFonts w:cs="FrankRuehl" w:hint="cs"/>
          <w:sz w:val="20"/>
          <w:rtl/>
        </w:rPr>
        <w:t xml:space="preserve">כהגדרתה בחוק </w:t>
      </w:r>
      <w:r w:rsidR="00202D55">
        <w:rPr>
          <w:rStyle w:val="default"/>
          <w:rFonts w:cs="FrankRuehl" w:hint="cs"/>
          <w:sz w:val="20"/>
          <w:rtl/>
        </w:rPr>
        <w:t>השקעות משותפות בנאמנות;</w:t>
      </w:r>
    </w:p>
    <w:p w:rsidR="00202D55" w:rsidRDefault="00202D55" w:rsidP="00D92C64">
      <w:pPr>
        <w:pStyle w:val="P00"/>
        <w:spacing w:before="72"/>
        <w:ind w:left="0" w:right="1134"/>
        <w:rPr>
          <w:rStyle w:val="default"/>
          <w:rFonts w:cs="FrankRuehl" w:hint="cs"/>
          <w:sz w:val="20"/>
          <w:rtl/>
        </w:rPr>
      </w:pPr>
      <w:r>
        <w:rPr>
          <w:rStyle w:val="default"/>
          <w:rFonts w:cs="FrankRuehl" w:hint="cs"/>
          <w:sz w:val="20"/>
          <w:rtl/>
        </w:rPr>
        <w:tab/>
        <w:t>"</w:t>
      </w:r>
      <w:r w:rsidR="00D92C64">
        <w:rPr>
          <w:rStyle w:val="default"/>
          <w:rFonts w:cs="FrankRuehl" w:hint="cs"/>
          <w:sz w:val="20"/>
          <w:rtl/>
        </w:rPr>
        <w:t xml:space="preserve">תעודה על מטבע" </w:t>
      </w:r>
      <w:r w:rsidR="00D92C64">
        <w:rPr>
          <w:rStyle w:val="default"/>
          <w:rFonts w:cs="FrankRuehl"/>
          <w:sz w:val="20"/>
          <w:rtl/>
        </w:rPr>
        <w:t>–</w:t>
      </w:r>
      <w:r w:rsidR="00D92C64">
        <w:rPr>
          <w:rStyle w:val="default"/>
          <w:rFonts w:cs="FrankRuehl" w:hint="cs"/>
          <w:sz w:val="20"/>
          <w:rtl/>
        </w:rPr>
        <w:t xml:space="preserve"> תעודת סל העוקבת אחר שערי המטבע ונושאת ריבית כקבוע בתשקיף ההנפקה, שמחירה נגזר מנכס הבסיס שהוא מטבע</w:t>
      </w:r>
      <w:r>
        <w:rPr>
          <w:rStyle w:val="default"/>
          <w:rFonts w:cs="FrankRuehl" w:hint="cs"/>
          <w:sz w:val="20"/>
          <w:rtl/>
        </w:rPr>
        <w:t>;</w:t>
      </w:r>
    </w:p>
    <w:p w:rsidR="00D92C64" w:rsidRDefault="00D92C64" w:rsidP="00D92C64">
      <w:pPr>
        <w:pStyle w:val="P00"/>
        <w:spacing w:before="72"/>
        <w:ind w:left="0" w:right="1134"/>
        <w:rPr>
          <w:rStyle w:val="default"/>
          <w:rFonts w:cs="FrankRuehl" w:hint="cs"/>
          <w:sz w:val="20"/>
          <w:rtl/>
        </w:rPr>
      </w:pPr>
      <w:r>
        <w:rPr>
          <w:rStyle w:val="default"/>
          <w:rFonts w:cs="FrankRuehl" w:hint="cs"/>
          <w:sz w:val="20"/>
          <w:rtl/>
        </w:rPr>
        <w:tab/>
        <w:t xml:space="preserve">"תעודת סל" </w:t>
      </w:r>
      <w:r>
        <w:rPr>
          <w:rStyle w:val="default"/>
          <w:rFonts w:cs="FrankRuehl"/>
          <w:sz w:val="20"/>
          <w:rtl/>
        </w:rPr>
        <w:t>–</w:t>
      </w:r>
      <w:r>
        <w:rPr>
          <w:rStyle w:val="default"/>
          <w:rFonts w:cs="FrankRuehl" w:hint="cs"/>
          <w:sz w:val="20"/>
          <w:rtl/>
        </w:rPr>
        <w:t xml:space="preserve"> נייר ערך שנכס הבסיס שלו הוא מדד המתייחס לקבוצת ניירות ערך או המתייחס לנכס בסיס אחר.</w:t>
      </w:r>
    </w:p>
    <w:p w:rsidR="007464A9" w:rsidRDefault="007464A9" w:rsidP="00D92C64">
      <w:pPr>
        <w:pStyle w:val="P00"/>
        <w:spacing w:before="72"/>
        <w:ind w:left="0" w:right="1134"/>
        <w:rPr>
          <w:rStyle w:val="default"/>
          <w:rFonts w:cs="FrankRuehl" w:hint="cs"/>
          <w:sz w:val="20"/>
          <w:rtl/>
        </w:rPr>
      </w:pPr>
      <w:bookmarkStart w:id="1" w:name="Seif2"/>
      <w:bookmarkEnd w:id="1"/>
      <w:r w:rsidRPr="00536FF0">
        <w:rPr>
          <w:rFonts w:cs="Miriam"/>
          <w:lang w:val="he-IL"/>
        </w:rPr>
        <w:pict>
          <v:rect id="_x0000_s1474" style="position:absolute;left:0;text-align:left;margin-left:464.35pt;margin-top:7.1pt;width:75.05pt;height:13.05pt;z-index:251657728" o:allowincell="f" filled="f" stroked="f" strokecolor="lime" strokeweight=".25pt">
            <v:textbox style="mso-next-textbox:#_x0000_s1474" inset="0,0,0,0">
              <w:txbxContent>
                <w:p w:rsidR="007464A9" w:rsidRDefault="00202D55" w:rsidP="007464A9">
                  <w:pPr>
                    <w:spacing w:line="160" w:lineRule="exact"/>
                    <w:rPr>
                      <w:rFonts w:cs="Miriam" w:hint="cs"/>
                      <w:noProof/>
                      <w:sz w:val="18"/>
                      <w:szCs w:val="18"/>
                      <w:rtl/>
                    </w:rPr>
                  </w:pPr>
                  <w:r>
                    <w:rPr>
                      <w:rFonts w:cs="Miriam" w:hint="cs"/>
                      <w:sz w:val="18"/>
                      <w:szCs w:val="18"/>
                      <w:rtl/>
                    </w:rPr>
                    <w:t>חובת דיווח</w:t>
                  </w:r>
                </w:p>
              </w:txbxContent>
            </v:textbox>
            <w10:anchorlock/>
          </v:rect>
        </w:pict>
      </w:r>
      <w:r w:rsidR="00202D55">
        <w:rPr>
          <w:rStyle w:val="big-number"/>
          <w:rFonts w:cs="Miriam" w:hint="cs"/>
          <w:sz w:val="20"/>
          <w:rtl/>
        </w:rPr>
        <w:t>2</w:t>
      </w:r>
      <w:r w:rsidRPr="00536FF0">
        <w:rPr>
          <w:rStyle w:val="big-number"/>
          <w:rFonts w:cs="FrankRuehl"/>
          <w:sz w:val="20"/>
          <w:szCs w:val="26"/>
          <w:rtl/>
        </w:rPr>
        <w:t>.</w:t>
      </w:r>
      <w:r w:rsidRPr="00536FF0">
        <w:rPr>
          <w:rStyle w:val="big-number"/>
          <w:rFonts w:cs="FrankRuehl"/>
          <w:sz w:val="20"/>
          <w:szCs w:val="26"/>
          <w:rtl/>
        </w:rPr>
        <w:tab/>
      </w:r>
      <w:r w:rsidR="00202D55">
        <w:rPr>
          <w:rStyle w:val="default"/>
          <w:rFonts w:cs="FrankRuehl" w:hint="cs"/>
          <w:sz w:val="20"/>
          <w:rtl/>
        </w:rPr>
        <w:t>(א)</w:t>
      </w:r>
      <w:r w:rsidR="00202D55">
        <w:rPr>
          <w:rStyle w:val="default"/>
          <w:rFonts w:cs="FrankRuehl" w:hint="cs"/>
          <w:sz w:val="20"/>
          <w:rtl/>
        </w:rPr>
        <w:tab/>
      </w:r>
      <w:r w:rsidR="00D92C64">
        <w:rPr>
          <w:rStyle w:val="default"/>
          <w:rFonts w:cs="FrankRuehl" w:hint="cs"/>
          <w:sz w:val="20"/>
          <w:rtl/>
        </w:rPr>
        <w:t>מנהל קרן</w:t>
      </w:r>
      <w:r w:rsidR="00202D55">
        <w:rPr>
          <w:rStyle w:val="default"/>
          <w:rFonts w:cs="FrankRuehl" w:hint="cs"/>
          <w:sz w:val="20"/>
          <w:rtl/>
        </w:rPr>
        <w:t xml:space="preserve"> ידווח </w:t>
      </w:r>
      <w:r w:rsidR="004C0963">
        <w:rPr>
          <w:rStyle w:val="default"/>
          <w:rFonts w:cs="FrankRuehl" w:hint="cs"/>
          <w:sz w:val="20"/>
          <w:rtl/>
        </w:rPr>
        <w:t xml:space="preserve">לבנק ישראל </w:t>
      </w:r>
      <w:r w:rsidR="00202D55">
        <w:rPr>
          <w:rStyle w:val="default"/>
          <w:rFonts w:cs="FrankRuehl" w:hint="cs"/>
          <w:sz w:val="20"/>
          <w:rtl/>
        </w:rPr>
        <w:t xml:space="preserve">במתכונת ובמועדים הקבועים </w:t>
      </w:r>
      <w:r w:rsidR="00D92C64">
        <w:rPr>
          <w:rStyle w:val="default"/>
          <w:rFonts w:cs="FrankRuehl" w:hint="cs"/>
          <w:sz w:val="20"/>
          <w:rtl/>
        </w:rPr>
        <w:t>בטופס</w:t>
      </w:r>
      <w:r w:rsidR="00202D55">
        <w:rPr>
          <w:rStyle w:val="default"/>
          <w:rFonts w:cs="FrankRuehl" w:hint="cs"/>
          <w:sz w:val="20"/>
          <w:rtl/>
        </w:rPr>
        <w:t xml:space="preserve"> </w:t>
      </w:r>
      <w:r w:rsidR="00D92C64">
        <w:rPr>
          <w:rStyle w:val="default"/>
          <w:rFonts w:cs="FrankRuehl" w:hint="cs"/>
          <w:sz w:val="20"/>
          <w:rtl/>
        </w:rPr>
        <w:t>ש</w:t>
      </w:r>
      <w:r w:rsidR="00202D55">
        <w:rPr>
          <w:rStyle w:val="default"/>
          <w:rFonts w:cs="FrankRuehl" w:hint="cs"/>
          <w:sz w:val="20"/>
          <w:rtl/>
        </w:rPr>
        <w:t>בתוספת</w:t>
      </w:r>
      <w:r w:rsidR="00D92C64">
        <w:rPr>
          <w:rStyle w:val="default"/>
          <w:rFonts w:cs="FrankRuehl" w:hint="cs"/>
          <w:sz w:val="20"/>
          <w:rtl/>
        </w:rPr>
        <w:t xml:space="preserve"> (להלן </w:t>
      </w:r>
      <w:r w:rsidR="00D92C64">
        <w:rPr>
          <w:rStyle w:val="default"/>
          <w:rFonts w:cs="FrankRuehl"/>
          <w:sz w:val="20"/>
          <w:rtl/>
        </w:rPr>
        <w:t>–</w:t>
      </w:r>
      <w:r w:rsidR="00D92C64">
        <w:rPr>
          <w:rStyle w:val="default"/>
          <w:rFonts w:cs="FrankRuehl" w:hint="cs"/>
          <w:sz w:val="20"/>
          <w:rtl/>
        </w:rPr>
        <w:t xml:space="preserve"> הטופס)</w:t>
      </w:r>
      <w:r w:rsidR="004C0963" w:rsidRPr="004C0963">
        <w:rPr>
          <w:rStyle w:val="default"/>
          <w:rFonts w:cs="FrankRuehl" w:hint="cs"/>
          <w:sz w:val="20"/>
          <w:rtl/>
        </w:rPr>
        <w:t xml:space="preserve">; הדיווח יימסר </w:t>
      </w:r>
      <w:r w:rsidR="00D92C64">
        <w:rPr>
          <w:rStyle w:val="default"/>
          <w:rFonts w:cs="FrankRuehl" w:hint="cs"/>
          <w:sz w:val="20"/>
          <w:rtl/>
        </w:rPr>
        <w:t>בדרך אלקטרונית כפי שיורה לו בנק ישראל</w:t>
      </w:r>
      <w:r w:rsidR="00202D55">
        <w:rPr>
          <w:rStyle w:val="default"/>
          <w:rFonts w:cs="FrankRuehl" w:hint="cs"/>
          <w:sz w:val="20"/>
          <w:rtl/>
        </w:rPr>
        <w:t>.</w:t>
      </w:r>
    </w:p>
    <w:p w:rsidR="00D92C64" w:rsidRDefault="00D92C64" w:rsidP="00D92C64">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על אף האמור בסעיף קטן (א) </w:t>
      </w:r>
      <w:r>
        <w:rPr>
          <w:rStyle w:val="default"/>
          <w:rFonts w:cs="FrankRuehl"/>
          <w:sz w:val="20"/>
          <w:rtl/>
        </w:rPr>
        <w:t>–</w:t>
      </w:r>
    </w:p>
    <w:p w:rsidR="00D92C64" w:rsidRDefault="00D92C64" w:rsidP="00D92C64">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הועברה קרן ממנהל קרן למנהל קרן חדש, ידווח מנהל הקרן החדש לפי הטופס על פעילות הקרן והתפלגות נכסיה לכל החודש שאליו מתייחס הדיווח; בטרם העברה כאמור של קרן, יודיע על כך מנהל הקרן בכתב לבנק ישראל לא יאוחר ממועד ההעברה, ויפרט בהודעתו את מועד העברת הקרן ואת שם מנהל הקרן החדש;</w:t>
      </w:r>
    </w:p>
    <w:p w:rsidR="00D92C64" w:rsidRDefault="00D92C64" w:rsidP="00D92C6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מוזגו שתיים או יותר קרנות, ידווח מנהל קרן שמוזגה (בפסקה זו ובטופס </w:t>
      </w:r>
      <w:r>
        <w:rPr>
          <w:rStyle w:val="default"/>
          <w:rFonts w:cs="FrankRuehl"/>
          <w:sz w:val="20"/>
          <w:rtl/>
        </w:rPr>
        <w:t>–</w:t>
      </w:r>
      <w:r>
        <w:rPr>
          <w:rStyle w:val="default"/>
          <w:rFonts w:cs="FrankRuehl" w:hint="cs"/>
          <w:sz w:val="20"/>
          <w:rtl/>
        </w:rPr>
        <w:t xml:space="preserve"> הקרן הנקלטת) לפי הטופס, במועד הקבוע בטופס, על פעילות הקרן עד המועד שבו מוזגה; מנהל הקרן שאליה מוזגו הקרנות הנקלטות (בפסקה זו ובטופס </w:t>
      </w:r>
      <w:r>
        <w:rPr>
          <w:rStyle w:val="default"/>
          <w:rFonts w:cs="FrankRuehl"/>
          <w:sz w:val="20"/>
          <w:rtl/>
        </w:rPr>
        <w:t>–</w:t>
      </w:r>
      <w:r>
        <w:rPr>
          <w:rStyle w:val="default"/>
          <w:rFonts w:cs="FrankRuehl" w:hint="cs"/>
          <w:sz w:val="20"/>
          <w:rtl/>
        </w:rPr>
        <w:t xml:space="preserve"> הקרן הקולטת) ידווח לפי הטופס על פעילות הקרן הקולטת והתפלגות נכסיה; בטרם מיזוג כאמור של קרנות, יודיע על כך מנהל הקרן הנקלטת בכתב לבנק ישראל לא יאוחר ממועד המיזוג, ויפרט בהודעתו את מועד מיזוג הקרנות ואת שם הקרן הקולטת ומספרה בבורסה לניירות ערך בתל אביב;</w:t>
      </w:r>
    </w:p>
    <w:p w:rsidR="00D92C64" w:rsidRDefault="00D92C64" w:rsidP="00D92C64">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פורקה קרן, ידווח מנהל הקרן לפי הטופס על פעילות הקרן והתפלגות נכסיה עד המועד שבו לא יהיו עוד נכסים בידי הקרן; בטרם פירוק כאמור של קרן, יודיע על כך מנהל הקרן בכתב לבנק ישראל לא יאוחר משלושים ימים לפני מועד תחילת הפירוק.</w:t>
      </w:r>
    </w:p>
    <w:p w:rsidR="007464A9" w:rsidRDefault="007464A9" w:rsidP="00D92C64">
      <w:pPr>
        <w:pStyle w:val="P00"/>
        <w:spacing w:before="72"/>
        <w:ind w:left="0" w:right="1134"/>
        <w:rPr>
          <w:rStyle w:val="default"/>
          <w:rFonts w:cs="FrankRuehl" w:hint="cs"/>
          <w:sz w:val="20"/>
          <w:rtl/>
        </w:rPr>
      </w:pPr>
      <w:bookmarkStart w:id="2" w:name="Seif3"/>
      <w:bookmarkEnd w:id="2"/>
      <w:r w:rsidRPr="00536FF0">
        <w:rPr>
          <w:rFonts w:cs="Miriam"/>
          <w:lang w:val="he-IL"/>
        </w:rPr>
        <w:pict>
          <v:rect id="_x0000_s1476" style="position:absolute;left:0;text-align:left;margin-left:464.35pt;margin-top:7.1pt;width:75.05pt;height:9.95pt;z-index:251658752" o:allowincell="f" filled="f" stroked="f" strokecolor="lime" strokeweight=".25pt">
            <v:textbox style="mso-next-textbox:#_x0000_s1476" inset="0,0,0,0">
              <w:txbxContent>
                <w:p w:rsidR="007464A9" w:rsidRDefault="00D92C64" w:rsidP="007464A9">
                  <w:pPr>
                    <w:spacing w:line="160" w:lineRule="exact"/>
                    <w:rPr>
                      <w:rFonts w:cs="Miriam" w:hint="cs"/>
                      <w:noProof/>
                      <w:sz w:val="18"/>
                      <w:szCs w:val="18"/>
                      <w:rtl/>
                    </w:rPr>
                  </w:pPr>
                  <w:r>
                    <w:rPr>
                      <w:rFonts w:cs="Miriam" w:hint="cs"/>
                      <w:sz w:val="18"/>
                      <w:szCs w:val="18"/>
                      <w:rtl/>
                    </w:rPr>
                    <w:t>תחילה</w:t>
                  </w:r>
                </w:p>
              </w:txbxContent>
            </v:textbox>
            <w10:anchorlock/>
          </v:rect>
        </w:pict>
      </w:r>
      <w:r w:rsidR="00006650">
        <w:rPr>
          <w:rStyle w:val="big-number"/>
          <w:rFonts w:cs="Miriam" w:hint="cs"/>
          <w:sz w:val="20"/>
          <w:rtl/>
        </w:rPr>
        <w:t>3</w:t>
      </w:r>
      <w:r w:rsidRPr="00536FF0">
        <w:rPr>
          <w:rStyle w:val="big-number"/>
          <w:rFonts w:cs="FrankRuehl"/>
          <w:sz w:val="20"/>
          <w:szCs w:val="26"/>
          <w:rtl/>
        </w:rPr>
        <w:t>.</w:t>
      </w:r>
      <w:r w:rsidRPr="00536FF0">
        <w:rPr>
          <w:rStyle w:val="big-number"/>
          <w:rFonts w:cs="FrankRuehl"/>
          <w:sz w:val="20"/>
          <w:szCs w:val="26"/>
          <w:rtl/>
        </w:rPr>
        <w:tab/>
      </w:r>
      <w:r w:rsidR="00D92C64">
        <w:rPr>
          <w:rStyle w:val="default"/>
          <w:rFonts w:cs="FrankRuehl" w:hint="cs"/>
          <w:sz w:val="20"/>
          <w:rtl/>
        </w:rPr>
        <w:t>תחילתו של צו זה 30 ימים מיום פרסומו</w:t>
      </w:r>
      <w:r w:rsidR="00D15D06">
        <w:rPr>
          <w:rStyle w:val="default"/>
          <w:rFonts w:cs="FrankRuehl" w:hint="cs"/>
          <w:sz w:val="20"/>
          <w:rtl/>
        </w:rPr>
        <w:t>.</w:t>
      </w:r>
    </w:p>
    <w:p w:rsidR="00E55C78" w:rsidRDefault="00E55C78">
      <w:pPr>
        <w:pStyle w:val="P00"/>
        <w:spacing w:before="72"/>
        <w:ind w:left="0" w:right="1134"/>
        <w:rPr>
          <w:rStyle w:val="default"/>
          <w:rFonts w:cs="FrankRuehl" w:hint="cs"/>
          <w:sz w:val="20"/>
          <w:rtl/>
        </w:rPr>
      </w:pPr>
    </w:p>
    <w:p w:rsidR="007464A9" w:rsidRPr="00D92C64" w:rsidRDefault="00D15D06" w:rsidP="00D92C64">
      <w:pPr>
        <w:pStyle w:val="medium2-header"/>
        <w:keepLines w:val="0"/>
        <w:spacing w:before="72"/>
        <w:ind w:left="0" w:right="1134"/>
        <w:rPr>
          <w:rFonts w:cs="FrankRuehl" w:hint="cs"/>
          <w:noProof/>
          <w:sz w:val="20"/>
          <w:rtl/>
        </w:rPr>
      </w:pPr>
      <w:bookmarkStart w:id="3" w:name="med0"/>
      <w:bookmarkEnd w:id="3"/>
      <w:r w:rsidRPr="00D92C64">
        <w:rPr>
          <w:rFonts w:cs="FrankRuehl" w:hint="cs"/>
          <w:noProof/>
          <w:sz w:val="20"/>
          <w:rtl/>
        </w:rPr>
        <w:t>תוספת</w:t>
      </w:r>
    </w:p>
    <w:p w:rsidR="007464A9" w:rsidRDefault="00D15D06" w:rsidP="00D15D06">
      <w:pPr>
        <w:pStyle w:val="P00"/>
        <w:spacing w:before="72"/>
        <w:ind w:left="0" w:right="1134"/>
        <w:jc w:val="center"/>
        <w:rPr>
          <w:rStyle w:val="default"/>
          <w:rFonts w:cs="FrankRuehl" w:hint="cs"/>
          <w:sz w:val="24"/>
          <w:szCs w:val="24"/>
          <w:rtl/>
        </w:rPr>
      </w:pPr>
      <w:r w:rsidRPr="00D15D06">
        <w:rPr>
          <w:rStyle w:val="default"/>
          <w:rFonts w:cs="FrankRuehl" w:hint="cs"/>
          <w:sz w:val="24"/>
          <w:szCs w:val="24"/>
          <w:rtl/>
        </w:rPr>
        <w:t>(סעיף 2</w:t>
      </w:r>
      <w:r w:rsidR="00D92C64">
        <w:rPr>
          <w:rStyle w:val="default"/>
          <w:rFonts w:cs="FrankRuehl" w:hint="cs"/>
          <w:sz w:val="24"/>
          <w:szCs w:val="24"/>
          <w:rtl/>
        </w:rPr>
        <w:t>(א)</w:t>
      </w:r>
      <w:r w:rsidRPr="00D15D06">
        <w:rPr>
          <w:rStyle w:val="default"/>
          <w:rFonts w:cs="FrankRuehl" w:hint="cs"/>
          <w:sz w:val="24"/>
          <w:szCs w:val="24"/>
          <w:rtl/>
        </w:rPr>
        <w:t>)</w:t>
      </w:r>
    </w:p>
    <w:p w:rsidR="00D92C64" w:rsidRPr="00D92C64" w:rsidRDefault="00D92C64" w:rsidP="00D15D06">
      <w:pPr>
        <w:pStyle w:val="P00"/>
        <w:spacing w:before="72"/>
        <w:ind w:left="0" w:right="1134"/>
        <w:jc w:val="center"/>
        <w:rPr>
          <w:rStyle w:val="default"/>
          <w:rFonts w:cs="FrankRuehl" w:hint="cs"/>
          <w:b/>
          <w:bCs/>
          <w:sz w:val="22"/>
          <w:szCs w:val="22"/>
          <w:rtl/>
        </w:rPr>
      </w:pPr>
      <w:r w:rsidRPr="00D92C64">
        <w:rPr>
          <w:rStyle w:val="default"/>
          <w:rFonts w:cs="FrankRuehl" w:hint="cs"/>
          <w:b/>
          <w:bCs/>
          <w:sz w:val="22"/>
          <w:szCs w:val="22"/>
          <w:rtl/>
        </w:rPr>
        <w:t>טופס דיווח על פעילות קרן נאמנות ועל התפלגות נכסיה</w:t>
      </w:r>
    </w:p>
    <w:p w:rsidR="00D92C64" w:rsidRPr="00D15D06" w:rsidRDefault="00D92C64" w:rsidP="00D15D06">
      <w:pPr>
        <w:pStyle w:val="P00"/>
        <w:spacing w:before="72"/>
        <w:ind w:left="0" w:right="1134"/>
        <w:jc w:val="center"/>
        <w:rPr>
          <w:rStyle w:val="default"/>
          <w:rFonts w:cs="FrankRuehl" w:hint="cs"/>
          <w:sz w:val="24"/>
          <w:szCs w:val="24"/>
          <w:rtl/>
        </w:rPr>
      </w:pPr>
      <w:r>
        <w:rPr>
          <w:rStyle w:val="default"/>
          <w:rFonts w:cs="FrankRuehl" w:hint="cs"/>
          <w:sz w:val="24"/>
          <w:szCs w:val="24"/>
          <w:rtl/>
        </w:rPr>
        <w:t>(לחודש שהסתיים ב-</w:t>
      </w:r>
      <w:r>
        <w:rPr>
          <w:rStyle w:val="default"/>
          <w:rFonts w:cs="FrankRuehl"/>
          <w:sz w:val="24"/>
          <w:szCs w:val="24"/>
          <w:rtl/>
        </w:rPr>
        <w:fldChar w:fldCharType="begin">
          <w:ffData>
            <w:name w:val="Text1"/>
            <w:enabled/>
            <w:calcOnExit w:val="0"/>
            <w:textInput/>
          </w:ffData>
        </w:fldChar>
      </w:r>
      <w:bookmarkStart w:id="4" w:name="Text1"/>
      <w:r>
        <w:rPr>
          <w:rStyle w:val="default"/>
          <w:rFonts w:cs="FrankRuehl"/>
          <w:sz w:val="24"/>
          <w:szCs w:val="24"/>
          <w:rtl/>
        </w:rPr>
        <w:instrText xml:space="preserve"> </w:instrText>
      </w:r>
      <w:r>
        <w:rPr>
          <w:rStyle w:val="default"/>
          <w:rFonts w:cs="FrankRuehl" w:hint="cs"/>
          <w:sz w:val="24"/>
          <w:szCs w:val="24"/>
        </w:rPr>
        <w:instrText>FORMTEXT</w:instrText>
      </w:r>
      <w:r>
        <w:rPr>
          <w:rStyle w:val="default"/>
          <w:rFonts w:cs="FrankRuehl"/>
          <w:sz w:val="24"/>
          <w:szCs w:val="24"/>
          <w:rtl/>
        </w:rPr>
        <w:instrText xml:space="preserve"> </w:instrText>
      </w:r>
      <w:r w:rsidR="001D7EE0" w:rsidRPr="00D92C64">
        <w:rPr>
          <w:rFonts w:cs="FrankRuehl"/>
          <w:sz w:val="24"/>
          <w:szCs w:val="24"/>
        </w:rPr>
      </w:r>
      <w:r>
        <w:rPr>
          <w:rStyle w:val="default"/>
          <w:rFonts w:cs="FrankRuehl"/>
          <w:sz w:val="24"/>
          <w:szCs w:val="24"/>
          <w:rtl/>
        </w:rPr>
        <w:fldChar w:fldCharType="separate"/>
      </w:r>
      <w:r w:rsidR="00634B7C">
        <w:rPr>
          <w:rStyle w:val="default"/>
          <w:rFonts w:cs="FrankRuehl"/>
          <w:sz w:val="24"/>
          <w:szCs w:val="24"/>
          <w:rtl/>
        </w:rPr>
        <w:t> </w:t>
      </w:r>
      <w:r w:rsidR="00634B7C">
        <w:rPr>
          <w:rStyle w:val="default"/>
          <w:rFonts w:cs="FrankRuehl"/>
          <w:sz w:val="24"/>
          <w:szCs w:val="24"/>
          <w:rtl/>
        </w:rPr>
        <w:t> </w:t>
      </w:r>
      <w:r w:rsidR="00634B7C">
        <w:rPr>
          <w:rStyle w:val="default"/>
          <w:rFonts w:cs="FrankRuehl"/>
          <w:sz w:val="24"/>
          <w:szCs w:val="24"/>
          <w:rtl/>
        </w:rPr>
        <w:t> </w:t>
      </w:r>
      <w:r w:rsidR="00634B7C">
        <w:rPr>
          <w:rStyle w:val="default"/>
          <w:rFonts w:cs="FrankRuehl"/>
          <w:sz w:val="24"/>
          <w:szCs w:val="24"/>
          <w:rtl/>
        </w:rPr>
        <w:t> </w:t>
      </w:r>
      <w:r w:rsidR="00634B7C">
        <w:rPr>
          <w:rStyle w:val="default"/>
          <w:rFonts w:cs="FrankRuehl"/>
          <w:sz w:val="24"/>
          <w:szCs w:val="24"/>
          <w:rtl/>
        </w:rPr>
        <w:t> </w:t>
      </w:r>
      <w:r>
        <w:rPr>
          <w:rStyle w:val="default"/>
          <w:rFonts w:cs="FrankRuehl"/>
          <w:sz w:val="24"/>
          <w:szCs w:val="24"/>
          <w:rtl/>
        </w:rPr>
        <w:fldChar w:fldCharType="end"/>
      </w:r>
      <w:bookmarkEnd w:id="4"/>
      <w:r>
        <w:rPr>
          <w:rStyle w:val="default"/>
          <w:rFonts w:cs="FrankRuehl" w:hint="cs"/>
          <w:sz w:val="24"/>
          <w:szCs w:val="24"/>
          <w:rtl/>
        </w:rPr>
        <w:t>)</w:t>
      </w:r>
    </w:p>
    <w:p w:rsidR="007464A9" w:rsidRDefault="00D92C64">
      <w:pPr>
        <w:pStyle w:val="P00"/>
        <w:spacing w:before="72"/>
        <w:ind w:left="0" w:right="1134"/>
        <w:rPr>
          <w:rStyle w:val="default"/>
          <w:rFonts w:cs="FrankRuehl" w:hint="cs"/>
          <w:sz w:val="20"/>
          <w:rtl/>
        </w:rPr>
      </w:pPr>
      <w:r>
        <w:rPr>
          <w:rStyle w:val="default"/>
          <w:rFonts w:cs="FrankRuehl" w:hint="cs"/>
          <w:sz w:val="20"/>
          <w:rtl/>
        </w:rPr>
        <w:t xml:space="preserve">הדוח יימסר בעד כל חודש או חלקו, לפי העניין, לא יאוחר מ-10 ימים מתום החודש שאליו או אל </w:t>
      </w:r>
      <w:r>
        <w:rPr>
          <w:rStyle w:val="default"/>
          <w:rFonts w:cs="FrankRuehl" w:hint="cs"/>
          <w:sz w:val="20"/>
          <w:rtl/>
        </w:rPr>
        <w:lastRenderedPageBreak/>
        <w:t>חלקו מתייחס הדיווח. דיווח על ניירות ערך ייעשה לפי ערך השוק שלהם, ודיווח על יתרות כספים ייעשה במטבע ישראלי לפי השער היציג, והכול בסוף התקופה שאליה מתייחס הדיווח. הדיווח יהיה באלפי שקלים חדשים.</w:t>
      </w:r>
    </w:p>
    <w:p w:rsidR="00D92C64" w:rsidRDefault="00D92C64">
      <w:pPr>
        <w:pStyle w:val="P00"/>
        <w:spacing w:before="72"/>
        <w:ind w:left="0" w:right="1134"/>
        <w:rPr>
          <w:rStyle w:val="default"/>
          <w:rFonts w:cs="FrankRuehl" w:hint="cs"/>
          <w:sz w:val="20"/>
          <w:rtl/>
        </w:rPr>
      </w:pPr>
      <w:r w:rsidRPr="002029DE">
        <w:rPr>
          <w:rStyle w:val="default"/>
          <w:rFonts w:cs="FrankRuehl" w:hint="cs"/>
          <w:b/>
          <w:bCs/>
          <w:sz w:val="22"/>
          <w:szCs w:val="22"/>
          <w:rtl/>
        </w:rPr>
        <w:t>פרטי קרן הנאמנות</w:t>
      </w:r>
      <w:r>
        <w:rPr>
          <w:rStyle w:val="default"/>
          <w:rFonts w:cs="FrankRuehl" w:hint="cs"/>
          <w:sz w:val="20"/>
          <w:rtl/>
        </w:rPr>
        <w:t>:</w:t>
      </w:r>
    </w:p>
    <w:p w:rsidR="00D92C64" w:rsidRPr="002029DE" w:rsidRDefault="002029DE" w:rsidP="00C4293B">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5387"/>
        </w:tabs>
        <w:spacing w:before="72"/>
        <w:ind w:left="0" w:right="1134"/>
        <w:rPr>
          <w:rStyle w:val="default"/>
          <w:rFonts w:cs="FrankRuehl" w:hint="cs"/>
          <w:sz w:val="22"/>
          <w:szCs w:val="22"/>
          <w:rtl/>
        </w:rPr>
      </w:pPr>
      <w:r w:rsidRPr="002029DE">
        <w:rPr>
          <w:rStyle w:val="default"/>
          <w:rFonts w:cs="FrankRuehl" w:hint="cs"/>
          <w:sz w:val="22"/>
          <w:szCs w:val="22"/>
          <w:rtl/>
        </w:rPr>
        <w:tab/>
        <w:t>שם סעיף דיווח</w:t>
      </w:r>
      <w:r w:rsidRPr="002029DE">
        <w:rPr>
          <w:rStyle w:val="default"/>
          <w:rFonts w:cs="FrankRuehl" w:hint="cs"/>
          <w:sz w:val="22"/>
          <w:szCs w:val="22"/>
          <w:rtl/>
        </w:rPr>
        <w:tab/>
        <w:t>קוד בנק ישראל</w:t>
      </w:r>
    </w:p>
    <w:p w:rsidR="002029DE" w:rsidRDefault="002029DE" w:rsidP="00C4293B">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sz w:val="20"/>
          <w:rtl/>
        </w:rPr>
      </w:pPr>
      <w:r>
        <w:rPr>
          <w:rStyle w:val="default"/>
          <w:rFonts w:cs="FrankRuehl" w:hint="cs"/>
          <w:sz w:val="20"/>
          <w:rtl/>
        </w:rPr>
        <w:t>תאריך דיווח</w:t>
      </w:r>
      <w:r>
        <w:rPr>
          <w:rStyle w:val="default"/>
          <w:rFonts w:cs="FrankRuehl" w:hint="cs"/>
          <w:sz w:val="20"/>
          <w:rtl/>
        </w:rPr>
        <w:tab/>
      </w:r>
      <w:r>
        <w:rPr>
          <w:rStyle w:val="default"/>
          <w:rFonts w:cs="FrankRuehl"/>
          <w:sz w:val="20"/>
        </w:rPr>
        <w:t>DATE</w:t>
      </w:r>
    </w:p>
    <w:p w:rsidR="002029DE" w:rsidRDefault="002029DE" w:rsidP="00C4293B">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sz w:val="20"/>
          <w:rtl/>
        </w:rPr>
      </w:pPr>
      <w:r>
        <w:rPr>
          <w:rStyle w:val="default"/>
          <w:rFonts w:cs="FrankRuehl" w:hint="cs"/>
          <w:sz w:val="20"/>
          <w:rtl/>
        </w:rPr>
        <w:t>מספר הקרן בבורסה</w:t>
      </w:r>
      <w:r>
        <w:rPr>
          <w:rStyle w:val="default"/>
          <w:rFonts w:cs="FrankRuehl" w:hint="cs"/>
          <w:sz w:val="20"/>
          <w:rtl/>
        </w:rPr>
        <w:tab/>
      </w:r>
      <w:r>
        <w:rPr>
          <w:rStyle w:val="default"/>
          <w:rFonts w:cs="FrankRuehl"/>
          <w:sz w:val="20"/>
        </w:rPr>
        <w:t>BURSA</w:t>
      </w:r>
    </w:p>
    <w:p w:rsidR="002029DE" w:rsidRDefault="002029DE" w:rsidP="00C4293B">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sz w:val="20"/>
          <w:rtl/>
        </w:rPr>
      </w:pPr>
      <w:r>
        <w:rPr>
          <w:rStyle w:val="default"/>
          <w:rFonts w:cs="FrankRuehl" w:hint="cs"/>
          <w:sz w:val="20"/>
          <w:rtl/>
        </w:rPr>
        <w:t>שם החברה המנהלת</w:t>
      </w:r>
      <w:r>
        <w:rPr>
          <w:rStyle w:val="default"/>
          <w:rFonts w:cs="FrankRuehl" w:hint="cs"/>
          <w:sz w:val="20"/>
          <w:rtl/>
        </w:rPr>
        <w:tab/>
      </w:r>
      <w:r>
        <w:rPr>
          <w:rStyle w:val="default"/>
          <w:rFonts w:cs="FrankRuehl"/>
          <w:sz w:val="20"/>
        </w:rPr>
        <w:t>MNGT_NAME</w:t>
      </w:r>
    </w:p>
    <w:p w:rsidR="002029DE" w:rsidRDefault="002029DE" w:rsidP="00C4293B">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sz w:val="20"/>
          <w:rtl/>
        </w:rPr>
      </w:pPr>
      <w:r>
        <w:rPr>
          <w:rStyle w:val="default"/>
          <w:rFonts w:cs="FrankRuehl" w:hint="cs"/>
          <w:sz w:val="20"/>
          <w:rtl/>
        </w:rPr>
        <w:t>מספר החברה המנהלת</w:t>
      </w:r>
      <w:r>
        <w:rPr>
          <w:rStyle w:val="default"/>
          <w:rFonts w:cs="FrankRuehl" w:hint="cs"/>
          <w:sz w:val="20"/>
          <w:rtl/>
        </w:rPr>
        <w:tab/>
      </w:r>
      <w:r>
        <w:rPr>
          <w:rStyle w:val="default"/>
          <w:rFonts w:cs="FrankRuehl"/>
          <w:sz w:val="20"/>
        </w:rPr>
        <w:t>MNGT_NUMB</w:t>
      </w:r>
    </w:p>
    <w:p w:rsidR="002029DE" w:rsidRDefault="002029DE">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r>
      <w:r w:rsidRPr="00C4293B">
        <w:rPr>
          <w:rStyle w:val="default"/>
          <w:rFonts w:cs="FrankRuehl" w:hint="cs"/>
          <w:b/>
          <w:bCs/>
          <w:sz w:val="22"/>
          <w:szCs w:val="22"/>
          <w:rtl/>
        </w:rPr>
        <w:t>נכסים צמודי מדד</w:t>
      </w:r>
    </w:p>
    <w:p w:rsidR="002029DE" w:rsidRPr="00C4293B" w:rsidRDefault="00C4293B" w:rsidP="00C4293B">
      <w:pPr>
        <w:pStyle w:val="P00"/>
        <w:pBdr>
          <w:bottom w:val="single" w:sz="4" w:space="1" w:color="auto"/>
        </w:pBdr>
        <w:tabs>
          <w:tab w:val="clear" w:pos="624"/>
          <w:tab w:val="clear" w:pos="1021"/>
          <w:tab w:val="clear" w:pos="1474"/>
          <w:tab w:val="clear" w:pos="1928"/>
          <w:tab w:val="clear" w:pos="2381"/>
          <w:tab w:val="clear" w:pos="6259"/>
          <w:tab w:val="center" w:pos="2835"/>
          <w:tab w:val="center" w:pos="6521"/>
        </w:tabs>
        <w:spacing w:before="72"/>
        <w:ind w:left="0" w:right="1134"/>
        <w:rPr>
          <w:rStyle w:val="default"/>
          <w:rFonts w:cs="FrankRuehl" w:hint="cs"/>
          <w:sz w:val="22"/>
          <w:szCs w:val="22"/>
          <w:rtl/>
        </w:rPr>
      </w:pPr>
      <w:r w:rsidRPr="00C4293B">
        <w:rPr>
          <w:rStyle w:val="default"/>
          <w:rFonts w:cs="FrankRuehl" w:hint="cs"/>
          <w:sz w:val="22"/>
          <w:szCs w:val="22"/>
          <w:rtl/>
        </w:rPr>
        <w:tab/>
        <w:t>שם סעיף הדיווח</w:t>
      </w:r>
      <w:r w:rsidRPr="00C4293B">
        <w:rPr>
          <w:rStyle w:val="default"/>
          <w:rFonts w:cs="FrankRuehl" w:hint="cs"/>
          <w:sz w:val="22"/>
          <w:szCs w:val="22"/>
          <w:rtl/>
        </w:rPr>
        <w:tab/>
        <w:t>קוד בנק ישראל</w:t>
      </w:r>
    </w:p>
    <w:p w:rsidR="00C4293B" w:rsidRDefault="00C4293B" w:rsidP="00C4293B">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איגרות חוב ממשלתיות צמודות מדד בריבית קבועה</w:t>
      </w:r>
      <w:r>
        <w:rPr>
          <w:rStyle w:val="default"/>
          <w:rFonts w:cs="FrankRuehl" w:hint="cs"/>
          <w:sz w:val="20"/>
          <w:rtl/>
        </w:rPr>
        <w:tab/>
      </w:r>
      <w:r>
        <w:rPr>
          <w:rStyle w:val="default"/>
          <w:rFonts w:cs="FrankRuehl"/>
          <w:sz w:val="20"/>
        </w:rPr>
        <w:t>C1AA</w:t>
      </w:r>
    </w:p>
    <w:p w:rsidR="00C4293B" w:rsidRDefault="00C4293B" w:rsidP="00C4293B">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איגרות חוב ממשלתיות צמודות מדד בריבית משתנה</w:t>
      </w:r>
      <w:r>
        <w:rPr>
          <w:rStyle w:val="default"/>
          <w:rFonts w:cs="FrankRuehl" w:hint="cs"/>
          <w:sz w:val="20"/>
          <w:rtl/>
        </w:rPr>
        <w:tab/>
      </w:r>
      <w:r>
        <w:rPr>
          <w:rStyle w:val="default"/>
          <w:rFonts w:cs="FrankRuehl"/>
          <w:sz w:val="20"/>
        </w:rPr>
        <w:t>C1AB</w:t>
      </w:r>
    </w:p>
    <w:p w:rsidR="00C4293B" w:rsidRDefault="00C4293B" w:rsidP="00C4293B">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איגרות חוב קונצרניות צמודות מדד</w:t>
      </w:r>
      <w:r>
        <w:rPr>
          <w:rStyle w:val="default"/>
          <w:rFonts w:cs="FrankRuehl" w:hint="cs"/>
          <w:sz w:val="20"/>
          <w:rtl/>
        </w:rPr>
        <w:tab/>
      </w:r>
      <w:r>
        <w:rPr>
          <w:rStyle w:val="default"/>
          <w:rFonts w:cs="FrankRuehl"/>
          <w:sz w:val="20"/>
        </w:rPr>
        <w:t>C1AC</w:t>
      </w:r>
    </w:p>
    <w:p w:rsidR="00C4293B" w:rsidRDefault="00C4293B" w:rsidP="00C4293B">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sz w:val="20"/>
          <w:rtl/>
        </w:rPr>
      </w:pPr>
      <w:r>
        <w:rPr>
          <w:rStyle w:val="default"/>
          <w:rFonts w:cs="FrankRuehl" w:hint="cs"/>
          <w:sz w:val="20"/>
          <w:rtl/>
        </w:rPr>
        <w:t xml:space="preserve">איגרות חוב ברירה; לעניין זה, "איגרות חוב ברירה" </w:t>
      </w:r>
      <w:r>
        <w:rPr>
          <w:rStyle w:val="default"/>
          <w:rFonts w:cs="FrankRuehl"/>
          <w:sz w:val="20"/>
          <w:rtl/>
        </w:rPr>
        <w:t>–</w:t>
      </w:r>
      <w:r>
        <w:rPr>
          <w:rStyle w:val="default"/>
          <w:rFonts w:cs="FrankRuehl" w:hint="cs"/>
          <w:sz w:val="20"/>
          <w:rtl/>
        </w:rPr>
        <w:t xml:space="preserve"> איגרות חוב שבידי מחזיקן הברירה לדרוש תשלומן לפי הצמדה למדדים או נכסים שונים</w:t>
      </w:r>
      <w:r>
        <w:rPr>
          <w:rStyle w:val="default"/>
          <w:rFonts w:cs="FrankRuehl" w:hint="cs"/>
          <w:sz w:val="20"/>
          <w:rtl/>
        </w:rPr>
        <w:tab/>
      </w:r>
      <w:r>
        <w:rPr>
          <w:rStyle w:val="default"/>
          <w:rFonts w:cs="FrankRuehl"/>
          <w:sz w:val="20"/>
        </w:rPr>
        <w:t>C1E</w:t>
      </w:r>
    </w:p>
    <w:p w:rsidR="00C4293B" w:rsidRDefault="00C4293B" w:rsidP="00C4293B">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נכס אחר צמוד מדד</w:t>
      </w:r>
      <w:r>
        <w:rPr>
          <w:rStyle w:val="default"/>
          <w:rFonts w:cs="FrankRuehl" w:hint="cs"/>
          <w:sz w:val="20"/>
          <w:rtl/>
        </w:rPr>
        <w:tab/>
      </w:r>
      <w:r>
        <w:rPr>
          <w:rStyle w:val="default"/>
          <w:rFonts w:cs="FrankRuehl"/>
          <w:sz w:val="20"/>
        </w:rPr>
        <w:t>C1F</w:t>
      </w:r>
    </w:p>
    <w:p w:rsidR="00C4293B" w:rsidRDefault="00C4293B">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r>
      <w:r w:rsidRPr="00C4293B">
        <w:rPr>
          <w:rStyle w:val="default"/>
          <w:rFonts w:cs="FrankRuehl" w:hint="cs"/>
          <w:b/>
          <w:bCs/>
          <w:sz w:val="22"/>
          <w:szCs w:val="22"/>
          <w:rtl/>
        </w:rPr>
        <w:t>נכסים צמודי מטבע חוץ או נקובים במטבע חוץ</w:t>
      </w:r>
    </w:p>
    <w:p w:rsidR="00C4293B" w:rsidRPr="00C4293B" w:rsidRDefault="00C4293B" w:rsidP="00C4293B">
      <w:pPr>
        <w:pStyle w:val="P00"/>
        <w:pBdr>
          <w:bottom w:val="single" w:sz="4" w:space="1" w:color="auto"/>
        </w:pBdr>
        <w:tabs>
          <w:tab w:val="clear" w:pos="624"/>
          <w:tab w:val="clear" w:pos="1021"/>
          <w:tab w:val="clear" w:pos="1474"/>
          <w:tab w:val="clear" w:pos="1928"/>
          <w:tab w:val="clear" w:pos="2381"/>
          <w:tab w:val="clear" w:pos="6259"/>
          <w:tab w:val="center" w:pos="2835"/>
          <w:tab w:val="center" w:pos="6521"/>
        </w:tabs>
        <w:spacing w:before="72"/>
        <w:ind w:left="0" w:right="1134"/>
        <w:rPr>
          <w:rStyle w:val="default"/>
          <w:rFonts w:cs="FrankRuehl" w:hint="cs"/>
          <w:sz w:val="22"/>
          <w:szCs w:val="22"/>
          <w:rtl/>
        </w:rPr>
      </w:pPr>
      <w:r w:rsidRPr="00C4293B">
        <w:rPr>
          <w:rStyle w:val="default"/>
          <w:rFonts w:cs="FrankRuehl" w:hint="cs"/>
          <w:sz w:val="22"/>
          <w:szCs w:val="22"/>
          <w:rtl/>
        </w:rPr>
        <w:tab/>
        <w:t>שם סעיף הדיווח</w:t>
      </w:r>
      <w:r w:rsidRPr="00C4293B">
        <w:rPr>
          <w:rStyle w:val="default"/>
          <w:rFonts w:cs="FrankRuehl" w:hint="cs"/>
          <w:sz w:val="22"/>
          <w:szCs w:val="22"/>
          <w:rtl/>
        </w:rPr>
        <w:tab/>
        <w:t>קוד בנק ישראל</w:t>
      </w:r>
    </w:p>
    <w:p w:rsidR="00C4293B" w:rsidRDefault="00C4293B" w:rsidP="00C4293B">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מניות נקובות במטבע חוץ הנסחרות בישראל</w:t>
      </w:r>
      <w:r>
        <w:rPr>
          <w:rStyle w:val="default"/>
          <w:rFonts w:cs="FrankRuehl" w:hint="cs"/>
          <w:sz w:val="20"/>
          <w:rtl/>
        </w:rPr>
        <w:tab/>
      </w:r>
      <w:r>
        <w:rPr>
          <w:rStyle w:val="default"/>
          <w:rFonts w:cs="FrankRuehl"/>
          <w:sz w:val="20"/>
        </w:rPr>
        <w:t>C2A</w:t>
      </w:r>
    </w:p>
    <w:p w:rsidR="00C4293B" w:rsidRDefault="00C4293B" w:rsidP="00C4293B">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איגרות חוב ממשלתיות צמודות מטבע חוץ הנסחרות בישראל</w:t>
      </w:r>
      <w:r>
        <w:rPr>
          <w:rStyle w:val="default"/>
          <w:rFonts w:cs="FrankRuehl" w:hint="cs"/>
          <w:sz w:val="20"/>
          <w:rtl/>
        </w:rPr>
        <w:tab/>
      </w:r>
      <w:r>
        <w:rPr>
          <w:rStyle w:val="default"/>
          <w:rFonts w:cs="FrankRuehl"/>
          <w:sz w:val="20"/>
        </w:rPr>
        <w:t>C2BA</w:t>
      </w:r>
    </w:p>
    <w:p w:rsidR="00C4293B" w:rsidRDefault="00622081" w:rsidP="00622081">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sz w:val="20"/>
          <w:rtl/>
        </w:rPr>
      </w:pPr>
      <w:r>
        <w:rPr>
          <w:rStyle w:val="default"/>
          <w:rFonts w:cs="FrankRuehl" w:hint="cs"/>
          <w:sz w:val="20"/>
          <w:rtl/>
        </w:rPr>
        <w:t>איגרות חוב קונצרניות צמודות מטבע חוץ, למעט אירו, הנסחרות בישראל</w:t>
      </w:r>
      <w:r>
        <w:rPr>
          <w:rStyle w:val="default"/>
          <w:rFonts w:cs="FrankRuehl" w:hint="cs"/>
          <w:sz w:val="20"/>
          <w:rtl/>
        </w:rPr>
        <w:tab/>
      </w:r>
      <w:r>
        <w:rPr>
          <w:rStyle w:val="default"/>
          <w:rFonts w:cs="FrankRuehl"/>
          <w:sz w:val="20"/>
        </w:rPr>
        <w:t>C2BB</w:t>
      </w:r>
    </w:p>
    <w:p w:rsidR="00622081" w:rsidRDefault="00622081" w:rsidP="00C4293B">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איגרות חוב נקובות במטבע חוץ הנסחרות בישראל</w:t>
      </w:r>
      <w:r>
        <w:rPr>
          <w:rStyle w:val="default"/>
          <w:rFonts w:cs="FrankRuehl" w:hint="cs"/>
          <w:sz w:val="20"/>
          <w:rtl/>
        </w:rPr>
        <w:tab/>
      </w:r>
      <w:r>
        <w:rPr>
          <w:rStyle w:val="default"/>
          <w:rFonts w:cs="FrankRuehl"/>
          <w:sz w:val="20"/>
        </w:rPr>
        <w:t>C2C</w:t>
      </w:r>
    </w:p>
    <w:p w:rsidR="00622081" w:rsidRDefault="00622081" w:rsidP="00C4293B">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איגרות חוב צמודות אירו הנסחרות בישראל</w:t>
      </w:r>
      <w:r>
        <w:rPr>
          <w:rStyle w:val="default"/>
          <w:rFonts w:cs="FrankRuehl" w:hint="cs"/>
          <w:sz w:val="20"/>
          <w:rtl/>
        </w:rPr>
        <w:tab/>
      </w:r>
      <w:r>
        <w:rPr>
          <w:rStyle w:val="default"/>
          <w:rFonts w:cs="FrankRuehl"/>
          <w:sz w:val="20"/>
        </w:rPr>
        <w:t>C2H</w:t>
      </w:r>
    </w:p>
    <w:p w:rsidR="00622081" w:rsidRDefault="00622081" w:rsidP="00C4293B">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מטבע חוץ במזומן בישראל</w:t>
      </w:r>
      <w:r>
        <w:rPr>
          <w:rStyle w:val="default"/>
          <w:rFonts w:cs="FrankRuehl" w:hint="cs"/>
          <w:sz w:val="20"/>
          <w:rtl/>
        </w:rPr>
        <w:tab/>
      </w:r>
      <w:r>
        <w:rPr>
          <w:rStyle w:val="default"/>
          <w:rFonts w:cs="FrankRuehl"/>
          <w:sz w:val="20"/>
        </w:rPr>
        <w:t>C2D</w:t>
      </w:r>
    </w:p>
    <w:p w:rsidR="00622081" w:rsidRDefault="00622081" w:rsidP="00622081">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sz w:val="20"/>
          <w:rtl/>
        </w:rPr>
      </w:pPr>
      <w:r>
        <w:rPr>
          <w:rStyle w:val="default"/>
          <w:rFonts w:cs="FrankRuehl" w:hint="cs"/>
          <w:sz w:val="20"/>
          <w:rtl/>
        </w:rPr>
        <w:t>נכס אחר צמוד למטבע חוץ או נקוב במטבע חוץ בישראל או בחוץ לארץ</w:t>
      </w:r>
      <w:r>
        <w:rPr>
          <w:rStyle w:val="default"/>
          <w:rFonts w:cs="FrankRuehl" w:hint="cs"/>
          <w:sz w:val="20"/>
          <w:rtl/>
        </w:rPr>
        <w:tab/>
      </w:r>
      <w:r>
        <w:rPr>
          <w:rStyle w:val="default"/>
          <w:rFonts w:cs="FrankRuehl"/>
          <w:sz w:val="20"/>
        </w:rPr>
        <w:t>C2L</w:t>
      </w:r>
    </w:p>
    <w:p w:rsidR="00622081" w:rsidRDefault="00622081" w:rsidP="00C4293B">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מניות של חברות ישראליות הנסחרות בחוץ לארץ</w:t>
      </w:r>
      <w:r>
        <w:rPr>
          <w:rStyle w:val="default"/>
          <w:rFonts w:cs="FrankRuehl" w:hint="cs"/>
          <w:sz w:val="20"/>
          <w:rtl/>
        </w:rPr>
        <w:tab/>
      </w:r>
      <w:r>
        <w:rPr>
          <w:rStyle w:val="default"/>
          <w:rFonts w:cs="FrankRuehl"/>
          <w:sz w:val="20"/>
        </w:rPr>
        <w:t>C2EA</w:t>
      </w:r>
    </w:p>
    <w:p w:rsidR="00622081" w:rsidRDefault="00622081" w:rsidP="00C4293B">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מניות של חברות זרות הנסחרות בחוץ לארץ</w:t>
      </w:r>
      <w:r>
        <w:rPr>
          <w:rStyle w:val="default"/>
          <w:rFonts w:cs="FrankRuehl" w:hint="cs"/>
          <w:sz w:val="20"/>
          <w:rtl/>
        </w:rPr>
        <w:tab/>
      </w:r>
      <w:r>
        <w:rPr>
          <w:rStyle w:val="default"/>
          <w:rFonts w:cs="FrankRuehl"/>
          <w:sz w:val="20"/>
        </w:rPr>
        <w:t>C2FA</w:t>
      </w:r>
    </w:p>
    <w:p w:rsidR="00622081" w:rsidRDefault="00622081" w:rsidP="00622081">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sz w:val="20"/>
          <w:rtl/>
        </w:rPr>
      </w:pPr>
      <w:r>
        <w:rPr>
          <w:rStyle w:val="default"/>
          <w:rFonts w:cs="FrankRuehl" w:hint="cs"/>
          <w:sz w:val="20"/>
          <w:rtl/>
        </w:rPr>
        <w:t>איגרות חוב של חברות ישראליות ושל ממשלת ישראל הנסחרות בחוץ לארץ</w:t>
      </w:r>
      <w:r>
        <w:rPr>
          <w:rStyle w:val="default"/>
          <w:rFonts w:cs="FrankRuehl" w:hint="cs"/>
          <w:sz w:val="20"/>
          <w:rtl/>
        </w:rPr>
        <w:tab/>
      </w:r>
      <w:r>
        <w:rPr>
          <w:rStyle w:val="default"/>
          <w:rFonts w:cs="FrankRuehl"/>
          <w:sz w:val="20"/>
        </w:rPr>
        <w:t>C2J</w:t>
      </w:r>
    </w:p>
    <w:p w:rsidR="00622081" w:rsidRDefault="00622081" w:rsidP="00C4293B">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איגרות חוב של חברות זרות ושל ממשלות זרות הנסחרות בחוץ לארץ</w:t>
      </w:r>
      <w:r>
        <w:rPr>
          <w:rStyle w:val="default"/>
          <w:rFonts w:cs="FrankRuehl" w:hint="cs"/>
          <w:sz w:val="20"/>
          <w:rtl/>
        </w:rPr>
        <w:tab/>
      </w:r>
      <w:r>
        <w:rPr>
          <w:rStyle w:val="default"/>
          <w:rFonts w:cs="FrankRuehl"/>
          <w:sz w:val="20"/>
        </w:rPr>
        <w:t>C2G</w:t>
      </w:r>
    </w:p>
    <w:p w:rsidR="00622081" w:rsidRDefault="00622081" w:rsidP="00C4293B">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ניירות ערך המירים של חברות ישראליות הנסחרים בחוץ לארץ</w:t>
      </w:r>
      <w:r>
        <w:rPr>
          <w:rStyle w:val="default"/>
          <w:rFonts w:cs="FrankRuehl" w:hint="cs"/>
          <w:sz w:val="20"/>
          <w:rtl/>
        </w:rPr>
        <w:tab/>
      </w:r>
      <w:r>
        <w:rPr>
          <w:rStyle w:val="default"/>
          <w:rFonts w:cs="FrankRuehl"/>
          <w:sz w:val="20"/>
        </w:rPr>
        <w:t>C2EB</w:t>
      </w:r>
    </w:p>
    <w:p w:rsidR="00622081" w:rsidRDefault="00622081" w:rsidP="00C4293B">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ניירות ערך המירים של חברות זרות הנסחרים בחוץ לארץ</w:t>
      </w:r>
      <w:r>
        <w:rPr>
          <w:rStyle w:val="default"/>
          <w:rFonts w:cs="FrankRuehl" w:hint="cs"/>
          <w:sz w:val="20"/>
          <w:rtl/>
        </w:rPr>
        <w:tab/>
      </w:r>
      <w:r>
        <w:rPr>
          <w:rStyle w:val="default"/>
          <w:rFonts w:cs="FrankRuehl"/>
          <w:sz w:val="20"/>
        </w:rPr>
        <w:t>C2FB</w:t>
      </w:r>
    </w:p>
    <w:p w:rsidR="00622081" w:rsidRDefault="00622081" w:rsidP="0034230D">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sz w:val="20"/>
          <w:rtl/>
        </w:rPr>
      </w:pPr>
      <w:r>
        <w:rPr>
          <w:rStyle w:val="default"/>
          <w:rFonts w:cs="FrankRuehl" w:hint="cs"/>
          <w:sz w:val="20"/>
          <w:rtl/>
        </w:rPr>
        <w:t xml:space="preserve">יחידות או מניות </w:t>
      </w:r>
      <w:r w:rsidR="009B5263">
        <w:rPr>
          <w:rStyle w:val="default"/>
          <w:rFonts w:cs="FrankRuehl" w:hint="cs"/>
          <w:sz w:val="20"/>
          <w:rtl/>
        </w:rPr>
        <w:t xml:space="preserve">בקרנות חוץ; לעניין זה, "קרן חוץ" </w:t>
      </w:r>
      <w:r w:rsidR="009B5263">
        <w:rPr>
          <w:rStyle w:val="default"/>
          <w:rFonts w:cs="FrankRuehl"/>
          <w:sz w:val="20"/>
          <w:rtl/>
        </w:rPr>
        <w:t>–</w:t>
      </w:r>
      <w:r w:rsidR="009B5263">
        <w:rPr>
          <w:rStyle w:val="default"/>
          <w:rFonts w:cs="FrankRuehl" w:hint="cs"/>
          <w:sz w:val="20"/>
          <w:rtl/>
        </w:rPr>
        <w:t xml:space="preserve"> הסדר או תאגיד, שמטרתו השקעה משותפת בניירות ערך והפקת רווחים משותפת מהחזקתם ומכל עסקה בהם, שהוקם במדינת חוץ על פי דיניה; לעניין זה, "נייר ערך" </w:t>
      </w:r>
      <w:r w:rsidR="009B5263">
        <w:rPr>
          <w:rStyle w:val="default"/>
          <w:rFonts w:cs="FrankRuehl"/>
          <w:sz w:val="20"/>
          <w:rtl/>
        </w:rPr>
        <w:t>–</w:t>
      </w:r>
      <w:r w:rsidR="009B5263">
        <w:rPr>
          <w:rStyle w:val="default"/>
          <w:rFonts w:cs="FrankRuehl" w:hint="cs"/>
          <w:sz w:val="20"/>
          <w:rtl/>
        </w:rPr>
        <w:t xml:space="preserve"> לרבות אופציה וחוזה עתידי כהגדרתם בסעיף 64(ב) לחוק השקעות משותפות בנאמנות</w:t>
      </w:r>
      <w:r w:rsidR="009B5263">
        <w:rPr>
          <w:rStyle w:val="default"/>
          <w:rFonts w:cs="FrankRuehl" w:hint="cs"/>
          <w:sz w:val="20"/>
          <w:rtl/>
        </w:rPr>
        <w:tab/>
      </w:r>
      <w:r w:rsidR="009B5263">
        <w:rPr>
          <w:rStyle w:val="default"/>
          <w:rFonts w:cs="FrankRuehl"/>
          <w:sz w:val="20"/>
        </w:rPr>
        <w:t>C2FC</w:t>
      </w:r>
    </w:p>
    <w:p w:rsidR="009B5263" w:rsidRDefault="009B5263" w:rsidP="00C4293B">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פיקדונות במטבע חוץ או צמודי מטבע חוץ בישראל</w:t>
      </w:r>
      <w:r>
        <w:rPr>
          <w:rStyle w:val="default"/>
          <w:rFonts w:cs="FrankRuehl" w:hint="cs"/>
          <w:sz w:val="20"/>
          <w:rtl/>
        </w:rPr>
        <w:tab/>
      </w:r>
      <w:r>
        <w:rPr>
          <w:rStyle w:val="default"/>
          <w:rFonts w:cs="FrankRuehl"/>
          <w:sz w:val="20"/>
        </w:rPr>
        <w:t>C2M</w:t>
      </w:r>
    </w:p>
    <w:p w:rsidR="009B5263" w:rsidRDefault="009B5263" w:rsidP="00C4293B">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פיקדונות בחוץ לארץ</w:t>
      </w:r>
      <w:r w:rsidR="0034230D">
        <w:rPr>
          <w:rStyle w:val="default"/>
          <w:rFonts w:cs="FrankRuehl" w:hint="cs"/>
          <w:sz w:val="20"/>
          <w:rtl/>
        </w:rPr>
        <w:tab/>
      </w:r>
      <w:r w:rsidR="0034230D">
        <w:rPr>
          <w:rStyle w:val="default"/>
          <w:rFonts w:cs="FrankRuehl"/>
          <w:sz w:val="20"/>
        </w:rPr>
        <w:t>C2N</w:t>
      </w:r>
    </w:p>
    <w:p w:rsidR="00C4293B" w:rsidRDefault="0034230D">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r>
      <w:r w:rsidRPr="0034230D">
        <w:rPr>
          <w:rStyle w:val="default"/>
          <w:rFonts w:cs="FrankRuehl" w:hint="cs"/>
          <w:b/>
          <w:bCs/>
          <w:sz w:val="22"/>
          <w:szCs w:val="22"/>
          <w:rtl/>
        </w:rPr>
        <w:t>מניות, ניירות ערך המירים וקרנות בישראל</w:t>
      </w:r>
    </w:p>
    <w:p w:rsidR="0034230D" w:rsidRPr="00C4293B" w:rsidRDefault="0034230D" w:rsidP="0034230D">
      <w:pPr>
        <w:pStyle w:val="P00"/>
        <w:pBdr>
          <w:bottom w:val="single" w:sz="4" w:space="1" w:color="auto"/>
        </w:pBdr>
        <w:tabs>
          <w:tab w:val="clear" w:pos="624"/>
          <w:tab w:val="clear" w:pos="1021"/>
          <w:tab w:val="clear" w:pos="1474"/>
          <w:tab w:val="clear" w:pos="1928"/>
          <w:tab w:val="clear" w:pos="2381"/>
          <w:tab w:val="clear" w:pos="6259"/>
          <w:tab w:val="center" w:pos="2835"/>
          <w:tab w:val="center" w:pos="6521"/>
        </w:tabs>
        <w:spacing w:before="72"/>
        <w:ind w:left="0" w:right="1134"/>
        <w:rPr>
          <w:rStyle w:val="default"/>
          <w:rFonts w:cs="FrankRuehl" w:hint="cs"/>
          <w:sz w:val="22"/>
          <w:szCs w:val="22"/>
          <w:rtl/>
        </w:rPr>
      </w:pPr>
      <w:r w:rsidRPr="00C4293B">
        <w:rPr>
          <w:rStyle w:val="default"/>
          <w:rFonts w:cs="FrankRuehl" w:hint="cs"/>
          <w:sz w:val="22"/>
          <w:szCs w:val="22"/>
          <w:rtl/>
        </w:rPr>
        <w:tab/>
        <w:t>שם סעיף הדיווח</w:t>
      </w:r>
      <w:r w:rsidRPr="00C4293B">
        <w:rPr>
          <w:rStyle w:val="default"/>
          <w:rFonts w:cs="FrankRuehl" w:hint="cs"/>
          <w:sz w:val="22"/>
          <w:szCs w:val="22"/>
          <w:rtl/>
        </w:rPr>
        <w:tab/>
        <w:t>קוד בנק ישראל</w:t>
      </w:r>
    </w:p>
    <w:p w:rsidR="0034230D" w:rsidRDefault="0034230D" w:rsidP="0034230D">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מניות נסחרות בישראל</w:t>
      </w:r>
      <w:r>
        <w:rPr>
          <w:rStyle w:val="default"/>
          <w:rFonts w:cs="FrankRuehl" w:hint="cs"/>
          <w:sz w:val="20"/>
          <w:rtl/>
        </w:rPr>
        <w:tab/>
      </w:r>
      <w:r>
        <w:rPr>
          <w:rStyle w:val="default"/>
          <w:rFonts w:cs="FrankRuehl"/>
          <w:sz w:val="20"/>
        </w:rPr>
        <w:t>C3CA</w:t>
      </w:r>
    </w:p>
    <w:p w:rsidR="0034230D" w:rsidRDefault="0034230D" w:rsidP="0034230D">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 xml:space="preserve">ניירות ערך המירים בישראל </w:t>
      </w:r>
      <w:r>
        <w:rPr>
          <w:rStyle w:val="default"/>
          <w:rFonts w:cs="FrankRuehl"/>
          <w:sz w:val="20"/>
          <w:rtl/>
        </w:rPr>
        <w:t>–</w:t>
      </w:r>
    </w:p>
    <w:p w:rsidR="0034230D" w:rsidRDefault="0034230D" w:rsidP="0034230D">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כתבי אופציה</w:t>
      </w:r>
      <w:r>
        <w:rPr>
          <w:rStyle w:val="default"/>
          <w:rFonts w:cs="FrankRuehl" w:hint="cs"/>
          <w:sz w:val="20"/>
          <w:rtl/>
        </w:rPr>
        <w:tab/>
      </w:r>
      <w:r>
        <w:rPr>
          <w:rStyle w:val="default"/>
          <w:rFonts w:cs="FrankRuehl"/>
          <w:sz w:val="20"/>
        </w:rPr>
        <w:t>C3CB</w:t>
      </w:r>
    </w:p>
    <w:p w:rsidR="0034230D" w:rsidRDefault="0034230D" w:rsidP="0034230D">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איגרות חוב להמרה</w:t>
      </w:r>
      <w:r>
        <w:rPr>
          <w:rStyle w:val="default"/>
          <w:rFonts w:cs="FrankRuehl" w:hint="cs"/>
          <w:sz w:val="20"/>
          <w:rtl/>
        </w:rPr>
        <w:tab/>
      </w:r>
      <w:r>
        <w:rPr>
          <w:rStyle w:val="default"/>
          <w:rFonts w:cs="FrankRuehl"/>
          <w:sz w:val="20"/>
        </w:rPr>
        <w:t>C3CC</w:t>
      </w:r>
    </w:p>
    <w:p w:rsidR="0034230D" w:rsidRDefault="0034230D" w:rsidP="0034230D">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קרן נאמנות שלפי תנאיה היא מוגבלת בניירות ערך חוץ</w:t>
      </w:r>
      <w:r>
        <w:rPr>
          <w:rStyle w:val="default"/>
          <w:rFonts w:cs="FrankRuehl" w:hint="cs"/>
          <w:sz w:val="20"/>
          <w:rtl/>
        </w:rPr>
        <w:tab/>
      </w:r>
      <w:r>
        <w:rPr>
          <w:rStyle w:val="default"/>
          <w:rFonts w:cs="FrankRuehl"/>
          <w:sz w:val="20"/>
        </w:rPr>
        <w:t>C3D</w:t>
      </w:r>
    </w:p>
    <w:p w:rsidR="0034230D" w:rsidRDefault="0034230D" w:rsidP="0034230D">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קרן נאמנות שלפי תנאיה היא אינה מוגבלת בניירות ערך חוץ</w:t>
      </w:r>
      <w:r>
        <w:rPr>
          <w:rStyle w:val="default"/>
          <w:rFonts w:cs="FrankRuehl" w:hint="cs"/>
          <w:sz w:val="20"/>
          <w:rtl/>
        </w:rPr>
        <w:tab/>
      </w:r>
      <w:r>
        <w:rPr>
          <w:rStyle w:val="default"/>
          <w:rFonts w:cs="FrankRuehl"/>
          <w:sz w:val="20"/>
        </w:rPr>
        <w:t>C3E</w:t>
      </w:r>
    </w:p>
    <w:p w:rsidR="0034230D" w:rsidRDefault="0034230D">
      <w:pPr>
        <w:pStyle w:val="P00"/>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r>
      <w:r w:rsidRPr="000036B3">
        <w:rPr>
          <w:rStyle w:val="default"/>
          <w:rFonts w:cs="FrankRuehl" w:hint="cs"/>
          <w:b/>
          <w:bCs/>
          <w:sz w:val="22"/>
          <w:szCs w:val="22"/>
          <w:rtl/>
        </w:rPr>
        <w:t>נכסים לא צמודים במטבע ישראלי</w:t>
      </w:r>
    </w:p>
    <w:p w:rsidR="000036B3" w:rsidRPr="00C4293B" w:rsidRDefault="000036B3" w:rsidP="000036B3">
      <w:pPr>
        <w:pStyle w:val="P00"/>
        <w:pBdr>
          <w:bottom w:val="single" w:sz="4" w:space="1" w:color="auto"/>
        </w:pBdr>
        <w:tabs>
          <w:tab w:val="clear" w:pos="624"/>
          <w:tab w:val="clear" w:pos="1021"/>
          <w:tab w:val="clear" w:pos="1474"/>
          <w:tab w:val="clear" w:pos="1928"/>
          <w:tab w:val="clear" w:pos="2381"/>
          <w:tab w:val="clear" w:pos="6259"/>
          <w:tab w:val="center" w:pos="2835"/>
          <w:tab w:val="center" w:pos="6521"/>
        </w:tabs>
        <w:spacing w:before="72"/>
        <w:ind w:left="0" w:right="1134"/>
        <w:rPr>
          <w:rStyle w:val="default"/>
          <w:rFonts w:cs="FrankRuehl" w:hint="cs"/>
          <w:sz w:val="22"/>
          <w:szCs w:val="22"/>
          <w:rtl/>
        </w:rPr>
      </w:pPr>
      <w:r w:rsidRPr="00C4293B">
        <w:rPr>
          <w:rStyle w:val="default"/>
          <w:rFonts w:cs="FrankRuehl" w:hint="cs"/>
          <w:sz w:val="22"/>
          <w:szCs w:val="22"/>
          <w:rtl/>
        </w:rPr>
        <w:tab/>
        <w:t>שם סעיף הדיווח</w:t>
      </w:r>
      <w:r w:rsidRPr="00C4293B">
        <w:rPr>
          <w:rStyle w:val="default"/>
          <w:rFonts w:cs="FrankRuehl" w:hint="cs"/>
          <w:sz w:val="22"/>
          <w:szCs w:val="22"/>
          <w:rtl/>
        </w:rPr>
        <w:tab/>
        <w:t>קוד בנק ישראל</w:t>
      </w:r>
    </w:p>
    <w:p w:rsidR="0034230D"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איגרות חוב ממשלתיות לא צמודות, בריבית משתנה</w:t>
      </w:r>
      <w:r>
        <w:rPr>
          <w:rStyle w:val="default"/>
          <w:rFonts w:cs="FrankRuehl" w:hint="cs"/>
          <w:sz w:val="20"/>
          <w:rtl/>
        </w:rPr>
        <w:tab/>
      </w:r>
      <w:r>
        <w:rPr>
          <w:rStyle w:val="default"/>
          <w:rFonts w:cs="FrankRuehl"/>
          <w:sz w:val="20"/>
        </w:rPr>
        <w:t>C4A1</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איגרות חוב ממשלתיות לא צמודות, בריבית קבועה או בלא ריבית</w:t>
      </w:r>
      <w:r>
        <w:rPr>
          <w:rStyle w:val="default"/>
          <w:rFonts w:cs="FrankRuehl" w:hint="cs"/>
          <w:sz w:val="20"/>
          <w:rtl/>
        </w:rPr>
        <w:tab/>
      </w:r>
      <w:r>
        <w:rPr>
          <w:rStyle w:val="default"/>
          <w:rFonts w:cs="FrankRuehl"/>
          <w:sz w:val="20"/>
        </w:rPr>
        <w:t>C4A2</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sz w:val="20"/>
          <w:rtl/>
        </w:rPr>
      </w:pPr>
      <w:r>
        <w:rPr>
          <w:rStyle w:val="default"/>
          <w:rFonts w:cs="FrankRuehl" w:hint="cs"/>
          <w:sz w:val="20"/>
          <w:rtl/>
        </w:rPr>
        <w:t xml:space="preserve">מילווה קצר מועד; לעניין זה, "מילווה קצר מועד" </w:t>
      </w:r>
      <w:r>
        <w:rPr>
          <w:rStyle w:val="default"/>
          <w:rFonts w:cs="FrankRuehl"/>
          <w:sz w:val="20"/>
          <w:rtl/>
        </w:rPr>
        <w:t>–</w:t>
      </w:r>
      <w:r>
        <w:rPr>
          <w:rStyle w:val="default"/>
          <w:rFonts w:cs="FrankRuehl" w:hint="cs"/>
          <w:sz w:val="20"/>
          <w:rtl/>
        </w:rPr>
        <w:t xml:space="preserve"> איגרות חוב שהנפיקה ממשלת ישראל לפי חוק מילווה קצר מועד, התשמ"ד-1984</w:t>
      </w:r>
      <w:r>
        <w:rPr>
          <w:rStyle w:val="default"/>
          <w:rFonts w:cs="FrankRuehl" w:hint="cs"/>
          <w:sz w:val="20"/>
          <w:rtl/>
        </w:rPr>
        <w:tab/>
      </w:r>
      <w:r>
        <w:rPr>
          <w:rStyle w:val="default"/>
          <w:rFonts w:cs="FrankRuehl"/>
          <w:sz w:val="20"/>
        </w:rPr>
        <w:t>C4B</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פיקדונות לא צמודים</w:t>
      </w:r>
      <w:r>
        <w:rPr>
          <w:rStyle w:val="default"/>
          <w:rFonts w:cs="FrankRuehl" w:hint="cs"/>
          <w:sz w:val="20"/>
          <w:rtl/>
        </w:rPr>
        <w:tab/>
      </w:r>
      <w:r>
        <w:rPr>
          <w:rStyle w:val="default"/>
          <w:rFonts w:cs="FrankRuehl"/>
          <w:sz w:val="20"/>
        </w:rPr>
        <w:t>C4C</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איגרות חוב קונצרניות לא צמודות</w:t>
      </w:r>
      <w:r>
        <w:rPr>
          <w:rStyle w:val="default"/>
          <w:rFonts w:cs="FrankRuehl" w:hint="cs"/>
          <w:sz w:val="20"/>
          <w:rtl/>
        </w:rPr>
        <w:tab/>
      </w:r>
      <w:r>
        <w:rPr>
          <w:rStyle w:val="default"/>
          <w:rFonts w:cs="FrankRuehl"/>
          <w:sz w:val="20"/>
        </w:rPr>
        <w:t>C4E</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נכס אחר לא צמוד</w:t>
      </w:r>
      <w:r>
        <w:rPr>
          <w:rStyle w:val="default"/>
          <w:rFonts w:cs="FrankRuehl" w:hint="cs"/>
          <w:sz w:val="20"/>
          <w:rtl/>
        </w:rPr>
        <w:tab/>
      </w:r>
      <w:r>
        <w:rPr>
          <w:rStyle w:val="default"/>
          <w:rFonts w:cs="FrankRuehl"/>
          <w:sz w:val="20"/>
        </w:rPr>
        <w:t>C4D</w:t>
      </w:r>
    </w:p>
    <w:p w:rsidR="000036B3" w:rsidRDefault="000036B3">
      <w:pPr>
        <w:pStyle w:val="P00"/>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r>
      <w:r w:rsidRPr="000036B3">
        <w:rPr>
          <w:rStyle w:val="default"/>
          <w:rFonts w:cs="FrankRuehl" w:hint="cs"/>
          <w:b/>
          <w:bCs/>
          <w:sz w:val="22"/>
          <w:szCs w:val="22"/>
          <w:rtl/>
        </w:rPr>
        <w:t>נכסים פיננסיים עתידיים בחוץ לארץ</w:t>
      </w:r>
    </w:p>
    <w:p w:rsidR="000036B3" w:rsidRPr="00C4293B" w:rsidRDefault="000036B3" w:rsidP="000036B3">
      <w:pPr>
        <w:pStyle w:val="P00"/>
        <w:pBdr>
          <w:bottom w:val="single" w:sz="4" w:space="1" w:color="auto"/>
        </w:pBdr>
        <w:tabs>
          <w:tab w:val="clear" w:pos="624"/>
          <w:tab w:val="clear" w:pos="1021"/>
          <w:tab w:val="clear" w:pos="1474"/>
          <w:tab w:val="clear" w:pos="1928"/>
          <w:tab w:val="clear" w:pos="2381"/>
          <w:tab w:val="clear" w:pos="6259"/>
          <w:tab w:val="center" w:pos="2835"/>
          <w:tab w:val="center" w:pos="6521"/>
        </w:tabs>
        <w:spacing w:before="72"/>
        <w:ind w:left="0" w:right="1134"/>
        <w:rPr>
          <w:rStyle w:val="default"/>
          <w:rFonts w:cs="FrankRuehl" w:hint="cs"/>
          <w:sz w:val="22"/>
          <w:szCs w:val="22"/>
          <w:rtl/>
        </w:rPr>
      </w:pPr>
      <w:r w:rsidRPr="00C4293B">
        <w:rPr>
          <w:rStyle w:val="default"/>
          <w:rFonts w:cs="FrankRuehl" w:hint="cs"/>
          <w:sz w:val="22"/>
          <w:szCs w:val="22"/>
          <w:rtl/>
        </w:rPr>
        <w:tab/>
        <w:t>שם סעיף הדיווח</w:t>
      </w:r>
      <w:r w:rsidRPr="00C4293B">
        <w:rPr>
          <w:rStyle w:val="default"/>
          <w:rFonts w:cs="FrankRuehl" w:hint="cs"/>
          <w:sz w:val="22"/>
          <w:szCs w:val="22"/>
          <w:rtl/>
        </w:rPr>
        <w:tab/>
        <w:t>קוד בנק ישראל</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 xml:space="preserve">אופציות על נייר ערך </w:t>
      </w:r>
      <w:r>
        <w:rPr>
          <w:rStyle w:val="default"/>
          <w:rFonts w:cs="FrankRuehl"/>
          <w:sz w:val="20"/>
          <w:rtl/>
        </w:rPr>
        <w:t>–</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רכישת </w:t>
      </w:r>
      <w:r>
        <w:rPr>
          <w:rStyle w:val="default"/>
          <w:rFonts w:cs="FrankRuehl"/>
          <w:sz w:val="20"/>
        </w:rPr>
        <w:t>CALL</w:t>
      </w:r>
      <w:r>
        <w:rPr>
          <w:rStyle w:val="default"/>
          <w:rFonts w:cs="FrankRuehl" w:hint="cs"/>
          <w:sz w:val="20"/>
          <w:rtl/>
        </w:rPr>
        <w:tab/>
      </w:r>
      <w:r>
        <w:rPr>
          <w:rStyle w:val="default"/>
          <w:rFonts w:cs="FrankRuehl"/>
          <w:sz w:val="20"/>
        </w:rPr>
        <w:t>C5A1</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כתיבת </w:t>
      </w:r>
      <w:r>
        <w:rPr>
          <w:rStyle w:val="default"/>
          <w:rFonts w:cs="FrankRuehl"/>
          <w:sz w:val="20"/>
        </w:rPr>
        <w:t>CALL</w:t>
      </w:r>
      <w:r>
        <w:rPr>
          <w:rStyle w:val="default"/>
          <w:rFonts w:cs="FrankRuehl"/>
          <w:sz w:val="20"/>
        </w:rPr>
        <w:tab/>
        <w:t>C5A2</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רכישת </w:t>
      </w:r>
      <w:r>
        <w:rPr>
          <w:rStyle w:val="default"/>
          <w:rFonts w:cs="FrankRuehl"/>
          <w:sz w:val="20"/>
        </w:rPr>
        <w:t>PUT</w:t>
      </w:r>
      <w:r>
        <w:rPr>
          <w:rStyle w:val="default"/>
          <w:rFonts w:cs="FrankRuehl"/>
          <w:sz w:val="20"/>
        </w:rPr>
        <w:tab/>
        <w:t>C5A3</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כתיבת </w:t>
      </w:r>
      <w:r>
        <w:rPr>
          <w:rStyle w:val="default"/>
          <w:rFonts w:cs="FrankRuehl"/>
          <w:sz w:val="20"/>
        </w:rPr>
        <w:t>PUT</w:t>
      </w:r>
      <w:r>
        <w:rPr>
          <w:rStyle w:val="default"/>
          <w:rFonts w:cs="FrankRuehl"/>
          <w:sz w:val="20"/>
        </w:rPr>
        <w:tab/>
        <w:t>C5A4</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 xml:space="preserve">אופציות על שערי חליפין </w:t>
      </w:r>
      <w:r>
        <w:rPr>
          <w:rStyle w:val="default"/>
          <w:rFonts w:cs="FrankRuehl"/>
          <w:sz w:val="20"/>
          <w:rtl/>
        </w:rPr>
        <w:t>–</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רכישת </w:t>
      </w:r>
      <w:r>
        <w:rPr>
          <w:rStyle w:val="default"/>
          <w:rFonts w:cs="FrankRuehl"/>
          <w:sz w:val="20"/>
        </w:rPr>
        <w:t>CALL</w:t>
      </w:r>
      <w:r>
        <w:rPr>
          <w:rStyle w:val="default"/>
          <w:rFonts w:cs="FrankRuehl" w:hint="cs"/>
          <w:sz w:val="20"/>
          <w:rtl/>
        </w:rPr>
        <w:tab/>
      </w:r>
      <w:r>
        <w:rPr>
          <w:rStyle w:val="default"/>
          <w:rFonts w:cs="FrankRuehl"/>
          <w:sz w:val="20"/>
        </w:rPr>
        <w:t>C5B1</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כתיבת </w:t>
      </w:r>
      <w:r>
        <w:rPr>
          <w:rStyle w:val="default"/>
          <w:rFonts w:cs="FrankRuehl"/>
          <w:sz w:val="20"/>
        </w:rPr>
        <w:t>CALL</w:t>
      </w:r>
      <w:r>
        <w:rPr>
          <w:rStyle w:val="default"/>
          <w:rFonts w:cs="FrankRuehl"/>
          <w:sz w:val="20"/>
        </w:rPr>
        <w:tab/>
        <w:t>C5B2</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רכישת </w:t>
      </w:r>
      <w:r>
        <w:rPr>
          <w:rStyle w:val="default"/>
          <w:rFonts w:cs="FrankRuehl"/>
          <w:sz w:val="20"/>
        </w:rPr>
        <w:t>PUT</w:t>
      </w:r>
      <w:r>
        <w:rPr>
          <w:rStyle w:val="default"/>
          <w:rFonts w:cs="FrankRuehl"/>
          <w:sz w:val="20"/>
        </w:rPr>
        <w:tab/>
        <w:t>C5B3</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כתיבת </w:t>
      </w:r>
      <w:r>
        <w:rPr>
          <w:rStyle w:val="default"/>
          <w:rFonts w:cs="FrankRuehl"/>
          <w:sz w:val="20"/>
        </w:rPr>
        <w:t>PUT</w:t>
      </w:r>
      <w:r>
        <w:rPr>
          <w:rStyle w:val="default"/>
          <w:rFonts w:cs="FrankRuehl"/>
          <w:sz w:val="20"/>
        </w:rPr>
        <w:tab/>
        <w:t>C5B4</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 xml:space="preserve">אופציות על שערי ריבית </w:t>
      </w:r>
      <w:r>
        <w:rPr>
          <w:rStyle w:val="default"/>
          <w:rFonts w:cs="FrankRuehl"/>
          <w:sz w:val="20"/>
          <w:rtl/>
        </w:rPr>
        <w:t>–</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רכישת </w:t>
      </w:r>
      <w:r>
        <w:rPr>
          <w:rStyle w:val="default"/>
          <w:rFonts w:cs="FrankRuehl"/>
          <w:sz w:val="20"/>
        </w:rPr>
        <w:t>CALL</w:t>
      </w:r>
      <w:r>
        <w:rPr>
          <w:rStyle w:val="default"/>
          <w:rFonts w:cs="FrankRuehl" w:hint="cs"/>
          <w:sz w:val="20"/>
          <w:rtl/>
        </w:rPr>
        <w:tab/>
      </w:r>
      <w:r>
        <w:rPr>
          <w:rStyle w:val="default"/>
          <w:rFonts w:cs="FrankRuehl"/>
          <w:sz w:val="20"/>
        </w:rPr>
        <w:t>C5C1</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כתיבת </w:t>
      </w:r>
      <w:r>
        <w:rPr>
          <w:rStyle w:val="default"/>
          <w:rFonts w:cs="FrankRuehl"/>
          <w:sz w:val="20"/>
        </w:rPr>
        <w:t>CALL</w:t>
      </w:r>
      <w:r>
        <w:rPr>
          <w:rStyle w:val="default"/>
          <w:rFonts w:cs="FrankRuehl"/>
          <w:sz w:val="20"/>
        </w:rPr>
        <w:tab/>
        <w:t>C5C2</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רכישת </w:t>
      </w:r>
      <w:r>
        <w:rPr>
          <w:rStyle w:val="default"/>
          <w:rFonts w:cs="FrankRuehl"/>
          <w:sz w:val="20"/>
        </w:rPr>
        <w:t>PUT</w:t>
      </w:r>
      <w:r>
        <w:rPr>
          <w:rStyle w:val="default"/>
          <w:rFonts w:cs="FrankRuehl"/>
          <w:sz w:val="20"/>
        </w:rPr>
        <w:tab/>
        <w:t>C5C3</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כתיבת </w:t>
      </w:r>
      <w:r>
        <w:rPr>
          <w:rStyle w:val="default"/>
          <w:rFonts w:cs="FrankRuehl"/>
          <w:sz w:val="20"/>
        </w:rPr>
        <w:t>PUT</w:t>
      </w:r>
      <w:r>
        <w:rPr>
          <w:rStyle w:val="default"/>
          <w:rFonts w:cs="FrankRuehl"/>
          <w:sz w:val="20"/>
        </w:rPr>
        <w:tab/>
        <w:t>C5C4</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 xml:space="preserve">אופציות על מחירי סחורות </w:t>
      </w:r>
      <w:r>
        <w:rPr>
          <w:rStyle w:val="default"/>
          <w:rFonts w:cs="FrankRuehl"/>
          <w:sz w:val="20"/>
          <w:rtl/>
        </w:rPr>
        <w:t>–</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רכישת </w:t>
      </w:r>
      <w:r>
        <w:rPr>
          <w:rStyle w:val="default"/>
          <w:rFonts w:cs="FrankRuehl"/>
          <w:sz w:val="20"/>
        </w:rPr>
        <w:t>CALL</w:t>
      </w:r>
      <w:r>
        <w:rPr>
          <w:rStyle w:val="default"/>
          <w:rFonts w:cs="FrankRuehl" w:hint="cs"/>
          <w:sz w:val="20"/>
          <w:rtl/>
        </w:rPr>
        <w:tab/>
      </w:r>
      <w:r>
        <w:rPr>
          <w:rStyle w:val="default"/>
          <w:rFonts w:cs="FrankRuehl"/>
          <w:sz w:val="20"/>
        </w:rPr>
        <w:t>C5D1</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כתיבת </w:t>
      </w:r>
      <w:r>
        <w:rPr>
          <w:rStyle w:val="default"/>
          <w:rFonts w:cs="FrankRuehl"/>
          <w:sz w:val="20"/>
        </w:rPr>
        <w:t>CALL</w:t>
      </w:r>
      <w:r>
        <w:rPr>
          <w:rStyle w:val="default"/>
          <w:rFonts w:cs="FrankRuehl"/>
          <w:sz w:val="20"/>
        </w:rPr>
        <w:tab/>
        <w:t>C5D2</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רכישת </w:t>
      </w:r>
      <w:r>
        <w:rPr>
          <w:rStyle w:val="default"/>
          <w:rFonts w:cs="FrankRuehl"/>
          <w:sz w:val="20"/>
        </w:rPr>
        <w:t>PUT</w:t>
      </w:r>
      <w:r>
        <w:rPr>
          <w:rStyle w:val="default"/>
          <w:rFonts w:cs="FrankRuehl"/>
          <w:sz w:val="20"/>
        </w:rPr>
        <w:tab/>
        <w:t>C5D3</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כתיבת </w:t>
      </w:r>
      <w:r>
        <w:rPr>
          <w:rStyle w:val="default"/>
          <w:rFonts w:cs="FrankRuehl"/>
          <w:sz w:val="20"/>
        </w:rPr>
        <w:t>PUT</w:t>
      </w:r>
      <w:r>
        <w:rPr>
          <w:rStyle w:val="default"/>
          <w:rFonts w:cs="FrankRuehl"/>
          <w:sz w:val="20"/>
        </w:rPr>
        <w:tab/>
        <w:t>C5D4</w:t>
      </w:r>
    </w:p>
    <w:p w:rsidR="000036B3" w:rsidRDefault="000036B3" w:rsidP="000036B3">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נכסים פיננסיים עתידיים אחרים</w:t>
      </w:r>
      <w:r>
        <w:rPr>
          <w:rStyle w:val="default"/>
          <w:rFonts w:cs="FrankRuehl" w:hint="cs"/>
          <w:sz w:val="20"/>
          <w:rtl/>
        </w:rPr>
        <w:tab/>
      </w:r>
      <w:r w:rsidR="00C000F4">
        <w:rPr>
          <w:rStyle w:val="default"/>
          <w:rFonts w:cs="FrankRuehl"/>
          <w:sz w:val="20"/>
        </w:rPr>
        <w:t>C5E</w:t>
      </w:r>
    </w:p>
    <w:p w:rsidR="000036B3" w:rsidRDefault="00C000F4">
      <w:pPr>
        <w:pStyle w:val="P00"/>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r>
      <w:r w:rsidRPr="00A37535">
        <w:rPr>
          <w:rStyle w:val="default"/>
          <w:rFonts w:cs="FrankRuehl" w:hint="cs"/>
          <w:b/>
          <w:bCs/>
          <w:sz w:val="22"/>
          <w:szCs w:val="22"/>
          <w:rtl/>
        </w:rPr>
        <w:t>נכסים פיננסיים עתידיים</w:t>
      </w:r>
    </w:p>
    <w:p w:rsidR="00A37535" w:rsidRPr="00C4293B" w:rsidRDefault="00A37535" w:rsidP="00A37535">
      <w:pPr>
        <w:pStyle w:val="P00"/>
        <w:pBdr>
          <w:bottom w:val="single" w:sz="4" w:space="1" w:color="auto"/>
        </w:pBdr>
        <w:tabs>
          <w:tab w:val="clear" w:pos="624"/>
          <w:tab w:val="clear" w:pos="1021"/>
          <w:tab w:val="clear" w:pos="1474"/>
          <w:tab w:val="clear" w:pos="1928"/>
          <w:tab w:val="clear" w:pos="2381"/>
          <w:tab w:val="clear" w:pos="6259"/>
          <w:tab w:val="center" w:pos="2835"/>
          <w:tab w:val="center" w:pos="6521"/>
        </w:tabs>
        <w:spacing w:before="72"/>
        <w:ind w:left="0" w:right="1134"/>
        <w:rPr>
          <w:rStyle w:val="default"/>
          <w:rFonts w:cs="FrankRuehl" w:hint="cs"/>
          <w:sz w:val="22"/>
          <w:szCs w:val="22"/>
          <w:rtl/>
        </w:rPr>
      </w:pPr>
      <w:r w:rsidRPr="00C4293B">
        <w:rPr>
          <w:rStyle w:val="default"/>
          <w:rFonts w:cs="FrankRuehl" w:hint="cs"/>
          <w:sz w:val="22"/>
          <w:szCs w:val="22"/>
          <w:rtl/>
        </w:rPr>
        <w:tab/>
        <w:t>שם סעיף הדיווח</w:t>
      </w:r>
      <w:r w:rsidRPr="00C4293B">
        <w:rPr>
          <w:rStyle w:val="default"/>
          <w:rFonts w:cs="FrankRuehl" w:hint="cs"/>
          <w:sz w:val="22"/>
          <w:szCs w:val="22"/>
          <w:rtl/>
        </w:rPr>
        <w:tab/>
        <w:t>קוד בנק ישראל</w:t>
      </w:r>
    </w:p>
    <w:p w:rsidR="00C000F4" w:rsidRDefault="00A37535" w:rsidP="00A37535">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 xml:space="preserve">אופציות מעו"ף </w:t>
      </w:r>
      <w:r>
        <w:rPr>
          <w:rStyle w:val="default"/>
          <w:rFonts w:cs="FrankRuehl"/>
          <w:sz w:val="20"/>
          <w:rtl/>
        </w:rPr>
        <w:t>–</w:t>
      </w:r>
    </w:p>
    <w:p w:rsidR="00A37535" w:rsidRDefault="00A37535" w:rsidP="00A37535">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sz w:val="20"/>
          <w:rtl/>
        </w:rPr>
      </w:pPr>
      <w:r>
        <w:rPr>
          <w:rStyle w:val="default"/>
          <w:rFonts w:cs="FrankRuehl" w:hint="cs"/>
          <w:sz w:val="20"/>
          <w:rtl/>
        </w:rPr>
        <w:t xml:space="preserve">לעניין זה, "אופציית מעו"ף" </w:t>
      </w:r>
      <w:r>
        <w:rPr>
          <w:rStyle w:val="default"/>
          <w:rFonts w:cs="FrankRuehl"/>
          <w:sz w:val="20"/>
          <w:rtl/>
        </w:rPr>
        <w:t>–</w:t>
      </w:r>
      <w:r>
        <w:rPr>
          <w:rStyle w:val="default"/>
          <w:rFonts w:cs="FrankRuehl" w:hint="cs"/>
          <w:sz w:val="20"/>
          <w:rtl/>
        </w:rPr>
        <w:t xml:space="preserve"> אופציה שנסחרת בבורסה לניירות ערך בתל אביב שנכס הבסיס שלה הוא מדד המעו"ף (ת"א 25) </w:t>
      </w:r>
      <w:r>
        <w:rPr>
          <w:rStyle w:val="default"/>
          <w:rFonts w:cs="FrankRuehl"/>
          <w:sz w:val="20"/>
          <w:rtl/>
        </w:rPr>
        <w:t>–</w:t>
      </w:r>
    </w:p>
    <w:p w:rsidR="00A37535" w:rsidRDefault="00A37535" w:rsidP="00A37535">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רכישת </w:t>
      </w:r>
      <w:r>
        <w:rPr>
          <w:rStyle w:val="default"/>
          <w:rFonts w:cs="FrankRuehl"/>
          <w:sz w:val="20"/>
        </w:rPr>
        <w:t>CALL</w:t>
      </w:r>
      <w:r>
        <w:rPr>
          <w:rStyle w:val="default"/>
          <w:rFonts w:cs="FrankRuehl" w:hint="cs"/>
          <w:sz w:val="20"/>
          <w:rtl/>
        </w:rPr>
        <w:tab/>
      </w:r>
      <w:r>
        <w:rPr>
          <w:rStyle w:val="default"/>
          <w:rFonts w:cs="FrankRuehl"/>
          <w:sz w:val="20"/>
        </w:rPr>
        <w:t>C6A1</w:t>
      </w:r>
    </w:p>
    <w:p w:rsidR="00A37535" w:rsidRDefault="00A37535" w:rsidP="00A37535">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כתיבת </w:t>
      </w:r>
      <w:r>
        <w:rPr>
          <w:rStyle w:val="default"/>
          <w:rFonts w:cs="FrankRuehl"/>
          <w:sz w:val="20"/>
        </w:rPr>
        <w:t>CALL</w:t>
      </w:r>
      <w:r>
        <w:rPr>
          <w:rStyle w:val="default"/>
          <w:rFonts w:cs="FrankRuehl"/>
          <w:sz w:val="20"/>
        </w:rPr>
        <w:tab/>
        <w:t>C6A2</w:t>
      </w:r>
    </w:p>
    <w:p w:rsidR="00A37535" w:rsidRDefault="00A37535" w:rsidP="00A37535">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רכישת </w:t>
      </w:r>
      <w:r>
        <w:rPr>
          <w:rStyle w:val="default"/>
          <w:rFonts w:cs="FrankRuehl"/>
          <w:sz w:val="20"/>
        </w:rPr>
        <w:t>PUT</w:t>
      </w:r>
      <w:r>
        <w:rPr>
          <w:rStyle w:val="default"/>
          <w:rFonts w:cs="FrankRuehl"/>
          <w:sz w:val="20"/>
        </w:rPr>
        <w:tab/>
        <w:t>C6A3</w:t>
      </w:r>
    </w:p>
    <w:p w:rsidR="00A37535" w:rsidRDefault="00A37535" w:rsidP="00A37535">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כתיבת </w:t>
      </w:r>
      <w:r>
        <w:rPr>
          <w:rStyle w:val="default"/>
          <w:rFonts w:cs="FrankRuehl"/>
          <w:sz w:val="20"/>
        </w:rPr>
        <w:t>PUT</w:t>
      </w:r>
      <w:r>
        <w:rPr>
          <w:rStyle w:val="default"/>
          <w:rFonts w:cs="FrankRuehl"/>
          <w:sz w:val="20"/>
        </w:rPr>
        <w:tab/>
        <w:t>C6A4</w:t>
      </w:r>
    </w:p>
    <w:p w:rsidR="00A37535" w:rsidRDefault="00A37535" w:rsidP="00A37535">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 xml:space="preserve">אופציות על שערי חליפין הנסחרות בישראל </w:t>
      </w:r>
      <w:r>
        <w:rPr>
          <w:rStyle w:val="default"/>
          <w:rFonts w:cs="FrankRuehl"/>
          <w:sz w:val="20"/>
          <w:rtl/>
        </w:rPr>
        <w:t>–</w:t>
      </w:r>
    </w:p>
    <w:p w:rsidR="00A37535" w:rsidRDefault="00A37535" w:rsidP="00A37535">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רכישת </w:t>
      </w:r>
      <w:r>
        <w:rPr>
          <w:rStyle w:val="default"/>
          <w:rFonts w:cs="FrankRuehl"/>
          <w:sz w:val="20"/>
        </w:rPr>
        <w:t>CALL</w:t>
      </w:r>
      <w:r>
        <w:rPr>
          <w:rStyle w:val="default"/>
          <w:rFonts w:cs="FrankRuehl" w:hint="cs"/>
          <w:sz w:val="20"/>
          <w:rtl/>
        </w:rPr>
        <w:tab/>
      </w:r>
      <w:r>
        <w:rPr>
          <w:rStyle w:val="default"/>
          <w:rFonts w:cs="FrankRuehl"/>
          <w:sz w:val="20"/>
        </w:rPr>
        <w:t>C6B1</w:t>
      </w:r>
    </w:p>
    <w:p w:rsidR="00A37535" w:rsidRDefault="00A37535" w:rsidP="00A37535">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כתיבת </w:t>
      </w:r>
      <w:r>
        <w:rPr>
          <w:rStyle w:val="default"/>
          <w:rFonts w:cs="FrankRuehl"/>
          <w:sz w:val="20"/>
        </w:rPr>
        <w:t>CALL</w:t>
      </w:r>
      <w:r>
        <w:rPr>
          <w:rStyle w:val="default"/>
          <w:rFonts w:cs="FrankRuehl"/>
          <w:sz w:val="20"/>
        </w:rPr>
        <w:tab/>
        <w:t>C6B2</w:t>
      </w:r>
    </w:p>
    <w:p w:rsidR="00A37535" w:rsidRDefault="00A37535" w:rsidP="00A37535">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רכישת </w:t>
      </w:r>
      <w:r>
        <w:rPr>
          <w:rStyle w:val="default"/>
          <w:rFonts w:cs="FrankRuehl"/>
          <w:sz w:val="20"/>
        </w:rPr>
        <w:t>PUT</w:t>
      </w:r>
      <w:r>
        <w:rPr>
          <w:rStyle w:val="default"/>
          <w:rFonts w:cs="FrankRuehl"/>
          <w:sz w:val="20"/>
        </w:rPr>
        <w:tab/>
        <w:t>C6B3</w:t>
      </w:r>
    </w:p>
    <w:p w:rsidR="00A37535" w:rsidRDefault="00A37535" w:rsidP="00A37535">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 xml:space="preserve">כתיבת </w:t>
      </w:r>
      <w:r>
        <w:rPr>
          <w:rStyle w:val="default"/>
          <w:rFonts w:cs="FrankRuehl"/>
          <w:sz w:val="20"/>
        </w:rPr>
        <w:t>PUT</w:t>
      </w:r>
      <w:r>
        <w:rPr>
          <w:rStyle w:val="default"/>
          <w:rFonts w:cs="FrankRuehl"/>
          <w:sz w:val="20"/>
        </w:rPr>
        <w:tab/>
        <w:t>C6B4</w:t>
      </w:r>
    </w:p>
    <w:p w:rsidR="00A37535" w:rsidRDefault="00A37535" w:rsidP="00A37535">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נכסים פיננסיים עתידים אחרים</w:t>
      </w:r>
      <w:r>
        <w:rPr>
          <w:rStyle w:val="default"/>
          <w:rFonts w:cs="FrankRuehl" w:hint="cs"/>
          <w:sz w:val="20"/>
          <w:rtl/>
        </w:rPr>
        <w:tab/>
      </w:r>
      <w:r>
        <w:rPr>
          <w:rStyle w:val="default"/>
          <w:rFonts w:cs="FrankRuehl"/>
          <w:sz w:val="20"/>
        </w:rPr>
        <w:t>C6C</w:t>
      </w:r>
    </w:p>
    <w:p w:rsidR="00A37535" w:rsidRDefault="00A37535">
      <w:pPr>
        <w:pStyle w:val="P00"/>
        <w:spacing w:before="72"/>
        <w:ind w:left="0" w:right="1134"/>
        <w:rPr>
          <w:rStyle w:val="default"/>
          <w:rFonts w:cs="FrankRuehl" w:hint="cs"/>
          <w:sz w:val="20"/>
          <w:rtl/>
        </w:rPr>
      </w:pPr>
      <w:r>
        <w:rPr>
          <w:rStyle w:val="default"/>
          <w:rFonts w:cs="FrankRuehl" w:hint="cs"/>
          <w:sz w:val="20"/>
          <w:rtl/>
        </w:rPr>
        <w:t>7.</w:t>
      </w:r>
      <w:r>
        <w:rPr>
          <w:rStyle w:val="default"/>
          <w:rFonts w:cs="FrankRuehl" w:hint="cs"/>
          <w:sz w:val="20"/>
          <w:rtl/>
        </w:rPr>
        <w:tab/>
      </w:r>
      <w:r w:rsidRPr="00A37535">
        <w:rPr>
          <w:rStyle w:val="default"/>
          <w:rFonts w:cs="FrankRuehl" w:hint="cs"/>
          <w:b/>
          <w:bCs/>
          <w:sz w:val="22"/>
          <w:szCs w:val="22"/>
          <w:rtl/>
        </w:rPr>
        <w:t>תקבולים, תשלומים, מחיר פדיון ונתוני דיבידנד או הטבה</w:t>
      </w:r>
    </w:p>
    <w:p w:rsidR="00A37535" w:rsidRPr="00C4293B" w:rsidRDefault="00A37535" w:rsidP="00A37535">
      <w:pPr>
        <w:pStyle w:val="P00"/>
        <w:pBdr>
          <w:bottom w:val="single" w:sz="4" w:space="1" w:color="auto"/>
        </w:pBdr>
        <w:tabs>
          <w:tab w:val="clear" w:pos="624"/>
          <w:tab w:val="clear" w:pos="1021"/>
          <w:tab w:val="clear" w:pos="1474"/>
          <w:tab w:val="clear" w:pos="1928"/>
          <w:tab w:val="clear" w:pos="2381"/>
          <w:tab w:val="clear" w:pos="6259"/>
          <w:tab w:val="center" w:pos="2835"/>
          <w:tab w:val="center" w:pos="6521"/>
        </w:tabs>
        <w:spacing w:before="72"/>
        <w:ind w:left="0" w:right="1134"/>
        <w:rPr>
          <w:rStyle w:val="default"/>
          <w:rFonts w:cs="FrankRuehl" w:hint="cs"/>
          <w:sz w:val="22"/>
          <w:szCs w:val="22"/>
          <w:rtl/>
        </w:rPr>
      </w:pPr>
      <w:r w:rsidRPr="00C4293B">
        <w:rPr>
          <w:rStyle w:val="default"/>
          <w:rFonts w:cs="FrankRuehl" w:hint="cs"/>
          <w:sz w:val="22"/>
          <w:szCs w:val="22"/>
          <w:rtl/>
        </w:rPr>
        <w:tab/>
        <w:t>שם סעיף הדיווח</w:t>
      </w:r>
      <w:r w:rsidRPr="00C4293B">
        <w:rPr>
          <w:rStyle w:val="default"/>
          <w:rFonts w:cs="FrankRuehl" w:hint="cs"/>
          <w:sz w:val="22"/>
          <w:szCs w:val="22"/>
          <w:rtl/>
        </w:rPr>
        <w:tab/>
        <w:t>קוד בנק ישראל</w:t>
      </w:r>
    </w:p>
    <w:p w:rsidR="00A37535" w:rsidRDefault="00A37535" w:rsidP="00A37535">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סך כל התקבולים מהנפקות</w:t>
      </w:r>
      <w:r>
        <w:rPr>
          <w:rStyle w:val="a6"/>
          <w:rFonts w:cs="FrankRuehl"/>
          <w:rtl/>
        </w:rPr>
        <w:footnoteReference w:id="2"/>
      </w:r>
      <w:r>
        <w:rPr>
          <w:rStyle w:val="default"/>
          <w:rFonts w:cs="FrankRuehl" w:hint="cs"/>
          <w:sz w:val="20"/>
          <w:rtl/>
        </w:rPr>
        <w:tab/>
      </w:r>
      <w:r>
        <w:rPr>
          <w:rStyle w:val="default"/>
          <w:rFonts w:cs="FrankRuehl"/>
          <w:sz w:val="20"/>
        </w:rPr>
        <w:t>A</w:t>
      </w:r>
    </w:p>
    <w:p w:rsidR="00A37535" w:rsidRDefault="00A37535" w:rsidP="00A37535">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סך כל התשלומים מפדיונות</w:t>
      </w:r>
      <w:r>
        <w:rPr>
          <w:rStyle w:val="default"/>
          <w:rFonts w:cs="FrankRuehl" w:hint="cs"/>
          <w:sz w:val="20"/>
          <w:rtl/>
        </w:rPr>
        <w:tab/>
      </w:r>
      <w:r>
        <w:rPr>
          <w:rStyle w:val="default"/>
          <w:rFonts w:cs="FrankRuehl"/>
          <w:sz w:val="20"/>
        </w:rPr>
        <w:t>B</w:t>
      </w:r>
    </w:p>
    <w:p w:rsidR="00A37535" w:rsidRDefault="00A37535" w:rsidP="00274F68">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sz w:val="20"/>
          <w:rtl/>
        </w:rPr>
      </w:pPr>
      <w:r>
        <w:rPr>
          <w:rStyle w:val="default"/>
          <w:rFonts w:cs="FrankRuehl" w:hint="cs"/>
          <w:sz w:val="20"/>
          <w:rtl/>
        </w:rPr>
        <w:t>מחיר פדיון</w:t>
      </w:r>
      <w:r w:rsidR="00274F68">
        <w:rPr>
          <w:rStyle w:val="default"/>
          <w:rFonts w:cs="FrankRuehl" w:hint="cs"/>
          <w:sz w:val="20"/>
          <w:rtl/>
        </w:rPr>
        <w:t xml:space="preserve"> בסוף התקופה; לעניין זה "פדיון" </w:t>
      </w:r>
      <w:r w:rsidR="00274F68">
        <w:rPr>
          <w:rStyle w:val="default"/>
          <w:rFonts w:cs="FrankRuehl"/>
          <w:sz w:val="20"/>
          <w:rtl/>
        </w:rPr>
        <w:t>–</w:t>
      </w:r>
      <w:r w:rsidR="00274F68">
        <w:rPr>
          <w:rStyle w:val="default"/>
          <w:rFonts w:cs="FrankRuehl" w:hint="cs"/>
          <w:sz w:val="20"/>
          <w:rtl/>
        </w:rPr>
        <w:t xml:space="preserve"> מחיר יחידת השתתפות בקרן שמתקבל מחיסור סכום העמלות מסך כל הנכסים וחלוקת הסכום שנתקבל למספר יחידות ההשתתפות בקרן</w:t>
      </w:r>
      <w:r w:rsidR="00274F68">
        <w:rPr>
          <w:rStyle w:val="default"/>
          <w:rFonts w:cs="FrankRuehl" w:hint="cs"/>
          <w:sz w:val="20"/>
          <w:rtl/>
        </w:rPr>
        <w:tab/>
      </w:r>
      <w:r w:rsidR="00274F68">
        <w:rPr>
          <w:rStyle w:val="default"/>
          <w:rFonts w:cs="FrankRuehl"/>
          <w:sz w:val="20"/>
        </w:rPr>
        <w:t>D</w:t>
      </w:r>
    </w:p>
    <w:p w:rsidR="00274F68" w:rsidRDefault="00274F68" w:rsidP="00A37535">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סכום דיבידנד שהקרן חילקה</w:t>
      </w:r>
      <w:r>
        <w:rPr>
          <w:rStyle w:val="default"/>
          <w:rFonts w:cs="FrankRuehl" w:hint="cs"/>
          <w:sz w:val="20"/>
          <w:rtl/>
        </w:rPr>
        <w:tab/>
      </w:r>
      <w:r>
        <w:rPr>
          <w:rStyle w:val="default"/>
          <w:rFonts w:cs="FrankRuehl"/>
          <w:sz w:val="20"/>
        </w:rPr>
        <w:t>DVSUM</w:t>
      </w:r>
    </w:p>
    <w:p w:rsidR="00274F68" w:rsidRDefault="00274F68" w:rsidP="00274F68">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sz w:val="20"/>
          <w:rtl/>
        </w:rPr>
      </w:pPr>
      <w:r>
        <w:rPr>
          <w:rStyle w:val="default"/>
          <w:rFonts w:cs="FrankRuehl" w:hint="cs"/>
          <w:sz w:val="20"/>
          <w:rtl/>
        </w:rPr>
        <w:t>שיעור דיבידנד מהערך הנקוב של יחידות ההשתתפות בקרן ביום הקובע; לעניין סעיף זה, היום הקובע הוא היום שבו מי שמחזיק ביחידות ההשתתפות בקרן זכאי לתשלום דיבידנד</w:t>
      </w:r>
      <w:r>
        <w:rPr>
          <w:rStyle w:val="default"/>
          <w:rFonts w:cs="FrankRuehl" w:hint="cs"/>
          <w:sz w:val="20"/>
          <w:rtl/>
        </w:rPr>
        <w:tab/>
      </w:r>
      <w:r>
        <w:rPr>
          <w:rStyle w:val="default"/>
          <w:rFonts w:cs="FrankRuehl"/>
          <w:sz w:val="20"/>
        </w:rPr>
        <w:t>DVR</w:t>
      </w:r>
    </w:p>
    <w:p w:rsidR="00274F68" w:rsidRDefault="00274F68" w:rsidP="00274F68">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יום ה-</w:t>
      </w:r>
      <w:r>
        <w:rPr>
          <w:rStyle w:val="default"/>
          <w:rFonts w:cs="FrankRuehl"/>
          <w:sz w:val="20"/>
        </w:rPr>
        <w:t>EX</w:t>
      </w:r>
      <w:r>
        <w:rPr>
          <w:rStyle w:val="default"/>
          <w:rFonts w:cs="FrankRuehl" w:hint="cs"/>
          <w:sz w:val="20"/>
          <w:rtl/>
        </w:rPr>
        <w:t xml:space="preserve"> דיבידנד; לעניין זה, יום ה-</w:t>
      </w:r>
      <w:r>
        <w:rPr>
          <w:rStyle w:val="default"/>
          <w:rFonts w:cs="FrankRuehl"/>
          <w:sz w:val="20"/>
        </w:rPr>
        <w:t>EX</w:t>
      </w:r>
      <w:r>
        <w:rPr>
          <w:rStyle w:val="default"/>
          <w:rFonts w:cs="FrankRuehl" w:hint="cs"/>
          <w:sz w:val="20"/>
          <w:rtl/>
        </w:rPr>
        <w:t xml:space="preserve"> הוא יום אחרי היום הקובע</w:t>
      </w:r>
      <w:r>
        <w:rPr>
          <w:rStyle w:val="default"/>
          <w:rFonts w:cs="FrankRuehl" w:hint="cs"/>
          <w:sz w:val="20"/>
          <w:rtl/>
        </w:rPr>
        <w:tab/>
      </w:r>
      <w:r>
        <w:rPr>
          <w:rStyle w:val="default"/>
          <w:rFonts w:cs="FrankRuehl"/>
          <w:sz w:val="20"/>
        </w:rPr>
        <w:t>DVEX</w:t>
      </w:r>
    </w:p>
    <w:p w:rsidR="00274F68" w:rsidRDefault="00274F68" w:rsidP="00274F68">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יום תשלום הדיבידנד</w:t>
      </w:r>
      <w:r>
        <w:rPr>
          <w:rStyle w:val="default"/>
          <w:rFonts w:cs="FrankRuehl" w:hint="cs"/>
          <w:sz w:val="20"/>
          <w:rtl/>
        </w:rPr>
        <w:tab/>
      </w:r>
      <w:r>
        <w:rPr>
          <w:rStyle w:val="default"/>
          <w:rFonts w:cs="FrankRuehl"/>
          <w:sz w:val="20"/>
        </w:rPr>
        <w:t>DVDT</w:t>
      </w:r>
    </w:p>
    <w:p w:rsidR="00274F68" w:rsidRDefault="00274F68" w:rsidP="00274F68">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sz w:val="20"/>
          <w:rtl/>
        </w:rPr>
      </w:pPr>
      <w:r>
        <w:rPr>
          <w:rStyle w:val="default"/>
          <w:rFonts w:cs="FrankRuehl" w:hint="cs"/>
          <w:sz w:val="20"/>
          <w:rtl/>
        </w:rPr>
        <w:t>שער יסודי ביום תשלום דיבידנד; השער יחושב על ידי חלוקת סך כל נכסי הקרן למספר יחידות ההשתתפות בקרן</w:t>
      </w:r>
      <w:r>
        <w:rPr>
          <w:rStyle w:val="default"/>
          <w:rFonts w:cs="FrankRuehl" w:hint="cs"/>
          <w:sz w:val="20"/>
          <w:rtl/>
        </w:rPr>
        <w:tab/>
      </w:r>
      <w:r>
        <w:rPr>
          <w:rStyle w:val="default"/>
          <w:rFonts w:cs="FrankRuehl"/>
          <w:sz w:val="20"/>
        </w:rPr>
        <w:t>DVP</w:t>
      </w:r>
    </w:p>
    <w:p w:rsidR="00274F68" w:rsidRDefault="00274F68" w:rsidP="00274F68">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שיעור הטבה</w:t>
      </w:r>
      <w:r>
        <w:rPr>
          <w:rStyle w:val="default"/>
          <w:rFonts w:cs="FrankRuehl" w:hint="cs"/>
          <w:sz w:val="20"/>
          <w:rtl/>
        </w:rPr>
        <w:tab/>
      </w:r>
      <w:r>
        <w:rPr>
          <w:rStyle w:val="default"/>
          <w:rFonts w:cs="FrankRuehl"/>
          <w:sz w:val="20"/>
        </w:rPr>
        <w:t>HTR</w:t>
      </w:r>
    </w:p>
    <w:p w:rsidR="00274F68" w:rsidRDefault="00274F68" w:rsidP="00274F68">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sz w:val="20"/>
          <w:rtl/>
        </w:rPr>
      </w:pPr>
      <w:r>
        <w:rPr>
          <w:rStyle w:val="default"/>
          <w:rFonts w:cs="FrankRuehl" w:hint="cs"/>
          <w:sz w:val="20"/>
          <w:rtl/>
        </w:rPr>
        <w:t>יום ה-</w:t>
      </w:r>
      <w:r>
        <w:rPr>
          <w:rStyle w:val="default"/>
          <w:rFonts w:cs="FrankRuehl"/>
          <w:sz w:val="20"/>
        </w:rPr>
        <w:t>EX</w:t>
      </w:r>
      <w:r>
        <w:rPr>
          <w:rStyle w:val="default"/>
          <w:rFonts w:cs="FrankRuehl" w:hint="cs"/>
          <w:sz w:val="20"/>
          <w:rtl/>
        </w:rPr>
        <w:t xml:space="preserve"> הטבה; לעניין זה, יום ה-</w:t>
      </w:r>
      <w:r>
        <w:rPr>
          <w:rStyle w:val="default"/>
          <w:rFonts w:cs="FrankRuehl"/>
          <w:sz w:val="20"/>
        </w:rPr>
        <w:t>EX</w:t>
      </w:r>
      <w:r>
        <w:rPr>
          <w:rStyle w:val="default"/>
          <w:rFonts w:cs="FrankRuehl" w:hint="cs"/>
          <w:sz w:val="20"/>
          <w:rtl/>
        </w:rPr>
        <w:t xml:space="preserve"> הוא יום אחרי היום שבו מי שמחזיק ביחידת ההשתתפות בקרן זכאי לתשלום ההטבה</w:t>
      </w:r>
      <w:r>
        <w:rPr>
          <w:rStyle w:val="default"/>
          <w:rFonts w:cs="FrankRuehl" w:hint="cs"/>
          <w:sz w:val="20"/>
          <w:rtl/>
        </w:rPr>
        <w:tab/>
      </w:r>
      <w:r>
        <w:rPr>
          <w:rStyle w:val="default"/>
          <w:rFonts w:cs="FrankRuehl"/>
          <w:sz w:val="20"/>
        </w:rPr>
        <w:t>HTEX</w:t>
      </w:r>
    </w:p>
    <w:p w:rsidR="00274F68" w:rsidRDefault="00274F68" w:rsidP="00274F68">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יום תשלום הטבה</w:t>
      </w:r>
      <w:r>
        <w:rPr>
          <w:rStyle w:val="default"/>
          <w:rFonts w:cs="FrankRuehl" w:hint="cs"/>
          <w:sz w:val="20"/>
          <w:rtl/>
        </w:rPr>
        <w:tab/>
      </w:r>
      <w:r>
        <w:rPr>
          <w:rStyle w:val="default"/>
          <w:rFonts w:cs="FrankRuehl"/>
          <w:sz w:val="20"/>
        </w:rPr>
        <w:t>HTDT</w:t>
      </w:r>
    </w:p>
    <w:p w:rsidR="00A37535" w:rsidRDefault="00274F68">
      <w:pPr>
        <w:pStyle w:val="P00"/>
        <w:spacing w:before="72"/>
        <w:ind w:left="0" w:right="1134"/>
        <w:rPr>
          <w:rStyle w:val="default"/>
          <w:rFonts w:cs="FrankRuehl" w:hint="cs"/>
          <w:sz w:val="20"/>
          <w:rtl/>
        </w:rPr>
      </w:pPr>
      <w:r>
        <w:rPr>
          <w:rStyle w:val="default"/>
          <w:rFonts w:cs="FrankRuehl" w:hint="cs"/>
          <w:sz w:val="20"/>
          <w:rtl/>
        </w:rPr>
        <w:t>8.</w:t>
      </w:r>
      <w:r>
        <w:rPr>
          <w:rStyle w:val="default"/>
          <w:rFonts w:cs="FrankRuehl" w:hint="cs"/>
          <w:sz w:val="20"/>
          <w:rtl/>
        </w:rPr>
        <w:tab/>
      </w:r>
      <w:r w:rsidRPr="00274F68">
        <w:rPr>
          <w:rStyle w:val="default"/>
          <w:rFonts w:cs="FrankRuehl" w:hint="cs"/>
          <w:b/>
          <w:bCs/>
          <w:sz w:val="22"/>
          <w:szCs w:val="22"/>
          <w:rtl/>
        </w:rPr>
        <w:t>השקעות בתעודות סל, תעודות על מטבע ותעודות פיקדון נסחרות בישראל</w:t>
      </w:r>
    </w:p>
    <w:p w:rsidR="00274F68" w:rsidRPr="00C4293B" w:rsidRDefault="00274F68" w:rsidP="00274F68">
      <w:pPr>
        <w:pStyle w:val="P00"/>
        <w:pBdr>
          <w:bottom w:val="single" w:sz="4" w:space="1" w:color="auto"/>
        </w:pBdr>
        <w:tabs>
          <w:tab w:val="clear" w:pos="624"/>
          <w:tab w:val="clear" w:pos="1021"/>
          <w:tab w:val="clear" w:pos="1474"/>
          <w:tab w:val="clear" w:pos="1928"/>
          <w:tab w:val="clear" w:pos="2381"/>
          <w:tab w:val="clear" w:pos="6259"/>
          <w:tab w:val="center" w:pos="2835"/>
          <w:tab w:val="center" w:pos="6521"/>
        </w:tabs>
        <w:spacing w:before="72"/>
        <w:ind w:left="0" w:right="1134"/>
        <w:rPr>
          <w:rStyle w:val="default"/>
          <w:rFonts w:cs="FrankRuehl" w:hint="cs"/>
          <w:sz w:val="22"/>
          <w:szCs w:val="22"/>
          <w:rtl/>
        </w:rPr>
      </w:pPr>
      <w:r w:rsidRPr="00C4293B">
        <w:rPr>
          <w:rStyle w:val="default"/>
          <w:rFonts w:cs="FrankRuehl" w:hint="cs"/>
          <w:sz w:val="22"/>
          <w:szCs w:val="22"/>
          <w:rtl/>
        </w:rPr>
        <w:tab/>
        <w:t>שם סעיף הדיווח</w:t>
      </w:r>
      <w:r w:rsidRPr="00C4293B">
        <w:rPr>
          <w:rStyle w:val="default"/>
          <w:rFonts w:cs="FrankRuehl" w:hint="cs"/>
          <w:sz w:val="22"/>
          <w:szCs w:val="22"/>
          <w:rtl/>
        </w:rPr>
        <w:tab/>
        <w:t>קוד בנק ישראל</w:t>
      </w:r>
    </w:p>
    <w:p w:rsidR="00274F68" w:rsidRDefault="00274F68" w:rsidP="00274F68">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 xml:space="preserve">תעודת סל שמחקות מדדי מניות </w:t>
      </w:r>
      <w:r>
        <w:rPr>
          <w:rStyle w:val="default"/>
          <w:rFonts w:cs="FrankRuehl"/>
          <w:sz w:val="20"/>
          <w:rtl/>
        </w:rPr>
        <w:t>–</w:t>
      </w:r>
    </w:p>
    <w:p w:rsidR="00274F68" w:rsidRDefault="00274F68" w:rsidP="00274F68">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בארץ</w:t>
      </w:r>
      <w:r>
        <w:rPr>
          <w:rStyle w:val="default"/>
          <w:rFonts w:cs="FrankRuehl" w:hint="cs"/>
          <w:sz w:val="20"/>
          <w:rtl/>
        </w:rPr>
        <w:tab/>
      </w:r>
      <w:r>
        <w:rPr>
          <w:rStyle w:val="default"/>
          <w:rFonts w:cs="FrankRuehl"/>
          <w:sz w:val="20"/>
        </w:rPr>
        <w:t>C7A</w:t>
      </w:r>
    </w:p>
    <w:p w:rsidR="00274F68" w:rsidRDefault="00274F68" w:rsidP="00274F68">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בחוץ לארץ</w:t>
      </w:r>
      <w:r>
        <w:rPr>
          <w:rStyle w:val="default"/>
          <w:rFonts w:cs="FrankRuehl" w:hint="cs"/>
          <w:sz w:val="20"/>
          <w:rtl/>
        </w:rPr>
        <w:tab/>
      </w:r>
      <w:r>
        <w:rPr>
          <w:rStyle w:val="default"/>
          <w:rFonts w:cs="FrankRuehl"/>
          <w:sz w:val="20"/>
        </w:rPr>
        <w:t>C7B</w:t>
      </w:r>
    </w:p>
    <w:p w:rsidR="00274F68" w:rsidRDefault="00274F68" w:rsidP="00274F68">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 xml:space="preserve">תעודות סל שמחקות מדדים אחרים </w:t>
      </w:r>
      <w:r>
        <w:rPr>
          <w:rStyle w:val="default"/>
          <w:rFonts w:cs="FrankRuehl"/>
          <w:sz w:val="20"/>
          <w:rtl/>
        </w:rPr>
        <w:t>–</w:t>
      </w:r>
    </w:p>
    <w:p w:rsidR="00274F68" w:rsidRDefault="00274F68" w:rsidP="005B6EC4">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בארץ</w:t>
      </w:r>
      <w:r>
        <w:rPr>
          <w:rStyle w:val="default"/>
          <w:rFonts w:cs="FrankRuehl" w:hint="cs"/>
          <w:sz w:val="20"/>
          <w:rtl/>
        </w:rPr>
        <w:tab/>
      </w:r>
      <w:r>
        <w:rPr>
          <w:rStyle w:val="default"/>
          <w:rFonts w:cs="FrankRuehl"/>
          <w:sz w:val="20"/>
        </w:rPr>
        <w:t>C7</w:t>
      </w:r>
      <w:r w:rsidR="005B6EC4">
        <w:rPr>
          <w:rStyle w:val="default"/>
          <w:rFonts w:cs="FrankRuehl"/>
          <w:sz w:val="20"/>
        </w:rPr>
        <w:t>C</w:t>
      </w:r>
    </w:p>
    <w:p w:rsidR="00274F68" w:rsidRDefault="00274F68" w:rsidP="005B6EC4">
      <w:pPr>
        <w:pStyle w:val="P00"/>
        <w:tabs>
          <w:tab w:val="clear" w:pos="624"/>
          <w:tab w:val="clear" w:pos="1021"/>
          <w:tab w:val="clear" w:pos="1474"/>
          <w:tab w:val="clear" w:pos="1928"/>
          <w:tab w:val="clear" w:pos="2381"/>
          <w:tab w:val="clear" w:pos="2835"/>
          <w:tab w:val="clear" w:pos="6259"/>
          <w:tab w:val="left" w:pos="6237"/>
        </w:tabs>
        <w:spacing w:before="72"/>
        <w:ind w:left="397" w:right="1134"/>
        <w:rPr>
          <w:rStyle w:val="default"/>
          <w:rFonts w:cs="FrankRuehl" w:hint="cs"/>
          <w:sz w:val="20"/>
          <w:rtl/>
        </w:rPr>
      </w:pPr>
      <w:r>
        <w:rPr>
          <w:rStyle w:val="default"/>
          <w:rFonts w:cs="FrankRuehl" w:hint="cs"/>
          <w:sz w:val="20"/>
          <w:rtl/>
        </w:rPr>
        <w:t>בחוץ לארץ</w:t>
      </w:r>
      <w:r>
        <w:rPr>
          <w:rStyle w:val="default"/>
          <w:rFonts w:cs="FrankRuehl" w:hint="cs"/>
          <w:sz w:val="20"/>
          <w:rtl/>
        </w:rPr>
        <w:tab/>
      </w:r>
      <w:r>
        <w:rPr>
          <w:rStyle w:val="default"/>
          <w:rFonts w:cs="FrankRuehl"/>
          <w:sz w:val="20"/>
        </w:rPr>
        <w:t>C7</w:t>
      </w:r>
      <w:r w:rsidR="005B6EC4">
        <w:rPr>
          <w:rStyle w:val="default"/>
          <w:rFonts w:cs="FrankRuehl"/>
          <w:sz w:val="20"/>
        </w:rPr>
        <w:t>D</w:t>
      </w:r>
    </w:p>
    <w:p w:rsidR="00274F68" w:rsidRDefault="005B6EC4" w:rsidP="00274F68">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 xml:space="preserve">תעודות על מטבע או תעודות פיקדון </w:t>
      </w:r>
      <w:r>
        <w:rPr>
          <w:rStyle w:val="default"/>
          <w:rFonts w:cs="FrankRuehl"/>
          <w:sz w:val="20"/>
          <w:rtl/>
        </w:rPr>
        <w:t>–</w:t>
      </w:r>
    </w:p>
    <w:p w:rsidR="005B6EC4" w:rsidRDefault="005B6EC4" w:rsidP="00274F68">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תעודות על מטבע חוץ או תעודות פיקדון במטבע חוץ</w:t>
      </w:r>
      <w:r>
        <w:rPr>
          <w:rStyle w:val="default"/>
          <w:rFonts w:cs="FrankRuehl" w:hint="cs"/>
          <w:sz w:val="20"/>
          <w:rtl/>
        </w:rPr>
        <w:tab/>
      </w:r>
      <w:r>
        <w:rPr>
          <w:rStyle w:val="default"/>
          <w:rFonts w:cs="FrankRuehl"/>
          <w:sz w:val="20"/>
        </w:rPr>
        <w:t>C7E</w:t>
      </w:r>
    </w:p>
    <w:p w:rsidR="005B6EC4" w:rsidRDefault="005B6EC4" w:rsidP="00274F68">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תעודות על המטבע הישראלי או תעודות פיקדון במטבע ישראלי</w:t>
      </w:r>
      <w:r>
        <w:rPr>
          <w:rStyle w:val="default"/>
          <w:rFonts w:cs="FrankRuehl" w:hint="cs"/>
          <w:sz w:val="20"/>
          <w:rtl/>
        </w:rPr>
        <w:tab/>
      </w:r>
      <w:r>
        <w:rPr>
          <w:rStyle w:val="default"/>
          <w:rFonts w:cs="FrankRuehl"/>
          <w:sz w:val="20"/>
        </w:rPr>
        <w:t>C7F</w:t>
      </w:r>
    </w:p>
    <w:p w:rsidR="00274F68" w:rsidRDefault="005B6EC4">
      <w:pPr>
        <w:pStyle w:val="P00"/>
        <w:spacing w:before="72"/>
        <w:ind w:left="0" w:right="1134"/>
        <w:rPr>
          <w:rStyle w:val="default"/>
          <w:rFonts w:cs="FrankRuehl" w:hint="cs"/>
          <w:sz w:val="20"/>
          <w:rtl/>
        </w:rPr>
      </w:pPr>
      <w:r>
        <w:rPr>
          <w:rStyle w:val="default"/>
          <w:rFonts w:cs="FrankRuehl" w:hint="cs"/>
          <w:sz w:val="20"/>
          <w:rtl/>
        </w:rPr>
        <w:t>9.</w:t>
      </w:r>
      <w:r>
        <w:rPr>
          <w:rStyle w:val="default"/>
          <w:rFonts w:cs="FrankRuehl" w:hint="cs"/>
          <w:sz w:val="20"/>
          <w:rtl/>
        </w:rPr>
        <w:tab/>
      </w:r>
      <w:r w:rsidRPr="005B6EC4">
        <w:rPr>
          <w:rStyle w:val="default"/>
          <w:rFonts w:cs="FrankRuehl" w:hint="cs"/>
          <w:b/>
          <w:bCs/>
          <w:sz w:val="22"/>
          <w:szCs w:val="22"/>
          <w:rtl/>
        </w:rPr>
        <w:t>השקעות בתעודות סל ותעודות פקדון נסחרות בחוץ לארץ</w:t>
      </w:r>
    </w:p>
    <w:p w:rsidR="005B6EC4" w:rsidRPr="00C4293B" w:rsidRDefault="005B6EC4" w:rsidP="005B6EC4">
      <w:pPr>
        <w:pStyle w:val="P00"/>
        <w:pBdr>
          <w:bottom w:val="single" w:sz="4" w:space="1" w:color="auto"/>
        </w:pBdr>
        <w:tabs>
          <w:tab w:val="clear" w:pos="624"/>
          <w:tab w:val="clear" w:pos="1021"/>
          <w:tab w:val="clear" w:pos="1474"/>
          <w:tab w:val="clear" w:pos="1928"/>
          <w:tab w:val="clear" w:pos="2381"/>
          <w:tab w:val="clear" w:pos="6259"/>
          <w:tab w:val="center" w:pos="2835"/>
          <w:tab w:val="center" w:pos="6521"/>
        </w:tabs>
        <w:spacing w:before="72"/>
        <w:ind w:left="0" w:right="1134"/>
        <w:rPr>
          <w:rStyle w:val="default"/>
          <w:rFonts w:cs="FrankRuehl" w:hint="cs"/>
          <w:sz w:val="22"/>
          <w:szCs w:val="22"/>
          <w:rtl/>
        </w:rPr>
      </w:pPr>
      <w:r w:rsidRPr="00C4293B">
        <w:rPr>
          <w:rStyle w:val="default"/>
          <w:rFonts w:cs="FrankRuehl" w:hint="cs"/>
          <w:sz w:val="22"/>
          <w:szCs w:val="22"/>
          <w:rtl/>
        </w:rPr>
        <w:tab/>
        <w:t>שם סעיף הדיווח</w:t>
      </w:r>
      <w:r w:rsidRPr="00C4293B">
        <w:rPr>
          <w:rStyle w:val="default"/>
          <w:rFonts w:cs="FrankRuehl" w:hint="cs"/>
          <w:sz w:val="22"/>
          <w:szCs w:val="22"/>
          <w:rtl/>
        </w:rPr>
        <w:tab/>
        <w:t>קוד בנק ישראל</w:t>
      </w:r>
    </w:p>
    <w:p w:rsidR="005B6EC4" w:rsidRDefault="005B6EC4" w:rsidP="005B6EC4">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תעודות סל שמחקות מדדי מניות</w:t>
      </w:r>
      <w:r>
        <w:rPr>
          <w:rStyle w:val="default"/>
          <w:rFonts w:cs="FrankRuehl" w:hint="cs"/>
          <w:sz w:val="20"/>
          <w:rtl/>
        </w:rPr>
        <w:tab/>
      </w:r>
      <w:r>
        <w:rPr>
          <w:rStyle w:val="default"/>
          <w:rFonts w:cs="FrankRuehl"/>
          <w:sz w:val="20"/>
        </w:rPr>
        <w:t>C8A</w:t>
      </w:r>
    </w:p>
    <w:p w:rsidR="005B6EC4" w:rsidRDefault="005B6EC4" w:rsidP="005B6EC4">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תעודות סל שמחקות מדדים אחרים</w:t>
      </w:r>
      <w:r>
        <w:rPr>
          <w:rStyle w:val="default"/>
          <w:rFonts w:cs="FrankRuehl" w:hint="cs"/>
          <w:sz w:val="20"/>
          <w:rtl/>
        </w:rPr>
        <w:tab/>
      </w:r>
      <w:r>
        <w:rPr>
          <w:rStyle w:val="default"/>
          <w:rFonts w:cs="FrankRuehl"/>
          <w:sz w:val="20"/>
        </w:rPr>
        <w:t>C8B</w:t>
      </w:r>
    </w:p>
    <w:p w:rsidR="005B6EC4" w:rsidRDefault="005B6EC4" w:rsidP="005B6EC4">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0"/>
          <w:rtl/>
        </w:rPr>
      </w:pPr>
      <w:r>
        <w:rPr>
          <w:rStyle w:val="default"/>
          <w:rFonts w:cs="FrankRuehl" w:hint="cs"/>
          <w:sz w:val="20"/>
          <w:rtl/>
        </w:rPr>
        <w:t>תעודות פיקדון במטבע חוץ</w:t>
      </w:r>
      <w:r>
        <w:rPr>
          <w:rStyle w:val="default"/>
          <w:rFonts w:cs="FrankRuehl" w:hint="cs"/>
          <w:sz w:val="20"/>
          <w:rtl/>
        </w:rPr>
        <w:tab/>
      </w:r>
      <w:r>
        <w:rPr>
          <w:rStyle w:val="default"/>
          <w:rFonts w:cs="FrankRuehl"/>
          <w:sz w:val="20"/>
        </w:rPr>
        <w:t>C8C</w:t>
      </w:r>
    </w:p>
    <w:p w:rsidR="00006650" w:rsidRPr="00536FF0" w:rsidRDefault="00006650">
      <w:pPr>
        <w:pStyle w:val="P00"/>
        <w:spacing w:before="72"/>
        <w:ind w:left="0" w:right="1134"/>
        <w:rPr>
          <w:rStyle w:val="default"/>
          <w:rFonts w:cs="FrankRuehl" w:hint="cs"/>
          <w:sz w:val="20"/>
          <w:rtl/>
        </w:rPr>
      </w:pPr>
    </w:p>
    <w:p w:rsidR="00006CAF" w:rsidRPr="00536FF0" w:rsidRDefault="00006CAF">
      <w:pPr>
        <w:pStyle w:val="P00"/>
        <w:spacing w:before="72"/>
        <w:ind w:left="0" w:right="1134"/>
        <w:rPr>
          <w:rStyle w:val="default"/>
          <w:rFonts w:cs="FrankRuehl" w:hint="cs"/>
          <w:sz w:val="20"/>
          <w:rtl/>
        </w:rPr>
      </w:pPr>
    </w:p>
    <w:p w:rsidR="00FA0F95" w:rsidRPr="00536FF0" w:rsidRDefault="005B6EC4" w:rsidP="005B6EC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Fonts w:cs="FrankRuehl" w:hint="cs"/>
          <w:rtl/>
        </w:rPr>
        <w:t>י"ג באב התשע"ה (29 ביולי 2015</w:t>
      </w:r>
      <w:r w:rsidR="007A3435" w:rsidRPr="00536FF0">
        <w:rPr>
          <w:rFonts w:cs="FrankRuehl" w:hint="cs"/>
          <w:rtl/>
        </w:rPr>
        <w:t>)</w:t>
      </w:r>
      <w:r w:rsidR="00FA0F95" w:rsidRPr="00536FF0">
        <w:rPr>
          <w:rFonts w:cs="FrankRuehl" w:hint="cs"/>
          <w:rtl/>
        </w:rPr>
        <w:tab/>
      </w:r>
      <w:r>
        <w:rPr>
          <w:rFonts w:cs="FrankRuehl" w:hint="cs"/>
          <w:rtl/>
        </w:rPr>
        <w:t>קרנית פלוג</w:t>
      </w:r>
    </w:p>
    <w:p w:rsidR="00877509" w:rsidRPr="00536FF0" w:rsidRDefault="00FA0F95" w:rsidP="005B6EC4">
      <w:pPr>
        <w:pStyle w:val="sig-0"/>
        <w:tabs>
          <w:tab w:val="clear" w:pos="4820"/>
          <w:tab w:val="center" w:pos="5670"/>
        </w:tabs>
        <w:spacing w:before="0"/>
        <w:ind w:left="0" w:right="1134"/>
        <w:rPr>
          <w:rFonts w:cs="FrankRuehl" w:hint="cs"/>
          <w:szCs w:val="22"/>
          <w:rtl/>
        </w:rPr>
      </w:pPr>
      <w:r w:rsidRPr="00536FF0">
        <w:rPr>
          <w:rFonts w:cs="FrankRuehl" w:hint="cs"/>
          <w:szCs w:val="22"/>
          <w:rtl/>
        </w:rPr>
        <w:tab/>
      </w:r>
      <w:r w:rsidR="00D15D06">
        <w:rPr>
          <w:rFonts w:cs="FrankRuehl" w:hint="cs"/>
          <w:szCs w:val="22"/>
          <w:rtl/>
        </w:rPr>
        <w:t>נגיד</w:t>
      </w:r>
      <w:r w:rsidR="005B6EC4">
        <w:rPr>
          <w:rFonts w:cs="FrankRuehl" w:hint="cs"/>
          <w:szCs w:val="22"/>
          <w:rtl/>
        </w:rPr>
        <w:t>ת</w:t>
      </w:r>
      <w:r w:rsidR="00D15D06">
        <w:rPr>
          <w:rFonts w:cs="FrankRuehl" w:hint="cs"/>
          <w:szCs w:val="22"/>
          <w:rtl/>
        </w:rPr>
        <w:t xml:space="preserve"> בנק ישראל</w:t>
      </w:r>
    </w:p>
    <w:p w:rsidR="00D078B6" w:rsidRPr="00536FF0" w:rsidRDefault="00D078B6">
      <w:pPr>
        <w:pStyle w:val="sig-0"/>
        <w:tabs>
          <w:tab w:val="clear" w:pos="4820"/>
          <w:tab w:val="center" w:pos="5670"/>
        </w:tabs>
        <w:ind w:left="0" w:right="1134"/>
        <w:rPr>
          <w:rFonts w:cs="FrankRuehl" w:hint="cs"/>
          <w:rtl/>
        </w:rPr>
      </w:pPr>
    </w:p>
    <w:p w:rsidR="00DE73CB" w:rsidRDefault="00DE73CB">
      <w:pPr>
        <w:pStyle w:val="sig-0"/>
        <w:ind w:left="0" w:right="1134"/>
        <w:rPr>
          <w:rFonts w:cs="FrankRuehl"/>
          <w:rtl/>
        </w:rPr>
      </w:pPr>
    </w:p>
    <w:p w:rsidR="00971CCF" w:rsidRDefault="00971CCF">
      <w:pPr>
        <w:pStyle w:val="sig-0"/>
        <w:ind w:left="0" w:right="1134"/>
        <w:rPr>
          <w:rFonts w:cs="FrankRuehl"/>
          <w:rtl/>
        </w:rPr>
      </w:pPr>
    </w:p>
    <w:p w:rsidR="00971CCF" w:rsidRDefault="00971CCF">
      <w:pPr>
        <w:pStyle w:val="sig-0"/>
        <w:ind w:left="0" w:right="1134"/>
        <w:rPr>
          <w:rFonts w:cs="FrankRuehl"/>
          <w:rtl/>
        </w:rPr>
      </w:pPr>
    </w:p>
    <w:p w:rsidR="00971CCF" w:rsidRDefault="00971CCF" w:rsidP="00971CCF">
      <w:pPr>
        <w:pStyle w:val="sig-0"/>
        <w:ind w:left="0" w:right="1134"/>
        <w:jc w:val="center"/>
        <w:rPr>
          <w:rFonts w:cs="David"/>
          <w:color w:val="0000FF"/>
          <w:szCs w:val="24"/>
          <w:u w:val="single"/>
          <w:rtl/>
        </w:rPr>
      </w:pPr>
      <w:hyperlink r:id="rId7" w:history="1">
        <w:r>
          <w:rPr>
            <w:rFonts w:cs="David"/>
            <w:color w:val="0000FF"/>
            <w:szCs w:val="24"/>
            <w:u w:val="single"/>
            <w:rtl/>
          </w:rPr>
          <w:t>הודעה למנויים על עריכה ושינויים במסמכי פסיקה, חקיקה ועוד באתר נבו - הקש כאן</w:t>
        </w:r>
      </w:hyperlink>
    </w:p>
    <w:p w:rsidR="00634B7C" w:rsidRDefault="00634B7C" w:rsidP="00971CCF">
      <w:pPr>
        <w:pStyle w:val="sig-0"/>
        <w:ind w:left="0" w:right="1134"/>
        <w:jc w:val="center"/>
        <w:rPr>
          <w:rFonts w:cs="David"/>
          <w:color w:val="0000FF"/>
          <w:szCs w:val="24"/>
          <w:u w:val="single"/>
          <w:rtl/>
        </w:rPr>
      </w:pPr>
    </w:p>
    <w:p w:rsidR="00634B7C" w:rsidRDefault="00634B7C" w:rsidP="00971CCF">
      <w:pPr>
        <w:pStyle w:val="sig-0"/>
        <w:ind w:left="0" w:right="1134"/>
        <w:jc w:val="center"/>
        <w:rPr>
          <w:rFonts w:cs="David"/>
          <w:color w:val="0000FF"/>
          <w:szCs w:val="24"/>
          <w:u w:val="single"/>
          <w:rtl/>
        </w:rPr>
      </w:pPr>
    </w:p>
    <w:p w:rsidR="00634B7C" w:rsidRDefault="00634B7C" w:rsidP="00634B7C">
      <w:pPr>
        <w:pStyle w:val="sig-0"/>
        <w:ind w:left="0" w:right="1134"/>
        <w:jc w:val="center"/>
        <w:rPr>
          <w:rFonts w:cs="David"/>
          <w:color w:val="0000FF"/>
          <w:szCs w:val="24"/>
          <w:u w:val="single"/>
          <w:rtl/>
        </w:rPr>
      </w:pPr>
      <w:hyperlink r:id="rId8" w:history="1">
        <w:r>
          <w:rPr>
            <w:rFonts w:cs="David"/>
            <w:color w:val="0000FF"/>
            <w:szCs w:val="24"/>
            <w:u w:val="single"/>
            <w:rtl/>
          </w:rPr>
          <w:t>הודעה למנויים על עריכה ושינויים במסמכי פסיקה, חקיקה ועוד באתר נבו - הקש כאן</w:t>
        </w:r>
      </w:hyperlink>
    </w:p>
    <w:p w:rsidR="00DE73CB" w:rsidRPr="00634B7C" w:rsidRDefault="00DE73CB" w:rsidP="00634B7C">
      <w:pPr>
        <w:pStyle w:val="sig-0"/>
        <w:ind w:left="0" w:right="1134"/>
        <w:jc w:val="center"/>
        <w:rPr>
          <w:rFonts w:cs="David"/>
          <w:color w:val="0000FF"/>
          <w:szCs w:val="24"/>
          <w:u w:val="single"/>
          <w:rtl/>
        </w:rPr>
      </w:pPr>
    </w:p>
    <w:sectPr w:rsidR="00DE73CB" w:rsidRPr="00634B7C">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3F21" w:rsidRDefault="00CE3F21">
      <w:r>
        <w:separator/>
      </w:r>
    </w:p>
  </w:endnote>
  <w:endnote w:type="continuationSeparator" w:id="0">
    <w:p w:rsidR="00CE3F21" w:rsidRDefault="00CE3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7BE" w:rsidRDefault="00CB07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B07BE" w:rsidRDefault="00CB07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B07BE" w:rsidRDefault="00CB07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4B7C">
      <w:rPr>
        <w:rFonts w:cs="TopType Jerushalmi"/>
        <w:noProof/>
        <w:color w:val="000000"/>
        <w:sz w:val="14"/>
        <w:szCs w:val="14"/>
      </w:rPr>
      <w:t>Z:\000-law\yael\2015\2015-08-19\Laws\01\501_261.doc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7BE" w:rsidRDefault="00CB07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34B7C">
      <w:rPr>
        <w:rFonts w:hAnsi="FrankRuehl" w:cs="FrankRuehl"/>
        <w:noProof/>
        <w:sz w:val="24"/>
        <w:szCs w:val="24"/>
        <w:rtl/>
      </w:rPr>
      <w:t>6</w:t>
    </w:r>
    <w:r>
      <w:rPr>
        <w:rFonts w:hAnsi="FrankRuehl" w:cs="FrankRuehl"/>
        <w:sz w:val="24"/>
        <w:szCs w:val="24"/>
        <w:rtl/>
      </w:rPr>
      <w:fldChar w:fldCharType="end"/>
    </w:r>
  </w:p>
  <w:p w:rsidR="00CB07BE" w:rsidRDefault="00CB07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B07BE" w:rsidRDefault="00CB07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4B7C">
      <w:rPr>
        <w:rFonts w:cs="TopType Jerushalmi"/>
        <w:noProof/>
        <w:color w:val="000000"/>
        <w:sz w:val="14"/>
        <w:szCs w:val="14"/>
      </w:rPr>
      <w:t>Z:\000-law\yael\2015\2015-08-19\Laws\01\501_261.doc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3F21" w:rsidRDefault="00CE3F21">
      <w:r>
        <w:separator/>
      </w:r>
    </w:p>
  </w:footnote>
  <w:footnote w:type="continuationSeparator" w:id="0">
    <w:p w:rsidR="00CE3F21" w:rsidRDefault="00CE3F21">
      <w:r>
        <w:continuationSeparator/>
      </w:r>
    </w:p>
  </w:footnote>
  <w:footnote w:id="1">
    <w:p w:rsidR="00915A47" w:rsidRPr="00076EB0" w:rsidRDefault="00CB07BE" w:rsidP="00915A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sidR="007464A9">
        <w:rPr>
          <w:rFonts w:cs="FrankRuehl" w:hint="cs"/>
          <w:rtl/>
        </w:rPr>
        <w:t xml:space="preserve"> פורסם</w:t>
      </w:r>
      <w:r>
        <w:rPr>
          <w:rFonts w:cs="FrankRuehl" w:hint="cs"/>
          <w:rtl/>
        </w:rPr>
        <w:t xml:space="preserve"> </w:t>
      </w:r>
      <w:hyperlink r:id="rId1" w:history="1">
        <w:r w:rsidRPr="00915A47">
          <w:rPr>
            <w:rStyle w:val="Hyperlink"/>
            <w:rFonts w:cs="FrankRuehl" w:hint="cs"/>
            <w:rtl/>
          </w:rPr>
          <w:t>ק"ת תשע</w:t>
        </w:r>
        <w:r w:rsidR="00006650" w:rsidRPr="00915A47">
          <w:rPr>
            <w:rStyle w:val="Hyperlink"/>
            <w:rFonts w:cs="FrankRuehl" w:hint="cs"/>
            <w:rtl/>
          </w:rPr>
          <w:t>"ה</w:t>
        </w:r>
        <w:r w:rsidRPr="00915A47">
          <w:rPr>
            <w:rStyle w:val="Hyperlink"/>
            <w:rFonts w:cs="FrankRuehl" w:hint="cs"/>
            <w:rtl/>
          </w:rPr>
          <w:t xml:space="preserve"> מס' </w:t>
        </w:r>
        <w:r w:rsidR="00006650" w:rsidRPr="00915A47">
          <w:rPr>
            <w:rStyle w:val="Hyperlink"/>
            <w:rFonts w:cs="FrankRuehl" w:hint="cs"/>
            <w:rtl/>
          </w:rPr>
          <w:t>7545</w:t>
        </w:r>
      </w:hyperlink>
      <w:r>
        <w:rPr>
          <w:rFonts w:cs="FrankRuehl" w:hint="cs"/>
          <w:rtl/>
        </w:rPr>
        <w:t xml:space="preserve"> מיום </w:t>
      </w:r>
      <w:r w:rsidR="00006650">
        <w:rPr>
          <w:rFonts w:cs="FrankRuehl" w:hint="cs"/>
          <w:rtl/>
        </w:rPr>
        <w:t>18.8.2015</w:t>
      </w:r>
      <w:r>
        <w:rPr>
          <w:rFonts w:cs="FrankRuehl" w:hint="cs"/>
          <w:rtl/>
        </w:rPr>
        <w:t xml:space="preserve"> עמ' </w:t>
      </w:r>
      <w:r w:rsidR="00006650">
        <w:rPr>
          <w:rFonts w:cs="FrankRuehl" w:hint="cs"/>
          <w:rtl/>
        </w:rPr>
        <w:t>1837</w:t>
      </w:r>
      <w:r>
        <w:rPr>
          <w:rFonts w:cs="FrankRuehl" w:hint="cs"/>
          <w:rtl/>
        </w:rPr>
        <w:t>.</w:t>
      </w:r>
    </w:p>
  </w:footnote>
  <w:footnote w:id="2">
    <w:p w:rsidR="00A37535" w:rsidRDefault="00A37535" w:rsidP="00A37535">
      <w:pPr>
        <w:pStyle w:val="a5"/>
        <w:spacing w:before="72"/>
        <w:ind w:right="1134"/>
        <w:jc w:val="both"/>
        <w:rPr>
          <w:rFonts w:hint="cs"/>
          <w:rtl/>
        </w:rPr>
      </w:pPr>
      <w:r>
        <w:rPr>
          <w:rStyle w:val="a6"/>
        </w:rPr>
        <w:footnoteRef/>
      </w:r>
      <w:r w:rsidRPr="00A37535">
        <w:rPr>
          <w:rFonts w:cs="FrankRuehl"/>
          <w:sz w:val="22"/>
          <w:szCs w:val="22"/>
          <w:rtl/>
        </w:rPr>
        <w:t xml:space="preserve"> </w:t>
      </w:r>
      <w:r w:rsidRPr="00A37535">
        <w:rPr>
          <w:rFonts w:cs="FrankRuehl" w:hint="cs"/>
          <w:sz w:val="22"/>
          <w:szCs w:val="22"/>
          <w:rtl/>
        </w:rPr>
        <w:t>בדיווח על קרנות שמוזגו במהלך החודש שאליו מתייחס הדיווח, לא ייחשבו סך כל נכסי הקרנות הנקלטות, לרבות תקבולים מהנפקות שהתקבלו עד למועד המיזוג, כתקבולים של הקרן הקולטת, כי אם רק הנפקות שביצעה הקרן הקולטת.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7BE" w:rsidRDefault="00CB07B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7BE" w:rsidRDefault="007464A9" w:rsidP="0000665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בנק ישראל (</w:t>
    </w:r>
    <w:r w:rsidR="00006650">
      <w:rPr>
        <w:rFonts w:hAnsi="FrankRuehl" w:cs="FrankRuehl" w:hint="cs"/>
        <w:color w:val="000000"/>
        <w:sz w:val="28"/>
        <w:szCs w:val="28"/>
        <w:rtl/>
      </w:rPr>
      <w:t>חובות דיווח של קרנות נאמנות</w:t>
    </w:r>
    <w:r>
      <w:rPr>
        <w:rFonts w:hAnsi="FrankRuehl" w:cs="FrankRuehl" w:hint="cs"/>
        <w:color w:val="000000"/>
        <w:sz w:val="28"/>
        <w:szCs w:val="28"/>
        <w:rtl/>
      </w:rPr>
      <w:t>)</w:t>
    </w:r>
    <w:r w:rsidR="00CB07BE">
      <w:rPr>
        <w:rFonts w:hAnsi="FrankRuehl" w:cs="FrankRuehl" w:hint="cs"/>
        <w:color w:val="000000"/>
        <w:sz w:val="28"/>
        <w:szCs w:val="28"/>
        <w:rtl/>
      </w:rPr>
      <w:t xml:space="preserve">, </w:t>
    </w:r>
    <w:r w:rsidR="00006650">
      <w:rPr>
        <w:rFonts w:hAnsi="FrankRuehl" w:cs="FrankRuehl" w:hint="cs"/>
        <w:color w:val="000000"/>
        <w:sz w:val="28"/>
        <w:szCs w:val="28"/>
        <w:rtl/>
      </w:rPr>
      <w:t>תשע"ה-2015</w:t>
    </w:r>
  </w:p>
  <w:p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81664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36B3"/>
    <w:rsid w:val="00006650"/>
    <w:rsid w:val="00006CAF"/>
    <w:rsid w:val="00013636"/>
    <w:rsid w:val="00015D0A"/>
    <w:rsid w:val="0001709D"/>
    <w:rsid w:val="00017430"/>
    <w:rsid w:val="000179E7"/>
    <w:rsid w:val="0002606E"/>
    <w:rsid w:val="0004753B"/>
    <w:rsid w:val="0006308F"/>
    <w:rsid w:val="0006314F"/>
    <w:rsid w:val="00067925"/>
    <w:rsid w:val="00067E14"/>
    <w:rsid w:val="000720A8"/>
    <w:rsid w:val="00076EB0"/>
    <w:rsid w:val="00081F43"/>
    <w:rsid w:val="00084084"/>
    <w:rsid w:val="00086891"/>
    <w:rsid w:val="00086ADC"/>
    <w:rsid w:val="00090966"/>
    <w:rsid w:val="00091C02"/>
    <w:rsid w:val="000A46CA"/>
    <w:rsid w:val="000B35BC"/>
    <w:rsid w:val="000B35D5"/>
    <w:rsid w:val="000B4D7F"/>
    <w:rsid w:val="000C0308"/>
    <w:rsid w:val="000C19EE"/>
    <w:rsid w:val="000C7553"/>
    <w:rsid w:val="000D10CD"/>
    <w:rsid w:val="000D597E"/>
    <w:rsid w:val="000D5D2E"/>
    <w:rsid w:val="000E4A75"/>
    <w:rsid w:val="000E4B71"/>
    <w:rsid w:val="000E6A68"/>
    <w:rsid w:val="000E76AF"/>
    <w:rsid w:val="000F1022"/>
    <w:rsid w:val="000F608F"/>
    <w:rsid w:val="0011633A"/>
    <w:rsid w:val="0012012E"/>
    <w:rsid w:val="00123701"/>
    <w:rsid w:val="00126E84"/>
    <w:rsid w:val="00130230"/>
    <w:rsid w:val="0013086C"/>
    <w:rsid w:val="0014555D"/>
    <w:rsid w:val="00150D0A"/>
    <w:rsid w:val="00151314"/>
    <w:rsid w:val="00153B53"/>
    <w:rsid w:val="001656C1"/>
    <w:rsid w:val="001670C1"/>
    <w:rsid w:val="00167F7D"/>
    <w:rsid w:val="00172D22"/>
    <w:rsid w:val="00183086"/>
    <w:rsid w:val="00184C3A"/>
    <w:rsid w:val="00185766"/>
    <w:rsid w:val="00187D2C"/>
    <w:rsid w:val="00192FD0"/>
    <w:rsid w:val="00194A90"/>
    <w:rsid w:val="00195009"/>
    <w:rsid w:val="00195336"/>
    <w:rsid w:val="001977BF"/>
    <w:rsid w:val="001A0191"/>
    <w:rsid w:val="001A2280"/>
    <w:rsid w:val="001B185E"/>
    <w:rsid w:val="001B4B20"/>
    <w:rsid w:val="001C59FC"/>
    <w:rsid w:val="001D7EE0"/>
    <w:rsid w:val="001E28A8"/>
    <w:rsid w:val="001E54FC"/>
    <w:rsid w:val="001E5820"/>
    <w:rsid w:val="001E6289"/>
    <w:rsid w:val="001F2CA1"/>
    <w:rsid w:val="001F7259"/>
    <w:rsid w:val="001F78D7"/>
    <w:rsid w:val="002029DE"/>
    <w:rsid w:val="00202D55"/>
    <w:rsid w:val="00204151"/>
    <w:rsid w:val="00211ACC"/>
    <w:rsid w:val="00216D1A"/>
    <w:rsid w:val="00245AB7"/>
    <w:rsid w:val="0024698C"/>
    <w:rsid w:val="00251EC0"/>
    <w:rsid w:val="00272D70"/>
    <w:rsid w:val="002731A1"/>
    <w:rsid w:val="00274F4B"/>
    <w:rsid w:val="00274F68"/>
    <w:rsid w:val="00291EEB"/>
    <w:rsid w:val="0029668C"/>
    <w:rsid w:val="002C1BF8"/>
    <w:rsid w:val="002D2E32"/>
    <w:rsid w:val="002D49B4"/>
    <w:rsid w:val="002E72D0"/>
    <w:rsid w:val="002E7915"/>
    <w:rsid w:val="002F0F63"/>
    <w:rsid w:val="002F2344"/>
    <w:rsid w:val="002F7A25"/>
    <w:rsid w:val="003033D8"/>
    <w:rsid w:val="00306897"/>
    <w:rsid w:val="0031066C"/>
    <w:rsid w:val="00310BBF"/>
    <w:rsid w:val="0032603F"/>
    <w:rsid w:val="003265EE"/>
    <w:rsid w:val="00330591"/>
    <w:rsid w:val="00330AB2"/>
    <w:rsid w:val="00331A47"/>
    <w:rsid w:val="00335782"/>
    <w:rsid w:val="0034230D"/>
    <w:rsid w:val="00342B4D"/>
    <w:rsid w:val="00355575"/>
    <w:rsid w:val="00357E1A"/>
    <w:rsid w:val="0036078D"/>
    <w:rsid w:val="00365037"/>
    <w:rsid w:val="00365377"/>
    <w:rsid w:val="0037387D"/>
    <w:rsid w:val="003817B6"/>
    <w:rsid w:val="00386342"/>
    <w:rsid w:val="0038647F"/>
    <w:rsid w:val="00391B74"/>
    <w:rsid w:val="00393FA4"/>
    <w:rsid w:val="0039533D"/>
    <w:rsid w:val="003A1AA1"/>
    <w:rsid w:val="003C0065"/>
    <w:rsid w:val="003C66D9"/>
    <w:rsid w:val="003D3207"/>
    <w:rsid w:val="003E2E2A"/>
    <w:rsid w:val="003E3F4F"/>
    <w:rsid w:val="003E42FF"/>
    <w:rsid w:val="00405724"/>
    <w:rsid w:val="00405C48"/>
    <w:rsid w:val="004100C3"/>
    <w:rsid w:val="00411F72"/>
    <w:rsid w:val="00414DD2"/>
    <w:rsid w:val="0041549C"/>
    <w:rsid w:val="00426CB3"/>
    <w:rsid w:val="00430502"/>
    <w:rsid w:val="00432BCA"/>
    <w:rsid w:val="00433362"/>
    <w:rsid w:val="00434FAB"/>
    <w:rsid w:val="00442966"/>
    <w:rsid w:val="00445F2A"/>
    <w:rsid w:val="004515D8"/>
    <w:rsid w:val="00453AE6"/>
    <w:rsid w:val="004578C5"/>
    <w:rsid w:val="004643DF"/>
    <w:rsid w:val="004719B8"/>
    <w:rsid w:val="00476405"/>
    <w:rsid w:val="00482C12"/>
    <w:rsid w:val="00483473"/>
    <w:rsid w:val="0048594B"/>
    <w:rsid w:val="00491D56"/>
    <w:rsid w:val="004A1C6D"/>
    <w:rsid w:val="004B182E"/>
    <w:rsid w:val="004B695B"/>
    <w:rsid w:val="004C0963"/>
    <w:rsid w:val="004E328D"/>
    <w:rsid w:val="004E4EEB"/>
    <w:rsid w:val="004E520E"/>
    <w:rsid w:val="004E7140"/>
    <w:rsid w:val="004F37B4"/>
    <w:rsid w:val="005028E3"/>
    <w:rsid w:val="00504FC6"/>
    <w:rsid w:val="00510C3B"/>
    <w:rsid w:val="00510C7E"/>
    <w:rsid w:val="00511F52"/>
    <w:rsid w:val="0052016A"/>
    <w:rsid w:val="00520C6E"/>
    <w:rsid w:val="00526FE4"/>
    <w:rsid w:val="00532D6F"/>
    <w:rsid w:val="00535FFE"/>
    <w:rsid w:val="00536049"/>
    <w:rsid w:val="00536FF0"/>
    <w:rsid w:val="00543DFD"/>
    <w:rsid w:val="00543E37"/>
    <w:rsid w:val="0054777C"/>
    <w:rsid w:val="005570AF"/>
    <w:rsid w:val="00562D87"/>
    <w:rsid w:val="00564525"/>
    <w:rsid w:val="00566EEC"/>
    <w:rsid w:val="00573797"/>
    <w:rsid w:val="00573ED9"/>
    <w:rsid w:val="005823D2"/>
    <w:rsid w:val="005833B6"/>
    <w:rsid w:val="00590B12"/>
    <w:rsid w:val="00591188"/>
    <w:rsid w:val="0059240C"/>
    <w:rsid w:val="005A01DC"/>
    <w:rsid w:val="005A7BA2"/>
    <w:rsid w:val="005B6EC4"/>
    <w:rsid w:val="005B7DC1"/>
    <w:rsid w:val="005C4B85"/>
    <w:rsid w:val="005E68F9"/>
    <w:rsid w:val="005F35DF"/>
    <w:rsid w:val="005F47C3"/>
    <w:rsid w:val="005F75BE"/>
    <w:rsid w:val="006012A4"/>
    <w:rsid w:val="006035BA"/>
    <w:rsid w:val="00605968"/>
    <w:rsid w:val="006111BF"/>
    <w:rsid w:val="006179D1"/>
    <w:rsid w:val="00622081"/>
    <w:rsid w:val="006229C3"/>
    <w:rsid w:val="00634B7C"/>
    <w:rsid w:val="006357C1"/>
    <w:rsid w:val="00635F18"/>
    <w:rsid w:val="006411A2"/>
    <w:rsid w:val="00642EE2"/>
    <w:rsid w:val="00644325"/>
    <w:rsid w:val="00644ADC"/>
    <w:rsid w:val="006469BE"/>
    <w:rsid w:val="00656E1B"/>
    <w:rsid w:val="00666CAD"/>
    <w:rsid w:val="00672B61"/>
    <w:rsid w:val="0067307D"/>
    <w:rsid w:val="00681197"/>
    <w:rsid w:val="00683E2F"/>
    <w:rsid w:val="006926F5"/>
    <w:rsid w:val="00692F31"/>
    <w:rsid w:val="00696823"/>
    <w:rsid w:val="006B0008"/>
    <w:rsid w:val="006B018D"/>
    <w:rsid w:val="006C51AF"/>
    <w:rsid w:val="006D1759"/>
    <w:rsid w:val="006D18A1"/>
    <w:rsid w:val="006D5034"/>
    <w:rsid w:val="006E1D7B"/>
    <w:rsid w:val="006E46A1"/>
    <w:rsid w:val="0070082F"/>
    <w:rsid w:val="007101DB"/>
    <w:rsid w:val="0071067A"/>
    <w:rsid w:val="0071272E"/>
    <w:rsid w:val="00716691"/>
    <w:rsid w:val="00734A5E"/>
    <w:rsid w:val="007357F0"/>
    <w:rsid w:val="00740ABF"/>
    <w:rsid w:val="007464A9"/>
    <w:rsid w:val="007561A0"/>
    <w:rsid w:val="00760401"/>
    <w:rsid w:val="007613DA"/>
    <w:rsid w:val="007654C4"/>
    <w:rsid w:val="007671F4"/>
    <w:rsid w:val="007771F5"/>
    <w:rsid w:val="00787A63"/>
    <w:rsid w:val="007907E1"/>
    <w:rsid w:val="00797948"/>
    <w:rsid w:val="007979D8"/>
    <w:rsid w:val="007A1EA9"/>
    <w:rsid w:val="007A3435"/>
    <w:rsid w:val="007A5337"/>
    <w:rsid w:val="007A5885"/>
    <w:rsid w:val="007A6C2E"/>
    <w:rsid w:val="007B3454"/>
    <w:rsid w:val="007B3E87"/>
    <w:rsid w:val="007C14C9"/>
    <w:rsid w:val="007C43E9"/>
    <w:rsid w:val="007D21BC"/>
    <w:rsid w:val="007D6492"/>
    <w:rsid w:val="007D706A"/>
    <w:rsid w:val="007D795B"/>
    <w:rsid w:val="007E521F"/>
    <w:rsid w:val="007E57DF"/>
    <w:rsid w:val="007E665F"/>
    <w:rsid w:val="007E7CC3"/>
    <w:rsid w:val="007F7EBA"/>
    <w:rsid w:val="00804E10"/>
    <w:rsid w:val="008056F1"/>
    <w:rsid w:val="00814B63"/>
    <w:rsid w:val="00815F6D"/>
    <w:rsid w:val="00817CB7"/>
    <w:rsid w:val="00820EEB"/>
    <w:rsid w:val="008300E7"/>
    <w:rsid w:val="00833CDB"/>
    <w:rsid w:val="008456AF"/>
    <w:rsid w:val="008462F4"/>
    <w:rsid w:val="00860895"/>
    <w:rsid w:val="00860EE0"/>
    <w:rsid w:val="00861E17"/>
    <w:rsid w:val="00862A59"/>
    <w:rsid w:val="008661DA"/>
    <w:rsid w:val="00866905"/>
    <w:rsid w:val="00877509"/>
    <w:rsid w:val="00877DB0"/>
    <w:rsid w:val="0088677D"/>
    <w:rsid w:val="008963F5"/>
    <w:rsid w:val="008A19EC"/>
    <w:rsid w:val="008A71D3"/>
    <w:rsid w:val="008C2F0D"/>
    <w:rsid w:val="008C54C0"/>
    <w:rsid w:val="008D0F32"/>
    <w:rsid w:val="008D2001"/>
    <w:rsid w:val="008D2195"/>
    <w:rsid w:val="008E4FF7"/>
    <w:rsid w:val="008E60C6"/>
    <w:rsid w:val="008E793A"/>
    <w:rsid w:val="008F1B18"/>
    <w:rsid w:val="008F69D2"/>
    <w:rsid w:val="00906ABF"/>
    <w:rsid w:val="00907F4F"/>
    <w:rsid w:val="00910942"/>
    <w:rsid w:val="009122D7"/>
    <w:rsid w:val="00915A47"/>
    <w:rsid w:val="0092438F"/>
    <w:rsid w:val="0093080E"/>
    <w:rsid w:val="00936AD0"/>
    <w:rsid w:val="0094088E"/>
    <w:rsid w:val="00944B62"/>
    <w:rsid w:val="0096256E"/>
    <w:rsid w:val="009651EE"/>
    <w:rsid w:val="00966C88"/>
    <w:rsid w:val="00971CCF"/>
    <w:rsid w:val="00972E11"/>
    <w:rsid w:val="009736CD"/>
    <w:rsid w:val="00977451"/>
    <w:rsid w:val="00981E02"/>
    <w:rsid w:val="00982A9D"/>
    <w:rsid w:val="009865E2"/>
    <w:rsid w:val="00990BA0"/>
    <w:rsid w:val="009958E6"/>
    <w:rsid w:val="00997838"/>
    <w:rsid w:val="009B07E1"/>
    <w:rsid w:val="009B39A2"/>
    <w:rsid w:val="009B5263"/>
    <w:rsid w:val="009C29D3"/>
    <w:rsid w:val="009C34F8"/>
    <w:rsid w:val="009D4948"/>
    <w:rsid w:val="009E52FE"/>
    <w:rsid w:val="009F37F8"/>
    <w:rsid w:val="00A0199B"/>
    <w:rsid w:val="00A07169"/>
    <w:rsid w:val="00A36CC6"/>
    <w:rsid w:val="00A37535"/>
    <w:rsid w:val="00A4286F"/>
    <w:rsid w:val="00A44F59"/>
    <w:rsid w:val="00A46F2B"/>
    <w:rsid w:val="00A50C88"/>
    <w:rsid w:val="00A54F7E"/>
    <w:rsid w:val="00A56A67"/>
    <w:rsid w:val="00A6011E"/>
    <w:rsid w:val="00A616B9"/>
    <w:rsid w:val="00A652C4"/>
    <w:rsid w:val="00A749A5"/>
    <w:rsid w:val="00A76899"/>
    <w:rsid w:val="00A779FD"/>
    <w:rsid w:val="00A836C4"/>
    <w:rsid w:val="00A911CB"/>
    <w:rsid w:val="00A91FA7"/>
    <w:rsid w:val="00A967FB"/>
    <w:rsid w:val="00AA3064"/>
    <w:rsid w:val="00AA415B"/>
    <w:rsid w:val="00AB6DAD"/>
    <w:rsid w:val="00AD58A6"/>
    <w:rsid w:val="00AD5CCD"/>
    <w:rsid w:val="00AD7099"/>
    <w:rsid w:val="00AE16AE"/>
    <w:rsid w:val="00AE33FD"/>
    <w:rsid w:val="00AF080A"/>
    <w:rsid w:val="00AF5C35"/>
    <w:rsid w:val="00B01519"/>
    <w:rsid w:val="00B01FE0"/>
    <w:rsid w:val="00B02F46"/>
    <w:rsid w:val="00B138CE"/>
    <w:rsid w:val="00B13B5B"/>
    <w:rsid w:val="00B155E6"/>
    <w:rsid w:val="00B1659F"/>
    <w:rsid w:val="00B17DE6"/>
    <w:rsid w:val="00B21207"/>
    <w:rsid w:val="00B25958"/>
    <w:rsid w:val="00B337E5"/>
    <w:rsid w:val="00B33D47"/>
    <w:rsid w:val="00B54DEC"/>
    <w:rsid w:val="00B61642"/>
    <w:rsid w:val="00B61915"/>
    <w:rsid w:val="00B62608"/>
    <w:rsid w:val="00B72FD7"/>
    <w:rsid w:val="00B75213"/>
    <w:rsid w:val="00B7664A"/>
    <w:rsid w:val="00B870DA"/>
    <w:rsid w:val="00B93CA7"/>
    <w:rsid w:val="00B960C8"/>
    <w:rsid w:val="00BA5D96"/>
    <w:rsid w:val="00BB7764"/>
    <w:rsid w:val="00BC09D6"/>
    <w:rsid w:val="00BD163C"/>
    <w:rsid w:val="00BD6839"/>
    <w:rsid w:val="00BE7617"/>
    <w:rsid w:val="00BE7C33"/>
    <w:rsid w:val="00BF06B7"/>
    <w:rsid w:val="00BF7B1A"/>
    <w:rsid w:val="00C000F4"/>
    <w:rsid w:val="00C057F1"/>
    <w:rsid w:val="00C10AB3"/>
    <w:rsid w:val="00C11C9E"/>
    <w:rsid w:val="00C14731"/>
    <w:rsid w:val="00C1490A"/>
    <w:rsid w:val="00C14CD8"/>
    <w:rsid w:val="00C227D2"/>
    <w:rsid w:val="00C263D5"/>
    <w:rsid w:val="00C36B0F"/>
    <w:rsid w:val="00C4293B"/>
    <w:rsid w:val="00C457F8"/>
    <w:rsid w:val="00C53A30"/>
    <w:rsid w:val="00C66394"/>
    <w:rsid w:val="00C732AD"/>
    <w:rsid w:val="00C770E3"/>
    <w:rsid w:val="00C83D57"/>
    <w:rsid w:val="00CA76D4"/>
    <w:rsid w:val="00CB07BE"/>
    <w:rsid w:val="00CC1B20"/>
    <w:rsid w:val="00CD1E6D"/>
    <w:rsid w:val="00CD2A4A"/>
    <w:rsid w:val="00CD333B"/>
    <w:rsid w:val="00CD683A"/>
    <w:rsid w:val="00CE3F21"/>
    <w:rsid w:val="00D078B6"/>
    <w:rsid w:val="00D15D06"/>
    <w:rsid w:val="00D26B9A"/>
    <w:rsid w:val="00D40A5B"/>
    <w:rsid w:val="00D41DC4"/>
    <w:rsid w:val="00D432A0"/>
    <w:rsid w:val="00D43C79"/>
    <w:rsid w:val="00D46923"/>
    <w:rsid w:val="00D51CE6"/>
    <w:rsid w:val="00D54050"/>
    <w:rsid w:val="00D6143E"/>
    <w:rsid w:val="00D66639"/>
    <w:rsid w:val="00D73E59"/>
    <w:rsid w:val="00D833B4"/>
    <w:rsid w:val="00D8677E"/>
    <w:rsid w:val="00D86909"/>
    <w:rsid w:val="00D92C64"/>
    <w:rsid w:val="00DA366B"/>
    <w:rsid w:val="00DA5D61"/>
    <w:rsid w:val="00DB7C36"/>
    <w:rsid w:val="00DC3D1F"/>
    <w:rsid w:val="00DD09EE"/>
    <w:rsid w:val="00DE47F7"/>
    <w:rsid w:val="00DE56ED"/>
    <w:rsid w:val="00DE7147"/>
    <w:rsid w:val="00DE73CB"/>
    <w:rsid w:val="00DF0350"/>
    <w:rsid w:val="00E04CD0"/>
    <w:rsid w:val="00E11341"/>
    <w:rsid w:val="00E144CE"/>
    <w:rsid w:val="00E341CA"/>
    <w:rsid w:val="00E42F7C"/>
    <w:rsid w:val="00E508C9"/>
    <w:rsid w:val="00E516EE"/>
    <w:rsid w:val="00E55773"/>
    <w:rsid w:val="00E55C78"/>
    <w:rsid w:val="00E55DA2"/>
    <w:rsid w:val="00E62E84"/>
    <w:rsid w:val="00E6334A"/>
    <w:rsid w:val="00E65ADA"/>
    <w:rsid w:val="00E7167B"/>
    <w:rsid w:val="00E72BC1"/>
    <w:rsid w:val="00E73030"/>
    <w:rsid w:val="00E746C4"/>
    <w:rsid w:val="00E757F4"/>
    <w:rsid w:val="00E77D1A"/>
    <w:rsid w:val="00E83BD8"/>
    <w:rsid w:val="00E87870"/>
    <w:rsid w:val="00E94D8A"/>
    <w:rsid w:val="00EA1843"/>
    <w:rsid w:val="00EA45AC"/>
    <w:rsid w:val="00EA68CC"/>
    <w:rsid w:val="00EA7A93"/>
    <w:rsid w:val="00EB0D03"/>
    <w:rsid w:val="00EC0F51"/>
    <w:rsid w:val="00EC7DED"/>
    <w:rsid w:val="00ED0A4A"/>
    <w:rsid w:val="00ED1DDE"/>
    <w:rsid w:val="00EE2B5A"/>
    <w:rsid w:val="00EE648F"/>
    <w:rsid w:val="00EE7942"/>
    <w:rsid w:val="00EF4FAC"/>
    <w:rsid w:val="00F00481"/>
    <w:rsid w:val="00F05456"/>
    <w:rsid w:val="00F11675"/>
    <w:rsid w:val="00F20274"/>
    <w:rsid w:val="00F32DB5"/>
    <w:rsid w:val="00F36C13"/>
    <w:rsid w:val="00F40E35"/>
    <w:rsid w:val="00F474BB"/>
    <w:rsid w:val="00F55731"/>
    <w:rsid w:val="00F639CF"/>
    <w:rsid w:val="00F74900"/>
    <w:rsid w:val="00F83C98"/>
    <w:rsid w:val="00F95DC1"/>
    <w:rsid w:val="00F9682A"/>
    <w:rsid w:val="00FA0871"/>
    <w:rsid w:val="00FA0F95"/>
    <w:rsid w:val="00FA4749"/>
    <w:rsid w:val="00FA49BF"/>
    <w:rsid w:val="00FA6819"/>
    <w:rsid w:val="00FB27D0"/>
    <w:rsid w:val="00FB4052"/>
    <w:rsid w:val="00FB690E"/>
    <w:rsid w:val="00FD2228"/>
    <w:rsid w:val="00FD758A"/>
    <w:rsid w:val="00FE1765"/>
    <w:rsid w:val="00FE5CD9"/>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DFDD3CE-119B-4098-8CCB-72B607D7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5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7639</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393283</vt:i4>
      </vt:variant>
      <vt:variant>
        <vt:i4>27</vt:i4>
      </vt:variant>
      <vt:variant>
        <vt:i4>0</vt:i4>
      </vt:variant>
      <vt:variant>
        <vt:i4>5</vt:i4>
      </vt:variant>
      <vt:variant>
        <vt:lpwstr>http://www.nevo.co.il/advertisements/nevo-100.doc</vt:lpwstr>
      </vt:variant>
      <vt:variant>
        <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7995400</vt:i4>
      </vt:variant>
      <vt:variant>
        <vt:i4>0</vt:i4>
      </vt:variant>
      <vt:variant>
        <vt:i4>0</vt:i4>
      </vt:variant>
      <vt:variant>
        <vt:i4>5</vt:i4>
      </vt:variant>
      <vt:variant>
        <vt:lpwstr>http://www.nevo.co.il/Law_word/law06/tak-7545.pdf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צו בנק ישראל (חובות דיווח של קרנות נאמנות), תשע"ה-2015</vt:lpwstr>
  </property>
  <property fmtid="{D5CDD505-2E9C-101B-9397-08002B2CF9AE}" pid="4" name="LAWNUMBER">
    <vt:lpwstr>0261</vt:lpwstr>
  </property>
  <property fmtid="{D5CDD505-2E9C-101B-9397-08002B2CF9AE}" pid="5" name="TYPE">
    <vt:lpwstr>01</vt:lpwstr>
  </property>
  <property fmtid="{D5CDD505-2E9C-101B-9397-08002B2CF9AE}" pid="6" name="CHNAME">
    <vt:lpwstr>בנקאות</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NOSE12">
    <vt:lpwstr>משפט פרטי וכלכלה</vt:lpwstr>
  </property>
  <property fmtid="{D5CDD505-2E9C-101B-9397-08002B2CF9AE}" pid="20" name="NOSE22">
    <vt:lpwstr>כספים</vt:lpwstr>
  </property>
  <property fmtid="{D5CDD505-2E9C-101B-9397-08002B2CF9AE}" pid="21" name="NOSE32">
    <vt:lpwstr>שוק ההון</vt:lpwstr>
  </property>
  <property fmtid="{D5CDD505-2E9C-101B-9397-08002B2CF9AE}" pid="22" name="NOSE42">
    <vt:lpwstr/>
  </property>
  <property fmtid="{D5CDD505-2E9C-101B-9397-08002B2CF9AE}" pid="23" name="NOSE13">
    <vt:lpwstr>משפט פרטי וכלכלה</vt:lpwstr>
  </property>
  <property fmtid="{D5CDD505-2E9C-101B-9397-08002B2CF9AE}" pid="24" name="NOSE23">
    <vt:lpwstr>תאגידים וניירות ערך</vt:lpwstr>
  </property>
  <property fmtid="{D5CDD505-2E9C-101B-9397-08002B2CF9AE}" pid="25" name="NOSE33">
    <vt:lpwstr>השק' משותפות בנאמנות</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NOSE11">
    <vt:lpwstr>משפט פרטי וכלכלה</vt:lpwstr>
  </property>
  <property fmtid="{D5CDD505-2E9C-101B-9397-08002B2CF9AE}" pid="56" name="NOSE21">
    <vt:lpwstr>כספים</vt:lpwstr>
  </property>
  <property fmtid="{D5CDD505-2E9C-101B-9397-08002B2CF9AE}" pid="57" name="NOSE31">
    <vt:lpwstr>בנק ישראל</vt:lpwstr>
  </property>
  <property fmtid="{D5CDD505-2E9C-101B-9397-08002B2CF9AE}" pid="58" name="NOSE41">
    <vt:lpwstr/>
  </property>
  <property fmtid="{D5CDD505-2E9C-101B-9397-08002B2CF9AE}" pid="59" name="MEKOR_NAME1">
    <vt:lpwstr>חוק בנק ישראל</vt:lpwstr>
  </property>
  <property fmtid="{D5CDD505-2E9C-101B-9397-08002B2CF9AE}" pid="60" name="MEKOR_SAIF1">
    <vt:lpwstr>39XאX</vt:lpwstr>
  </property>
  <property fmtid="{D5CDD505-2E9C-101B-9397-08002B2CF9AE}" pid="61" name="MEKORSAMCHUT">
    <vt:lpwstr/>
  </property>
  <property fmtid="{D5CDD505-2E9C-101B-9397-08002B2CF9AE}" pid="62" name="LINKK1">
    <vt:lpwstr>http://www.nevo.co.il/Law_word/law06/tak-7545.pdf;‎רשומות - תקנות כלליות#פורסם ק"ת תשע"ה ‏מס' 7545 #מיום 18.8.2015 עמ' 1837‏</vt:lpwstr>
  </property>
  <property fmtid="{D5CDD505-2E9C-101B-9397-08002B2CF9AE}" pid="63" name="LINKK2">
    <vt:lpwstr/>
  </property>
  <property fmtid="{D5CDD505-2E9C-101B-9397-08002B2CF9AE}" pid="64" name="LINKK3">
    <vt:lpwstr/>
  </property>
</Properties>
</file>