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3552" w:rsidRDefault="0046759E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>צו גנים לאומיים, שמורות טבע, אתרים לאומיים ואתרי הנצחה (</w:t>
      </w:r>
      <w:r w:rsidR="00A67FD7">
        <w:rPr>
          <w:rFonts w:cs="FrankRuehl" w:hint="cs"/>
          <w:sz w:val="32"/>
          <w:rtl/>
        </w:rPr>
        <w:t xml:space="preserve">קביעת תחום מוגן </w:t>
      </w:r>
      <w:r w:rsidR="00A67FD7">
        <w:rPr>
          <w:rFonts w:cs="FrankRuehl"/>
          <w:sz w:val="32"/>
          <w:rtl/>
        </w:rPr>
        <w:t>–</w:t>
      </w:r>
      <w:r w:rsidR="00A67FD7">
        <w:rPr>
          <w:rFonts w:cs="FrankRuehl" w:hint="cs"/>
          <w:sz w:val="32"/>
          <w:rtl/>
        </w:rPr>
        <w:t xml:space="preserve"> </w:t>
      </w:r>
      <w:r w:rsidR="00F12B51">
        <w:rPr>
          <w:rFonts w:cs="FrankRuehl" w:hint="cs"/>
          <w:sz w:val="32"/>
          <w:rtl/>
        </w:rPr>
        <w:t>גבעות הכורכר בנס ציונה</w:t>
      </w:r>
      <w:r w:rsidR="00A67FD7">
        <w:rPr>
          <w:rFonts w:cs="FrankRuehl" w:hint="cs"/>
          <w:sz w:val="32"/>
          <w:rtl/>
        </w:rPr>
        <w:t>), תש</w:t>
      </w:r>
      <w:r w:rsidR="00F12B51">
        <w:rPr>
          <w:rFonts w:cs="FrankRuehl" w:hint="cs"/>
          <w:sz w:val="32"/>
          <w:rtl/>
        </w:rPr>
        <w:t>פ"א-2021</w:t>
      </w:r>
    </w:p>
    <w:p w:rsidR="0046759E" w:rsidRPr="0046759E" w:rsidRDefault="0046759E" w:rsidP="0046759E">
      <w:pPr>
        <w:spacing w:line="320" w:lineRule="auto"/>
        <w:rPr>
          <w:rFonts w:cs="FrankRuehl"/>
          <w:szCs w:val="26"/>
          <w:rtl/>
        </w:rPr>
      </w:pPr>
    </w:p>
    <w:p w:rsidR="0046759E" w:rsidRDefault="0046759E" w:rsidP="0046759E">
      <w:pPr>
        <w:spacing w:line="320" w:lineRule="auto"/>
        <w:rPr>
          <w:rFonts w:cs="Miriam"/>
          <w:szCs w:val="22"/>
          <w:rtl/>
        </w:rPr>
      </w:pPr>
      <w:r w:rsidRPr="0046759E">
        <w:rPr>
          <w:rFonts w:cs="Miriam"/>
          <w:szCs w:val="22"/>
          <w:rtl/>
        </w:rPr>
        <w:t>חקלאות טבע וסביבה</w:t>
      </w:r>
      <w:r w:rsidRPr="0046759E">
        <w:rPr>
          <w:rFonts w:cs="FrankRuehl"/>
          <w:szCs w:val="26"/>
          <w:rtl/>
        </w:rPr>
        <w:t xml:space="preserve"> – גנים שמורות ואתרים</w:t>
      </w:r>
    </w:p>
    <w:p w:rsidR="0046759E" w:rsidRDefault="0046759E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>תוכן ענינים</w:t>
      </w:r>
    </w:p>
    <w:tbl>
      <w:tblPr>
        <w:bidiVisual/>
        <w:tblW w:w="8333" w:type="dxa"/>
        <w:tblLayout w:type="fixed"/>
        <w:tblLook w:val="0000" w:firstRow="0" w:lastRow="0" w:firstColumn="0" w:lastColumn="0" w:noHBand="0" w:noVBand="0"/>
      </w:tblPr>
      <w:tblGrid>
        <w:gridCol w:w="1247"/>
        <w:gridCol w:w="5669"/>
        <w:gridCol w:w="567"/>
        <w:gridCol w:w="850"/>
      </w:tblGrid>
      <w:tr w:rsidR="007B2937" w:rsidRPr="007B2937" w:rsidTr="007B2937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tl/>
              </w:rPr>
              <w:t xml:space="preserve">סעיף 1 </w:t>
            </w:r>
          </w:p>
        </w:tc>
        <w:tc>
          <w:tcPr>
            <w:tcW w:w="5669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tl/>
              </w:rPr>
              <w:t>הגדרה</w:t>
            </w:r>
          </w:p>
        </w:tc>
        <w:tc>
          <w:tcPr>
            <w:tcW w:w="567" w:type="dxa"/>
          </w:tcPr>
          <w:p w:rsidR="007B2937" w:rsidRPr="007B2937" w:rsidRDefault="007B2937" w:rsidP="007B2937">
            <w:pPr>
              <w:rPr>
                <w:rStyle w:val="Hyperlink"/>
                <w:rtl/>
              </w:rPr>
            </w:pPr>
            <w:hyperlink w:anchor="Seif1" w:tooltip="הגדרה" w:history="1">
              <w:r w:rsidRPr="007B2937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Seif1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7B2937" w:rsidRPr="007B2937" w:rsidTr="007B2937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tl/>
              </w:rPr>
              <w:t xml:space="preserve">סעיף 2 </w:t>
            </w:r>
          </w:p>
        </w:tc>
        <w:tc>
          <w:tcPr>
            <w:tcW w:w="5669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tl/>
              </w:rPr>
              <w:t>קביעת תחום מוגן</w:t>
            </w:r>
          </w:p>
        </w:tc>
        <w:tc>
          <w:tcPr>
            <w:tcW w:w="567" w:type="dxa"/>
          </w:tcPr>
          <w:p w:rsidR="007B2937" w:rsidRPr="007B2937" w:rsidRDefault="007B2937" w:rsidP="007B2937">
            <w:pPr>
              <w:rPr>
                <w:rStyle w:val="Hyperlink"/>
                <w:rtl/>
              </w:rPr>
            </w:pPr>
            <w:hyperlink w:anchor="Seif2" w:tooltip="קביעת תחום מוגן" w:history="1">
              <w:r w:rsidRPr="007B2937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Seif2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7B2937" w:rsidRPr="007B2937" w:rsidTr="007B2937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tl/>
              </w:rPr>
              <w:t xml:space="preserve">סעיף 3 </w:t>
            </w:r>
          </w:p>
        </w:tc>
        <w:tc>
          <w:tcPr>
            <w:tcW w:w="5669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tl/>
              </w:rPr>
              <w:t>הפקדת העתקי התשריט</w:t>
            </w:r>
          </w:p>
        </w:tc>
        <w:tc>
          <w:tcPr>
            <w:tcW w:w="567" w:type="dxa"/>
          </w:tcPr>
          <w:p w:rsidR="007B2937" w:rsidRPr="007B2937" w:rsidRDefault="007B2937" w:rsidP="007B2937">
            <w:pPr>
              <w:rPr>
                <w:rStyle w:val="Hyperlink"/>
                <w:rtl/>
              </w:rPr>
            </w:pPr>
            <w:hyperlink w:anchor="Seif3" w:tooltip="הפקדת העתקי התשריט" w:history="1">
              <w:r w:rsidRPr="007B2937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Seif3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7B2937" w:rsidRPr="007B2937" w:rsidTr="007B2937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</w:p>
        </w:tc>
        <w:tc>
          <w:tcPr>
            <w:tcW w:w="5669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tl/>
              </w:rPr>
              <w:t>תוספת ראשונה</w:t>
            </w:r>
          </w:p>
        </w:tc>
        <w:tc>
          <w:tcPr>
            <w:tcW w:w="567" w:type="dxa"/>
          </w:tcPr>
          <w:p w:rsidR="007B2937" w:rsidRPr="007B2937" w:rsidRDefault="007B2937" w:rsidP="007B2937">
            <w:pPr>
              <w:rPr>
                <w:rStyle w:val="Hyperlink"/>
                <w:rtl/>
              </w:rPr>
            </w:pPr>
            <w:hyperlink w:anchor="med0" w:tooltip="תוספת ראשונה" w:history="1">
              <w:r w:rsidRPr="007B2937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med0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7B2937" w:rsidRPr="007B2937" w:rsidTr="007B2937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</w:p>
        </w:tc>
        <w:tc>
          <w:tcPr>
            <w:tcW w:w="5669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tl/>
              </w:rPr>
              <w:t>תוספת שנייה</w:t>
            </w:r>
          </w:p>
        </w:tc>
        <w:tc>
          <w:tcPr>
            <w:tcW w:w="567" w:type="dxa"/>
          </w:tcPr>
          <w:p w:rsidR="007B2937" w:rsidRPr="007B2937" w:rsidRDefault="007B2937" w:rsidP="007B2937">
            <w:pPr>
              <w:rPr>
                <w:rStyle w:val="Hyperlink"/>
                <w:rtl/>
              </w:rPr>
            </w:pPr>
            <w:hyperlink w:anchor="med1" w:tooltip="תוספת שנייה" w:history="1">
              <w:r w:rsidRPr="007B2937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med1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7B2937" w:rsidRPr="007B2937" w:rsidTr="007B2937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</w:p>
        </w:tc>
        <w:tc>
          <w:tcPr>
            <w:tcW w:w="5669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tl/>
              </w:rPr>
              <w:t>תוספת שלישית</w:t>
            </w:r>
          </w:p>
        </w:tc>
        <w:tc>
          <w:tcPr>
            <w:tcW w:w="567" w:type="dxa"/>
          </w:tcPr>
          <w:p w:rsidR="007B2937" w:rsidRPr="007B2937" w:rsidRDefault="007B2937" w:rsidP="007B2937">
            <w:pPr>
              <w:rPr>
                <w:rStyle w:val="Hyperlink"/>
                <w:rtl/>
              </w:rPr>
            </w:pPr>
            <w:hyperlink w:anchor="med2" w:tooltip="תוספת שלישית" w:history="1">
              <w:r w:rsidRPr="007B2937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7B2937" w:rsidRPr="007B2937" w:rsidRDefault="007B2937" w:rsidP="007B2937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med2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</w:tbl>
    <w:p w:rsidR="0046759E" w:rsidRDefault="0046759E">
      <w:pPr>
        <w:pStyle w:val="big-header"/>
        <w:ind w:left="0" w:right="1134"/>
        <w:rPr>
          <w:rFonts w:cs="FrankRuehl"/>
          <w:sz w:val="32"/>
          <w:rtl/>
        </w:rPr>
      </w:pPr>
    </w:p>
    <w:p w:rsidR="000D3552" w:rsidRDefault="0046759E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/>
          <w:sz w:val="32"/>
          <w:rtl/>
        </w:rPr>
        <w:br w:type="page"/>
      </w:r>
      <w:r w:rsidR="000D3552">
        <w:rPr>
          <w:rFonts w:cs="FrankRuehl" w:hint="cs"/>
          <w:sz w:val="32"/>
          <w:rtl/>
        </w:rPr>
        <w:lastRenderedPageBreak/>
        <w:t>צו גנים לאומיים, שמורות טבע, אתרים לאומיים ואתרי הנצחה (</w:t>
      </w:r>
      <w:r w:rsidR="00A67FD7">
        <w:rPr>
          <w:rFonts w:cs="FrankRuehl" w:hint="cs"/>
          <w:sz w:val="32"/>
          <w:rtl/>
        </w:rPr>
        <w:t xml:space="preserve">קביעת תחום מוגן </w:t>
      </w:r>
      <w:r w:rsidR="00A67FD7">
        <w:rPr>
          <w:rFonts w:cs="FrankRuehl"/>
          <w:sz w:val="32"/>
          <w:rtl/>
        </w:rPr>
        <w:t>–</w:t>
      </w:r>
      <w:r w:rsidR="00A67FD7">
        <w:rPr>
          <w:rFonts w:cs="FrankRuehl" w:hint="cs"/>
          <w:sz w:val="32"/>
          <w:rtl/>
        </w:rPr>
        <w:t xml:space="preserve"> </w:t>
      </w:r>
      <w:r w:rsidR="00F12B51">
        <w:rPr>
          <w:rFonts w:cs="FrankRuehl" w:hint="cs"/>
          <w:sz w:val="32"/>
          <w:rtl/>
        </w:rPr>
        <w:t>גבעות הכורכר בנס ציונה), תשפ"א-2021</w:t>
      </w:r>
      <w:r w:rsidR="000D3552">
        <w:rPr>
          <w:rStyle w:val="default"/>
          <w:sz w:val="22"/>
          <w:szCs w:val="22"/>
          <w:rtl/>
        </w:rPr>
        <w:footnoteReference w:customMarkFollows="1" w:id="1"/>
        <w:t>*</w:t>
      </w:r>
    </w:p>
    <w:p w:rsidR="000D3552" w:rsidRDefault="000D3552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ab/>
        <w:t xml:space="preserve">בתוקף סמכותי לפי סעיף </w:t>
      </w:r>
      <w:r w:rsidR="00A67FD7">
        <w:rPr>
          <w:rStyle w:val="default"/>
          <w:rFonts w:cs="FrankRuehl" w:hint="cs"/>
          <w:rtl/>
        </w:rPr>
        <w:t>36ב(א)</w:t>
      </w:r>
      <w:r>
        <w:rPr>
          <w:rStyle w:val="default"/>
          <w:rFonts w:cs="FrankRuehl" w:hint="cs"/>
          <w:rtl/>
        </w:rPr>
        <w:t xml:space="preserve"> לחוק גנים לאומיים, שמורות טבע, אתרים לאומיים ואתרי הנצחה, התשנ"ח-1998</w:t>
      </w:r>
      <w:r w:rsidR="00A67FD7">
        <w:rPr>
          <w:rStyle w:val="default"/>
          <w:rFonts w:cs="FrankRuehl" w:hint="cs"/>
          <w:rtl/>
        </w:rPr>
        <w:t xml:space="preserve"> (להלן </w:t>
      </w:r>
      <w:r w:rsidR="00A67FD7">
        <w:rPr>
          <w:rStyle w:val="default"/>
          <w:rFonts w:cs="FrankRuehl"/>
          <w:rtl/>
        </w:rPr>
        <w:t>–</w:t>
      </w:r>
      <w:r w:rsidR="00A67FD7">
        <w:rPr>
          <w:rStyle w:val="default"/>
          <w:rFonts w:cs="FrankRuehl" w:hint="cs"/>
          <w:rtl/>
        </w:rPr>
        <w:t xml:space="preserve"> החוק)</w:t>
      </w:r>
      <w:r>
        <w:rPr>
          <w:rStyle w:val="default"/>
          <w:rFonts w:cs="FrankRuehl" w:hint="cs"/>
          <w:rtl/>
        </w:rPr>
        <w:t>, אני מצווה לאמור:</w:t>
      </w:r>
    </w:p>
    <w:p w:rsidR="000D3552" w:rsidRDefault="000D3552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0" w:name="Seif1"/>
      <w:bookmarkEnd w:id="0"/>
      <w:r>
        <w:rPr>
          <w:rFonts w:cs="Miriam"/>
          <w:lang w:val="he-IL"/>
        </w:rPr>
        <w:pict>
          <v:rect id="_x0000_s1026" style="position:absolute;left:0;text-align:left;margin-left:463.5pt;margin-top:8.05pt;width:75.05pt;height:12.85pt;z-index:251656704" filled="f" stroked="f" strokecolor="lime" strokeweight=".25pt">
            <v:textbox style="mso-next-textbox:#_x0000_s1026" inset="1mm,0,1mm,0">
              <w:txbxContent>
                <w:p w:rsidR="000D3552" w:rsidRDefault="00A67FD7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הגדרה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/>
          <w:rtl/>
        </w:rPr>
        <w:t>1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 w:rsidR="00A67FD7">
        <w:rPr>
          <w:rStyle w:val="default"/>
          <w:rFonts w:cs="FrankRuehl" w:hint="cs"/>
          <w:rtl/>
        </w:rPr>
        <w:t xml:space="preserve">בצו זה, "תחום מוגן" </w:t>
      </w:r>
      <w:r w:rsidR="00A67FD7">
        <w:rPr>
          <w:rStyle w:val="default"/>
          <w:rFonts w:cs="FrankRuehl"/>
          <w:rtl/>
        </w:rPr>
        <w:t>–</w:t>
      </w:r>
      <w:r w:rsidR="00A67FD7">
        <w:rPr>
          <w:rStyle w:val="default"/>
          <w:rFonts w:cs="FrankRuehl" w:hint="cs"/>
          <w:rtl/>
        </w:rPr>
        <w:t xml:space="preserve"> כהגדרתו בסעיף 36א לחוק.</w:t>
      </w:r>
    </w:p>
    <w:p w:rsidR="000D3552" w:rsidRDefault="000D3552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1" w:name="Seif2"/>
      <w:bookmarkEnd w:id="1"/>
      <w:r>
        <w:rPr>
          <w:rFonts w:cs="Miriam"/>
          <w:lang w:val="he-IL"/>
        </w:rPr>
        <w:pict>
          <v:rect id="_x0000_s1059" style="position:absolute;left:0;text-align:left;margin-left:464.35pt;margin-top:8.05pt;width:75.05pt;height:15.5pt;z-index:251657728" o:allowincell="f" filled="f" stroked="f" strokecolor="lime" strokeweight=".25pt">
            <v:textbox style="mso-next-textbox:#_x0000_s1059" inset="1mm,0,1mm,0">
              <w:txbxContent>
                <w:p w:rsidR="000D3552" w:rsidRDefault="00A67FD7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קביעת תחום מוגן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 w:hint="cs"/>
          <w:rtl/>
        </w:rPr>
        <w:t>2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 w:rsidR="00A67FD7">
        <w:rPr>
          <w:rStyle w:val="default"/>
          <w:rFonts w:cs="FrankRuehl" w:hint="cs"/>
          <w:rtl/>
        </w:rPr>
        <w:t xml:space="preserve">השטח הנמצא </w:t>
      </w:r>
      <w:r w:rsidR="00F12B51">
        <w:rPr>
          <w:rStyle w:val="default"/>
          <w:rFonts w:cs="FrankRuehl" w:hint="cs"/>
          <w:rtl/>
        </w:rPr>
        <w:t xml:space="preserve">במישור החוף הדרומי, ממערב לנס ציונה ומזרחית ליישוב אירוס, כמפורט בתוספת הראשונה, אשר מיועד לגן לאומי בתכניות המנויות בתוספת השנייה ואשר צבוע בירוק בתשריט המצורף בתוספת השלישית (להלן </w:t>
      </w:r>
      <w:r w:rsidR="00F12B51">
        <w:rPr>
          <w:rStyle w:val="default"/>
          <w:rFonts w:cs="FrankRuehl"/>
          <w:rtl/>
        </w:rPr>
        <w:t>–</w:t>
      </w:r>
      <w:r w:rsidR="00F12B51">
        <w:rPr>
          <w:rStyle w:val="default"/>
          <w:rFonts w:cs="FrankRuehl" w:hint="cs"/>
          <w:rtl/>
        </w:rPr>
        <w:t xml:space="preserve"> התשריט)</w:t>
      </w:r>
      <w:r w:rsidR="00A67FD7">
        <w:rPr>
          <w:rStyle w:val="default"/>
          <w:rFonts w:cs="FrankRuehl" w:hint="cs"/>
          <w:rtl/>
        </w:rPr>
        <w:t>, הוא תחום מוגן</w:t>
      </w:r>
      <w:r>
        <w:rPr>
          <w:rStyle w:val="default"/>
          <w:rFonts w:cs="FrankRuehl" w:hint="cs"/>
          <w:rtl/>
        </w:rPr>
        <w:t>.</w:t>
      </w:r>
    </w:p>
    <w:p w:rsidR="00A67FD7" w:rsidRDefault="00A67FD7" w:rsidP="00A67FD7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2" w:name="Seif3"/>
      <w:bookmarkEnd w:id="2"/>
      <w:r>
        <w:rPr>
          <w:rFonts w:cs="Miriam"/>
          <w:lang w:val="he-IL"/>
        </w:rPr>
        <w:pict>
          <v:rect id="_x0000_s1065" style="position:absolute;left:0;text-align:left;margin-left:464.35pt;margin-top:8.05pt;width:75.05pt;height:18.5pt;z-index:251658752" o:allowincell="f" filled="f" stroked="f" strokecolor="lime" strokeweight=".25pt">
            <v:textbox style="mso-next-textbox:#_x0000_s1065" inset="1mm,0,1mm,0">
              <w:txbxContent>
                <w:p w:rsidR="00A67FD7" w:rsidRDefault="00A67FD7" w:rsidP="00A67FD7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הפקדת העתקי התשריט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 w:hint="cs"/>
          <w:rtl/>
        </w:rPr>
        <w:t>3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>
        <w:rPr>
          <w:rStyle w:val="default"/>
          <w:rFonts w:cs="FrankRuehl" w:hint="cs"/>
          <w:rtl/>
        </w:rPr>
        <w:t>הרשות לשמירת הטבע והגנים הלאומיים תעמיד את התשריט לעיון הציבור במשרדיה בירושלים, בשעות העבודה המקובלות, וכן באתר האינטרנט שלה.</w:t>
      </w:r>
    </w:p>
    <w:p w:rsidR="00A67FD7" w:rsidRDefault="00A67FD7" w:rsidP="00A67FD7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A67FD7" w:rsidRPr="00A67FD7" w:rsidRDefault="00A67FD7" w:rsidP="00A67FD7">
      <w:pPr>
        <w:pStyle w:val="medium2-header"/>
        <w:keepLines w:val="0"/>
        <w:spacing w:before="72"/>
        <w:ind w:left="0" w:right="1134"/>
        <w:rPr>
          <w:rFonts w:ascii="FrankRuehl" w:hAnsi="FrankRuehl" w:cs="FrankRuehl"/>
          <w:noProof/>
          <w:rtl/>
        </w:rPr>
      </w:pPr>
      <w:bookmarkStart w:id="3" w:name="med0"/>
      <w:bookmarkEnd w:id="3"/>
      <w:r w:rsidRPr="00A67FD7">
        <w:rPr>
          <w:rFonts w:ascii="FrankRuehl" w:hAnsi="FrankRuehl" w:cs="FrankRuehl"/>
          <w:noProof/>
          <w:rtl/>
        </w:rPr>
        <w:t>תוספת</w:t>
      </w:r>
      <w:r>
        <w:rPr>
          <w:rFonts w:ascii="FrankRuehl" w:hAnsi="FrankRuehl" w:cs="FrankRuehl" w:hint="cs"/>
          <w:noProof/>
          <w:rtl/>
        </w:rPr>
        <w:t xml:space="preserve"> ראשונה</w:t>
      </w:r>
    </w:p>
    <w:p w:rsidR="00A67FD7" w:rsidRPr="00527B5D" w:rsidRDefault="00A67FD7" w:rsidP="00A67FD7">
      <w:pPr>
        <w:pStyle w:val="P00"/>
        <w:spacing w:before="72"/>
        <w:ind w:left="0" w:right="1134"/>
        <w:jc w:val="center"/>
        <w:rPr>
          <w:rStyle w:val="default"/>
          <w:rFonts w:cs="FrankRuehl" w:hint="cs"/>
          <w:sz w:val="24"/>
          <w:szCs w:val="24"/>
          <w:rtl/>
        </w:rPr>
      </w:pPr>
      <w:r w:rsidRPr="00527B5D">
        <w:rPr>
          <w:rStyle w:val="default"/>
          <w:rFonts w:cs="FrankRuehl" w:hint="cs"/>
          <w:sz w:val="24"/>
          <w:szCs w:val="24"/>
          <w:rtl/>
        </w:rPr>
        <w:t xml:space="preserve">(סעיף </w:t>
      </w:r>
      <w:r>
        <w:rPr>
          <w:rStyle w:val="default"/>
          <w:rFonts w:cs="FrankRuehl" w:hint="cs"/>
          <w:sz w:val="24"/>
          <w:szCs w:val="24"/>
          <w:rtl/>
        </w:rPr>
        <w:t>2</w:t>
      </w:r>
      <w:r w:rsidRPr="00527B5D">
        <w:rPr>
          <w:rStyle w:val="default"/>
          <w:rFonts w:cs="FrankRuehl" w:hint="cs"/>
          <w:sz w:val="24"/>
          <w:szCs w:val="24"/>
          <w:rtl/>
        </w:rPr>
        <w:t>)</w:t>
      </w:r>
    </w:p>
    <w:p w:rsidR="000D3552" w:rsidRDefault="00A67FD7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 xml:space="preserve">השטח האמור בסעיף 2 נמצא בתחום שטח השיפוט של </w:t>
      </w:r>
      <w:r w:rsidR="00F12B51">
        <w:rPr>
          <w:rStyle w:val="default"/>
          <w:rFonts w:cs="FrankRuehl" w:hint="cs"/>
          <w:rtl/>
        </w:rPr>
        <w:t>העיר נס ציונה</w:t>
      </w:r>
      <w:r>
        <w:rPr>
          <w:rStyle w:val="default"/>
          <w:rFonts w:cs="FrankRuehl" w:hint="cs"/>
          <w:rtl/>
        </w:rPr>
        <w:t>, ו</w:t>
      </w:r>
      <w:r w:rsidR="00F12B51">
        <w:rPr>
          <w:rStyle w:val="default"/>
          <w:rFonts w:cs="FrankRuehl" w:hint="cs"/>
          <w:rtl/>
        </w:rPr>
        <w:t xml:space="preserve">הוא </w:t>
      </w:r>
      <w:r>
        <w:rPr>
          <w:rStyle w:val="default"/>
          <w:rFonts w:cs="FrankRuehl" w:hint="cs"/>
          <w:rtl/>
        </w:rPr>
        <w:t>כולל גושים וחלקות רישום קרקע אלה:</w:t>
      </w:r>
    </w:p>
    <w:p w:rsidR="00A67FD7" w:rsidRDefault="00A67FD7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(1)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גוש </w:t>
      </w:r>
      <w:r w:rsidR="00F12B51">
        <w:rPr>
          <w:rStyle w:val="default"/>
          <w:rFonts w:cs="FrankRuehl" w:hint="cs"/>
          <w:rtl/>
        </w:rPr>
        <w:t xml:space="preserve">3638 </w:t>
      </w:r>
      <w:r w:rsidR="00F12B51">
        <w:rPr>
          <w:rStyle w:val="default"/>
          <w:rFonts w:cs="FrankRuehl"/>
          <w:rtl/>
        </w:rPr>
        <w:t>–</w:t>
      </w:r>
      <w:r w:rsidR="00F12B51">
        <w:rPr>
          <w:rStyle w:val="default"/>
          <w:rFonts w:cs="FrankRuehl" w:hint="cs"/>
          <w:rtl/>
        </w:rPr>
        <w:t xml:space="preserve"> חלקה 35</w:t>
      </w:r>
      <w:r>
        <w:rPr>
          <w:rStyle w:val="default"/>
          <w:rFonts w:cs="FrankRuehl" w:hint="cs"/>
          <w:rtl/>
        </w:rPr>
        <w:t>;</w:t>
      </w:r>
    </w:p>
    <w:p w:rsidR="00F12B51" w:rsidRDefault="00F12B51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(2)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גוש 3639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חלקות 7, 8, 13, 14, 42 עד 117, 119 עד 204, 214 ו-220, וחלקי חלקות 20 עד 26, 205, 207, 215, 216, 218 ו-219;</w:t>
      </w:r>
    </w:p>
    <w:p w:rsidR="00F12B51" w:rsidRDefault="00F12B51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(3)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גוש 3640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חלקות 2 עד 4, 7 ו-9, וחלקי חלקות 1, 5, 6, 10 עד 14, 16 ו-17;</w:t>
      </w:r>
    </w:p>
    <w:p w:rsidR="00F12B51" w:rsidRDefault="00F12B51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(4)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גוש 3847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חלקות 8 ו-10;</w:t>
      </w:r>
    </w:p>
    <w:p w:rsidR="00F12B51" w:rsidRDefault="00F12B51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r>
        <w:rPr>
          <w:rStyle w:val="default"/>
          <w:rFonts w:cs="FrankRuehl" w:hint="cs"/>
          <w:rtl/>
        </w:rPr>
        <w:t>(5)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גוש 5102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חלקות 60 ו-228.</w:t>
      </w:r>
    </w:p>
    <w:p w:rsidR="00F12B51" w:rsidRDefault="00F12B51" w:rsidP="00EC25FA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EC25FA" w:rsidRPr="00A67FD7" w:rsidRDefault="00EC25FA" w:rsidP="00EC25FA">
      <w:pPr>
        <w:pStyle w:val="medium2-header"/>
        <w:keepLines w:val="0"/>
        <w:spacing w:before="72"/>
        <w:ind w:left="0" w:right="1134"/>
        <w:rPr>
          <w:rFonts w:ascii="FrankRuehl" w:hAnsi="FrankRuehl" w:cs="FrankRuehl"/>
          <w:noProof/>
          <w:rtl/>
        </w:rPr>
      </w:pPr>
      <w:bookmarkStart w:id="4" w:name="med1"/>
      <w:bookmarkEnd w:id="4"/>
      <w:r w:rsidRPr="00A67FD7">
        <w:rPr>
          <w:rFonts w:ascii="FrankRuehl" w:hAnsi="FrankRuehl" w:cs="FrankRuehl"/>
          <w:noProof/>
          <w:rtl/>
        </w:rPr>
        <w:t>תוספת</w:t>
      </w:r>
      <w:r>
        <w:rPr>
          <w:rFonts w:ascii="FrankRuehl" w:hAnsi="FrankRuehl" w:cs="FrankRuehl" w:hint="cs"/>
          <w:noProof/>
          <w:rtl/>
        </w:rPr>
        <w:t xml:space="preserve"> שנייה</w:t>
      </w:r>
    </w:p>
    <w:p w:rsidR="00EC25FA" w:rsidRPr="00527B5D" w:rsidRDefault="00EC25FA" w:rsidP="00EC25FA">
      <w:pPr>
        <w:pStyle w:val="P00"/>
        <w:spacing w:before="72"/>
        <w:ind w:left="0" w:right="1134"/>
        <w:jc w:val="center"/>
        <w:rPr>
          <w:rStyle w:val="default"/>
          <w:rFonts w:cs="FrankRuehl" w:hint="cs"/>
          <w:sz w:val="24"/>
          <w:szCs w:val="24"/>
          <w:rtl/>
        </w:rPr>
      </w:pPr>
      <w:r w:rsidRPr="00527B5D">
        <w:rPr>
          <w:rStyle w:val="default"/>
          <w:rFonts w:cs="FrankRuehl" w:hint="cs"/>
          <w:sz w:val="24"/>
          <w:szCs w:val="24"/>
          <w:rtl/>
        </w:rPr>
        <w:t xml:space="preserve">(סעיף </w:t>
      </w:r>
      <w:r>
        <w:rPr>
          <w:rStyle w:val="default"/>
          <w:rFonts w:cs="FrankRuehl" w:hint="cs"/>
          <w:sz w:val="24"/>
          <w:szCs w:val="24"/>
          <w:rtl/>
        </w:rPr>
        <w:t>2</w:t>
      </w:r>
      <w:r w:rsidRPr="00527B5D">
        <w:rPr>
          <w:rStyle w:val="default"/>
          <w:rFonts w:cs="FrankRuehl" w:hint="cs"/>
          <w:sz w:val="24"/>
          <w:szCs w:val="24"/>
          <w:rtl/>
        </w:rPr>
        <w:t>)</w:t>
      </w:r>
    </w:p>
    <w:p w:rsidR="00A67FD7" w:rsidRDefault="00EC25FA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</w:t>
      </w:r>
      <w:r w:rsidR="00F12B51">
        <w:rPr>
          <w:rStyle w:val="default"/>
          <w:rFonts w:cs="FrankRuehl" w:hint="cs"/>
          <w:rtl/>
        </w:rPr>
        <w:t>א</w:t>
      </w:r>
      <w:r>
        <w:rPr>
          <w:rStyle w:val="default"/>
          <w:rFonts w:cs="FrankRuehl" w:hint="cs"/>
          <w:rtl/>
        </w:rPr>
        <w:t>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תכנית מיתאר ארצית </w:t>
      </w:r>
      <w:r w:rsidR="00F12B51">
        <w:rPr>
          <w:rStyle w:val="default"/>
          <w:rFonts w:cs="FrankRuehl" w:hint="cs"/>
          <w:rtl/>
        </w:rPr>
        <w:t xml:space="preserve">אחודה </w:t>
      </w:r>
      <w:r w:rsidR="00F12B51">
        <w:rPr>
          <w:rStyle w:val="default"/>
          <w:rFonts w:cs="FrankRuehl"/>
          <w:rtl/>
        </w:rPr>
        <w:t>–</w:t>
      </w:r>
      <w:r w:rsidR="00F12B51">
        <w:rPr>
          <w:rStyle w:val="default"/>
          <w:rFonts w:cs="FrankRuehl" w:hint="cs"/>
          <w:rtl/>
        </w:rPr>
        <w:t xml:space="preserve"> תמ"א 1</w:t>
      </w:r>
      <w:r>
        <w:rPr>
          <w:rStyle w:val="default"/>
          <w:rFonts w:cs="FrankRuehl" w:hint="cs"/>
          <w:rtl/>
        </w:rPr>
        <w:t>;</w:t>
      </w:r>
    </w:p>
    <w:p w:rsidR="00F12B51" w:rsidRDefault="00F12B51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(ב)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תכנית מיתאר ארצית משולבת לבנייה, לפיתוח ולשימור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תמ"א 35;</w:t>
      </w:r>
    </w:p>
    <w:p w:rsidR="00F12B51" w:rsidRDefault="00F12B51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(ג)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תכנית מיתאר מחוזית, מחוז המרכז, מס' ת/מ/מ/3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שינוי מס' 21.</w:t>
      </w:r>
    </w:p>
    <w:p w:rsidR="00F12B51" w:rsidRDefault="00F12B51" w:rsidP="00EC25FA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EC25FA" w:rsidRPr="00A67FD7" w:rsidRDefault="00EC25FA" w:rsidP="00EC25FA">
      <w:pPr>
        <w:pStyle w:val="medium2-header"/>
        <w:keepLines w:val="0"/>
        <w:spacing w:before="72"/>
        <w:ind w:left="0" w:right="1134"/>
        <w:rPr>
          <w:rFonts w:ascii="FrankRuehl" w:hAnsi="FrankRuehl" w:cs="FrankRuehl"/>
          <w:noProof/>
          <w:rtl/>
        </w:rPr>
      </w:pPr>
      <w:bookmarkStart w:id="5" w:name="med2"/>
      <w:bookmarkEnd w:id="5"/>
      <w:r w:rsidRPr="00A67FD7">
        <w:rPr>
          <w:rFonts w:ascii="FrankRuehl" w:hAnsi="FrankRuehl" w:cs="FrankRuehl"/>
          <w:noProof/>
          <w:rtl/>
        </w:rPr>
        <w:t>תוספת</w:t>
      </w:r>
      <w:r>
        <w:rPr>
          <w:rFonts w:ascii="FrankRuehl" w:hAnsi="FrankRuehl" w:cs="FrankRuehl" w:hint="cs"/>
          <w:noProof/>
          <w:rtl/>
        </w:rPr>
        <w:t xml:space="preserve"> שלישית</w:t>
      </w:r>
    </w:p>
    <w:p w:rsidR="00EC25FA" w:rsidRPr="00527B5D" w:rsidRDefault="00EC25FA" w:rsidP="00EC25FA">
      <w:pPr>
        <w:pStyle w:val="P00"/>
        <w:spacing w:before="72"/>
        <w:ind w:left="0" w:right="1134"/>
        <w:jc w:val="center"/>
        <w:rPr>
          <w:rStyle w:val="default"/>
          <w:rFonts w:cs="FrankRuehl" w:hint="cs"/>
          <w:sz w:val="24"/>
          <w:szCs w:val="24"/>
          <w:rtl/>
        </w:rPr>
      </w:pPr>
      <w:r w:rsidRPr="00527B5D">
        <w:rPr>
          <w:rStyle w:val="default"/>
          <w:rFonts w:cs="FrankRuehl" w:hint="cs"/>
          <w:sz w:val="24"/>
          <w:szCs w:val="24"/>
          <w:rtl/>
        </w:rPr>
        <w:t xml:space="preserve">(סעיף </w:t>
      </w:r>
      <w:r>
        <w:rPr>
          <w:rStyle w:val="default"/>
          <w:rFonts w:cs="FrankRuehl" w:hint="cs"/>
          <w:sz w:val="24"/>
          <w:szCs w:val="24"/>
          <w:rtl/>
        </w:rPr>
        <w:t>2</w:t>
      </w:r>
      <w:r w:rsidRPr="00527B5D">
        <w:rPr>
          <w:rStyle w:val="default"/>
          <w:rFonts w:cs="FrankRuehl" w:hint="cs"/>
          <w:sz w:val="24"/>
          <w:szCs w:val="24"/>
          <w:rtl/>
        </w:rPr>
        <w:t>)</w:t>
      </w:r>
    </w:p>
    <w:p w:rsidR="00A67FD7" w:rsidRPr="00F12B51" w:rsidRDefault="00A67FD7" w:rsidP="00F12B51">
      <w:pPr>
        <w:pStyle w:val="P00"/>
        <w:spacing w:before="0"/>
        <w:ind w:left="0" w:right="1134"/>
        <w:rPr>
          <w:rStyle w:val="default"/>
          <w:rFonts w:cs="FrankRuehl" w:hint="cs"/>
          <w:sz w:val="20"/>
          <w:szCs w:val="20"/>
          <w:rtl/>
        </w:rPr>
      </w:pPr>
    </w:p>
    <w:p w:rsidR="00A67FD7" w:rsidRDefault="002425B6" w:rsidP="00F12B51">
      <w:pPr>
        <w:pStyle w:val="P00"/>
        <w:spacing w:before="72"/>
        <w:ind w:left="0" w:right="1134"/>
        <w:jc w:val="center"/>
        <w:rPr>
          <w:rStyle w:val="default"/>
          <w:rFonts w:cs="FrankRuehl"/>
          <w:rtl/>
        </w:rPr>
      </w:pPr>
      <w:r w:rsidRPr="00F12B51">
        <w:rPr>
          <w:rStyle w:val="default"/>
          <w:rFonts w:cs="FrankRueh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6pt;height:162pt">
            <v:imagedata r:id="rId7" o:title=""/>
          </v:shape>
        </w:pict>
      </w:r>
    </w:p>
    <w:p w:rsidR="00A67FD7" w:rsidRDefault="00A67FD7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0D3552" w:rsidRDefault="000D3552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:rsidR="000D3552" w:rsidRDefault="00EC25FA" w:rsidP="00EC25FA">
      <w:pPr>
        <w:pStyle w:val="sig-1"/>
        <w:widowControl/>
        <w:tabs>
          <w:tab w:val="clear" w:pos="851"/>
          <w:tab w:val="clear" w:pos="2835"/>
          <w:tab w:val="clear" w:pos="4820"/>
          <w:tab w:val="center" w:pos="5670"/>
        </w:tabs>
        <w:spacing w:before="72"/>
        <w:ind w:left="0" w:right="1134"/>
        <w:rPr>
          <w:rFonts w:cs="FrankRuehl" w:hint="cs"/>
          <w:sz w:val="26"/>
          <w:szCs w:val="26"/>
          <w:rtl/>
        </w:rPr>
      </w:pPr>
      <w:r>
        <w:rPr>
          <w:rFonts w:cs="FrankRuehl" w:hint="cs"/>
          <w:sz w:val="26"/>
          <w:szCs w:val="26"/>
          <w:rtl/>
        </w:rPr>
        <w:t>י"</w:t>
      </w:r>
      <w:r w:rsidR="002425B6">
        <w:rPr>
          <w:rFonts w:cs="FrankRuehl" w:hint="cs"/>
          <w:sz w:val="26"/>
          <w:szCs w:val="26"/>
          <w:rtl/>
        </w:rPr>
        <w:t>ט</w:t>
      </w:r>
      <w:r>
        <w:rPr>
          <w:rFonts w:cs="FrankRuehl" w:hint="cs"/>
          <w:sz w:val="26"/>
          <w:szCs w:val="26"/>
          <w:rtl/>
        </w:rPr>
        <w:t xml:space="preserve"> באדר </w:t>
      </w:r>
      <w:r w:rsidR="002425B6">
        <w:rPr>
          <w:rFonts w:cs="FrankRuehl" w:hint="cs"/>
          <w:sz w:val="26"/>
          <w:szCs w:val="26"/>
          <w:rtl/>
        </w:rPr>
        <w:t>התשפ"א (3 במרס 2021</w:t>
      </w:r>
      <w:r w:rsidR="000D3552">
        <w:rPr>
          <w:rFonts w:cs="FrankRuehl" w:hint="cs"/>
          <w:sz w:val="26"/>
          <w:szCs w:val="26"/>
          <w:rtl/>
        </w:rPr>
        <w:t>)</w:t>
      </w:r>
      <w:r>
        <w:rPr>
          <w:rFonts w:cs="FrankRuehl"/>
          <w:sz w:val="26"/>
          <w:szCs w:val="26"/>
          <w:rtl/>
        </w:rPr>
        <w:tab/>
      </w:r>
      <w:r w:rsidR="002425B6">
        <w:rPr>
          <w:rFonts w:cs="FrankRuehl" w:hint="cs"/>
          <w:sz w:val="26"/>
          <w:szCs w:val="26"/>
          <w:rtl/>
        </w:rPr>
        <w:t>גילה גמליאל</w:t>
      </w:r>
    </w:p>
    <w:p w:rsidR="000D3552" w:rsidRDefault="000D3552" w:rsidP="00EC25FA">
      <w:pPr>
        <w:pStyle w:val="sig-1"/>
        <w:widowControl/>
        <w:tabs>
          <w:tab w:val="clear" w:pos="851"/>
          <w:tab w:val="clear" w:pos="2835"/>
          <w:tab w:val="clear" w:pos="4820"/>
          <w:tab w:val="center" w:pos="5670"/>
        </w:tabs>
        <w:ind w:left="0" w:right="1134"/>
        <w:rPr>
          <w:rFonts w:cs="FrankRuehl" w:hint="cs"/>
          <w:sz w:val="22"/>
          <w:rtl/>
        </w:rPr>
      </w:pPr>
      <w:r>
        <w:rPr>
          <w:rFonts w:cs="FrankRuehl" w:hint="cs"/>
          <w:sz w:val="22"/>
          <w:rtl/>
        </w:rPr>
        <w:tab/>
        <w:t>השר</w:t>
      </w:r>
      <w:r w:rsidR="002425B6">
        <w:rPr>
          <w:rFonts w:cs="FrankRuehl" w:hint="cs"/>
          <w:sz w:val="22"/>
          <w:rtl/>
        </w:rPr>
        <w:t>ה</w:t>
      </w:r>
      <w:r>
        <w:rPr>
          <w:rFonts w:cs="FrankRuehl" w:hint="cs"/>
          <w:sz w:val="22"/>
          <w:rtl/>
        </w:rPr>
        <w:t xml:space="preserve"> </w:t>
      </w:r>
      <w:r w:rsidR="00EC25FA">
        <w:rPr>
          <w:rFonts w:cs="FrankRuehl" w:hint="cs"/>
          <w:sz w:val="22"/>
          <w:rtl/>
        </w:rPr>
        <w:t xml:space="preserve">להגנת </w:t>
      </w:r>
      <w:r>
        <w:rPr>
          <w:rFonts w:cs="FrankRuehl" w:hint="cs"/>
          <w:sz w:val="22"/>
          <w:rtl/>
        </w:rPr>
        <w:t>הסביבה</w:t>
      </w:r>
    </w:p>
    <w:p w:rsidR="00B366C9" w:rsidRPr="00B366C9" w:rsidRDefault="00B366C9" w:rsidP="00B366C9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3D0236" w:rsidRDefault="003D0236" w:rsidP="00B366C9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:rsidR="007B2937" w:rsidRDefault="007B2937" w:rsidP="00B366C9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:rsidR="007B2937" w:rsidRDefault="007B2937" w:rsidP="00B366C9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:rsidR="007B2937" w:rsidRDefault="007B2937" w:rsidP="007B2937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  <w:hyperlink r:id="rId8" w:history="1">
        <w:r>
          <w:rPr>
            <w:rStyle w:val="Hyperlink"/>
            <w:noProof w:val="0"/>
            <w:sz w:val="24"/>
            <w:szCs w:val="24"/>
            <w:rtl/>
          </w:rPr>
          <w:t>הודעה למנויים על עריכה ושינויים במסמכי פסיקה, חקיקה ועוד באתר נבו - הקש כאן</w:t>
        </w:r>
      </w:hyperlink>
    </w:p>
    <w:p w:rsidR="003D0236" w:rsidRPr="007B2937" w:rsidRDefault="003D0236" w:rsidP="007B2937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</w:p>
    <w:sectPr w:rsidR="003D0236" w:rsidRPr="007B2937">
      <w:headerReference w:type="even" r:id="rId9"/>
      <w:headerReference w:type="default" r:id="rId10"/>
      <w:footerReference w:type="even" r:id="rId11"/>
      <w:footerReference w:type="default" r:id="rId12"/>
      <w:type w:val="continuous"/>
      <w:pgSz w:w="11906" w:h="16838"/>
      <w:pgMar w:top="1200" w:right="2267" w:bottom="400" w:left="567" w:header="709" w:footer="709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5599" w:rsidRDefault="00DE5599">
      <w:r>
        <w:separator/>
      </w:r>
    </w:p>
  </w:endnote>
  <w:endnote w:type="continuationSeparator" w:id="0">
    <w:p w:rsidR="00DE5599" w:rsidRDefault="00DE5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Ruehl">
    <w:panose1 w:val="020E0503060101010101"/>
    <w:charset w:val="00"/>
    <w:family w:val="swiss"/>
    <w:pitch w:val="variable"/>
    <w:sig w:usb0="00000803" w:usb1="00000000" w:usb2="00000000" w:usb3="00000000" w:csb0="0000002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Frankruhel">
    <w:altName w:val="Times New Roman"/>
    <w:panose1 w:val="00000000000000000000"/>
    <w:charset w:val="00"/>
    <w:family w:val="roman"/>
    <w:notTrueType/>
    <w:pitch w:val="default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opType Jerushalm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3552" w:rsidRDefault="000D3552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>
      <w:rPr>
        <w:rFonts w:hAnsi="FrankRuehl" w:cs="FrankRuehl"/>
        <w:sz w:val="24"/>
        <w:szCs w:val="24"/>
        <w:rtl/>
      </w:rPr>
      <w:t>1</w:t>
    </w:r>
    <w:r>
      <w:rPr>
        <w:rFonts w:hAnsi="FrankRuehl" w:cs="FrankRuehl"/>
        <w:sz w:val="24"/>
        <w:szCs w:val="24"/>
        <w:rtl/>
      </w:rPr>
      <w:fldChar w:fldCharType="end"/>
    </w:r>
  </w:p>
  <w:p w:rsidR="000D3552" w:rsidRDefault="000D3552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r>
      <w:rPr>
        <w:rFonts w:cs="TopType Jerushalmi"/>
        <w:color w:val="000000"/>
        <w:sz w:val="28"/>
        <w:szCs w:val="22"/>
      </w:rPr>
      <w:t>nevo.co.il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:rsidR="000D3552" w:rsidRDefault="000D3552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B81C83">
      <w:rPr>
        <w:rFonts w:cs="TopType Jerushalmi"/>
        <w:noProof/>
        <w:color w:val="000000"/>
        <w:sz w:val="14"/>
        <w:szCs w:val="14"/>
      </w:rPr>
      <w:t>D:\Yael\hakika\Revadim</w:t>
    </w:r>
    <w:r w:rsidR="00B81C83">
      <w:rPr>
        <w:rFonts w:cs="TopType Jerushalmi"/>
        <w:noProof/>
        <w:color w:val="000000"/>
        <w:sz w:val="14"/>
        <w:szCs w:val="14"/>
        <w:rtl/>
      </w:rPr>
      <w:t>\קישורים\999_371.</w:t>
    </w:r>
    <w:r w:rsidR="00B81C83">
      <w:rPr>
        <w:rFonts w:cs="TopType Jerushalmi"/>
        <w:noProof/>
        <w:color w:val="000000"/>
        <w:sz w:val="14"/>
        <w:szCs w:val="14"/>
      </w:rPr>
      <w:t>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3552" w:rsidRDefault="000D3552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 w:rsidR="007B2937">
      <w:rPr>
        <w:rFonts w:hAnsi="FrankRuehl" w:cs="FrankRuehl"/>
        <w:noProof/>
        <w:sz w:val="24"/>
        <w:szCs w:val="24"/>
        <w:rtl/>
      </w:rPr>
      <w:t>3</w:t>
    </w:r>
    <w:r>
      <w:rPr>
        <w:rFonts w:hAnsi="FrankRuehl" w:cs="FrankRuehl"/>
        <w:sz w:val="24"/>
        <w:szCs w:val="24"/>
        <w:rtl/>
      </w:rPr>
      <w:fldChar w:fldCharType="end"/>
    </w:r>
  </w:p>
  <w:p w:rsidR="000D3552" w:rsidRDefault="000D3552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r>
      <w:rPr>
        <w:rFonts w:cs="TopType Jerushalmi"/>
        <w:color w:val="000000"/>
        <w:sz w:val="28"/>
        <w:szCs w:val="22"/>
      </w:rPr>
      <w:t>nevo.co.il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:rsidR="000D3552" w:rsidRDefault="000D3552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B81C83">
      <w:rPr>
        <w:rFonts w:cs="TopType Jerushalmi"/>
        <w:noProof/>
        <w:color w:val="000000"/>
        <w:sz w:val="14"/>
        <w:szCs w:val="14"/>
      </w:rPr>
      <w:t>D:\Yael\hakika\Revadim</w:t>
    </w:r>
    <w:r w:rsidR="00B81C83">
      <w:rPr>
        <w:rFonts w:cs="TopType Jerushalmi"/>
        <w:noProof/>
        <w:color w:val="000000"/>
        <w:sz w:val="14"/>
        <w:szCs w:val="14"/>
        <w:rtl/>
      </w:rPr>
      <w:t>\קישורים\999_371.</w:t>
    </w:r>
    <w:r w:rsidR="00B81C83">
      <w:rPr>
        <w:rFonts w:cs="TopType Jerushalmi"/>
        <w:noProof/>
        <w:color w:val="000000"/>
        <w:sz w:val="14"/>
        <w:szCs w:val="14"/>
      </w:rPr>
      <w:t>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5599" w:rsidRDefault="00DE5599" w:rsidP="00B81C83">
      <w:pPr>
        <w:spacing w:before="60"/>
        <w:ind w:right="1134"/>
      </w:pPr>
      <w:r>
        <w:separator/>
      </w:r>
    </w:p>
  </w:footnote>
  <w:footnote w:type="continuationSeparator" w:id="0">
    <w:p w:rsidR="00DE5599" w:rsidRDefault="00DE5599">
      <w:r>
        <w:continuationSeparator/>
      </w:r>
    </w:p>
  </w:footnote>
  <w:footnote w:id="1">
    <w:p w:rsidR="001D7ADC" w:rsidRDefault="000D3552" w:rsidP="001D7ADC">
      <w:pPr>
        <w:pStyle w:val="footnote"/>
        <w:tabs>
          <w:tab w:val="left" w:pos="624"/>
          <w:tab w:val="left" w:pos="1021"/>
          <w:tab w:val="left" w:pos="1474"/>
          <w:tab w:val="left" w:pos="1928"/>
          <w:tab w:val="left" w:pos="2381"/>
          <w:tab w:val="left" w:pos="2835"/>
          <w:tab w:val="right" w:leader="dot" w:pos="6259"/>
        </w:tabs>
        <w:spacing w:before="72"/>
        <w:ind w:left="0" w:right="1134"/>
        <w:rPr>
          <w:rFonts w:cs="FrankRuehl" w:hint="cs"/>
          <w:rtl/>
        </w:rPr>
      </w:pPr>
      <w:r>
        <w:rPr>
          <w:rFonts w:cs="FrankRuehl"/>
        </w:rPr>
        <w:t>*</w:t>
      </w:r>
      <w:r>
        <w:rPr>
          <w:rFonts w:cs="FrankRuehl" w:hint="cs"/>
          <w:rtl/>
        </w:rPr>
        <w:t xml:space="preserve"> </w:t>
      </w:r>
      <w:r w:rsidR="006B7F98">
        <w:rPr>
          <w:rFonts w:cs="FrankRuehl" w:hint="cs"/>
          <w:rtl/>
        </w:rPr>
        <w:t xml:space="preserve">פורסם </w:t>
      </w:r>
      <w:hyperlink r:id="rId1" w:history="1">
        <w:r w:rsidRPr="001D7ADC">
          <w:rPr>
            <w:rStyle w:val="Hyperlink"/>
            <w:rFonts w:cs="FrankRuehl" w:hint="cs"/>
            <w:rtl/>
          </w:rPr>
          <w:t>ק"ת תש</w:t>
        </w:r>
        <w:r w:rsidR="00F12B51" w:rsidRPr="001D7ADC">
          <w:rPr>
            <w:rStyle w:val="Hyperlink"/>
            <w:rFonts w:cs="FrankRuehl" w:hint="cs"/>
            <w:rtl/>
          </w:rPr>
          <w:t>פ"א</w:t>
        </w:r>
        <w:r w:rsidRPr="001D7ADC">
          <w:rPr>
            <w:rStyle w:val="Hyperlink"/>
            <w:rFonts w:cs="FrankRuehl" w:hint="cs"/>
            <w:rtl/>
          </w:rPr>
          <w:t xml:space="preserve"> מס' </w:t>
        </w:r>
        <w:r w:rsidR="00F12B51" w:rsidRPr="001D7ADC">
          <w:rPr>
            <w:rStyle w:val="Hyperlink"/>
            <w:rFonts w:cs="FrankRuehl" w:hint="cs"/>
            <w:rtl/>
          </w:rPr>
          <w:t>9266</w:t>
        </w:r>
      </w:hyperlink>
      <w:r>
        <w:rPr>
          <w:rFonts w:cs="FrankRuehl" w:hint="cs"/>
          <w:rtl/>
        </w:rPr>
        <w:t xml:space="preserve"> מיום </w:t>
      </w:r>
      <w:r w:rsidR="00F12B51">
        <w:rPr>
          <w:rFonts w:cs="FrankRuehl" w:hint="cs"/>
          <w:rtl/>
        </w:rPr>
        <w:t>11.3.2021</w:t>
      </w:r>
      <w:r>
        <w:rPr>
          <w:rFonts w:cs="FrankRuehl" w:hint="cs"/>
          <w:rtl/>
        </w:rPr>
        <w:t xml:space="preserve"> עמ' </w:t>
      </w:r>
      <w:r w:rsidR="00F12B51">
        <w:rPr>
          <w:rFonts w:cs="FrankRuehl" w:hint="cs"/>
          <w:rtl/>
        </w:rPr>
        <w:t>2598</w:t>
      </w:r>
      <w:r>
        <w:rPr>
          <w:rFonts w:cs="FrankRuehl" w:hint="cs"/>
          <w:rtl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3552" w:rsidRDefault="000D3552">
    <w:pPr>
      <w:pStyle w:val="a3"/>
      <w:spacing w:line="220" w:lineRule="exact"/>
      <w:ind w:left="0" w:right="1134"/>
      <w:jc w:val="center"/>
      <w:rPr>
        <w:rFonts w:hAnsi="FrankRuehl" w:cs="FrankRuehl"/>
        <w:color w:val="000000"/>
        <w:sz w:val="28"/>
        <w:szCs w:val="28"/>
        <w:rtl/>
      </w:rPr>
    </w:pPr>
    <w:r>
      <w:rPr>
        <w:rFonts w:hAnsi="FrankRuehl" w:cs="FrankRuehl"/>
        <w:color w:val="000000"/>
        <w:sz w:val="28"/>
        <w:szCs w:val="28"/>
        <w:rtl/>
      </w:rPr>
      <w:t>--[ סוף עמוד  16720  --[תקנות מס הכנסה (פטור מהגשת דין- וחשבון), תשמ"ח- 1988</w:t>
    </w:r>
  </w:p>
  <w:p w:rsidR="000D3552" w:rsidRDefault="000D3552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:rsidR="000D3552" w:rsidRDefault="000D3552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3552" w:rsidRPr="00BB635D" w:rsidRDefault="00BB635D">
    <w:pPr>
      <w:pStyle w:val="a3"/>
      <w:spacing w:line="220" w:lineRule="exact"/>
      <w:ind w:left="0" w:right="1134"/>
      <w:jc w:val="center"/>
      <w:rPr>
        <w:rFonts w:hAnsi="FrankRuehl" w:cs="FrankRuehl" w:hint="cs"/>
        <w:color w:val="000000"/>
        <w:sz w:val="28"/>
        <w:szCs w:val="28"/>
        <w:rtl/>
      </w:rPr>
    </w:pPr>
    <w:r w:rsidRPr="00BB635D">
      <w:rPr>
        <w:rFonts w:cs="FrankRuehl" w:hint="cs"/>
        <w:sz w:val="28"/>
        <w:szCs w:val="28"/>
        <w:rtl/>
      </w:rPr>
      <w:t>צו גנים לאומיים, שמורות טבע, אתרים לאומיים ואתרי הנצחה (</w:t>
    </w:r>
    <w:r w:rsidR="00A67FD7">
      <w:rPr>
        <w:rFonts w:cs="FrankRuehl" w:hint="cs"/>
        <w:sz w:val="28"/>
        <w:szCs w:val="28"/>
        <w:rtl/>
      </w:rPr>
      <w:t xml:space="preserve">קביעת תחום מוגן </w:t>
    </w:r>
    <w:r w:rsidR="00A67FD7">
      <w:rPr>
        <w:rFonts w:cs="FrankRuehl"/>
        <w:sz w:val="28"/>
        <w:szCs w:val="28"/>
        <w:rtl/>
      </w:rPr>
      <w:t>–</w:t>
    </w:r>
    <w:r w:rsidR="00A67FD7">
      <w:rPr>
        <w:rFonts w:cs="FrankRuehl" w:hint="cs"/>
        <w:sz w:val="28"/>
        <w:szCs w:val="28"/>
        <w:rtl/>
      </w:rPr>
      <w:t xml:space="preserve"> </w:t>
    </w:r>
    <w:r w:rsidR="00F12B51">
      <w:rPr>
        <w:rFonts w:cs="FrankRuehl" w:hint="cs"/>
        <w:sz w:val="28"/>
        <w:szCs w:val="28"/>
        <w:rtl/>
      </w:rPr>
      <w:t>גבעות הכורכר בנס ציונה), תשפ"א-2021</w:t>
    </w:r>
  </w:p>
  <w:p w:rsidR="000D3552" w:rsidRDefault="000D3552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:rsidR="000D3552" w:rsidRDefault="000D3552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C7D2A"/>
    <w:multiLevelType w:val="singleLevel"/>
    <w:tmpl w:val="0E5AE196"/>
    <w:lvl w:ilvl="0">
      <w:start w:val="7"/>
      <w:numFmt w:val="decimal"/>
      <w:lvlText w:val="(%1)"/>
      <w:lvlJc w:val="left"/>
      <w:pPr>
        <w:tabs>
          <w:tab w:val="num" w:pos="2386"/>
        </w:tabs>
        <w:ind w:hanging="1365"/>
      </w:pPr>
      <w:rPr>
        <w:rFonts w:ascii="Times New Roman" w:hAnsi="Times New Roman" w:cs="FrankRuehl" w:hint="default"/>
        <w:sz w:val="26"/>
      </w:rPr>
    </w:lvl>
  </w:abstractNum>
  <w:num w:numId="1" w16cid:durableId="993795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rawingGridHorizontalSpacing w:val="90"/>
  <w:displayHorizontalDrawingGridEvery w:val="2"/>
  <w:displayVerticalDrawingGridEvery w:val="2"/>
  <w:characterSpacingControl w:val="doNotCompress"/>
  <w:hdrShapeDefaults>
    <o:shapedefaults v:ext="edit" spidmax="3074" fill="f" fillcolor="white" stroke="f">
      <v:fill color="white" on="f"/>
      <v:stroke on="f"/>
      <v:textbox inset="1mm,,1mm"/>
    </o:shapedefaults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759E"/>
    <w:rsid w:val="000D3552"/>
    <w:rsid w:val="000D7455"/>
    <w:rsid w:val="001C367E"/>
    <w:rsid w:val="001D7ADC"/>
    <w:rsid w:val="002425B6"/>
    <w:rsid w:val="003D0236"/>
    <w:rsid w:val="004024B0"/>
    <w:rsid w:val="00416270"/>
    <w:rsid w:val="0046759E"/>
    <w:rsid w:val="00533C5F"/>
    <w:rsid w:val="00557F9B"/>
    <w:rsid w:val="0061453B"/>
    <w:rsid w:val="006B7F98"/>
    <w:rsid w:val="007B2937"/>
    <w:rsid w:val="008C4F69"/>
    <w:rsid w:val="00963359"/>
    <w:rsid w:val="00A67FD7"/>
    <w:rsid w:val="00AE5D02"/>
    <w:rsid w:val="00B366C9"/>
    <w:rsid w:val="00B70257"/>
    <w:rsid w:val="00B808A0"/>
    <w:rsid w:val="00B81C83"/>
    <w:rsid w:val="00B952DF"/>
    <w:rsid w:val="00BB635D"/>
    <w:rsid w:val="00C1774D"/>
    <w:rsid w:val="00DB305D"/>
    <w:rsid w:val="00DC3B25"/>
    <w:rsid w:val="00DE5599"/>
    <w:rsid w:val="00EC25FA"/>
    <w:rsid w:val="00F12B51"/>
    <w:rsid w:val="00F43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="f" fillcolor="white" stroke="f">
      <v:fill color="white" on="f"/>
      <v:stroke on="f"/>
      <v:textbox inset="1mm,,1mm"/>
    </o:shapedefaults>
    <o:shapelayout v:ext="edit">
      <o:idmap v:ext="edit" data="1"/>
    </o:shapelayout>
  </w:shapeDefaults>
  <w:decimalSymbol w:val="."/>
  <w:listSeparator w:val=","/>
  <w15:chartTrackingRefBased/>
  <w15:docId w15:val="{AB58DEBB-CE4B-4800-9F06-7F52920B5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L" w:eastAsia="en-IL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bidi/>
    </w:pPr>
    <w:rPr>
      <w:sz w:val="24"/>
      <w:szCs w:val="24"/>
      <w:lang w:val="en-US" w:eastAsia="he-IL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big-header">
    <w:name w:val="big-header"/>
    <w:basedOn w:val="a"/>
    <w:pPr>
      <w:keepNext/>
      <w:keepLines/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</w:tabs>
      <w:suppressAutoHyphens/>
      <w:autoSpaceDE w:val="0"/>
      <w:autoSpaceDN w:val="0"/>
      <w:spacing w:before="440" w:after="120"/>
      <w:ind w:left="2835"/>
      <w:jc w:val="center"/>
    </w:pPr>
    <w:rPr>
      <w:noProof/>
      <w:sz w:val="20"/>
      <w:szCs w:val="32"/>
    </w:rPr>
  </w:style>
  <w:style w:type="character" w:customStyle="1" w:styleId="super">
    <w:name w:val="super"/>
    <w:rPr>
      <w:rFonts w:ascii="Times New Roman" w:hAnsi="Times New Roman" w:cs="Times New Roman"/>
      <w:position w:val="4"/>
      <w:sz w:val="16"/>
      <w:szCs w:val="16"/>
      <w:lang w:val="en-US" w:eastAsia="x-none"/>
    </w:rPr>
  </w:style>
  <w:style w:type="character" w:customStyle="1" w:styleId="default">
    <w:name w:val="default"/>
    <w:rPr>
      <w:rFonts w:ascii="Times New Roman" w:hAnsi="Times New Roman" w:cs="Times New Roman"/>
      <w:sz w:val="26"/>
      <w:szCs w:val="26"/>
    </w:rPr>
  </w:style>
  <w:style w:type="paragraph" w:customStyle="1" w:styleId="P00">
    <w:name w:val="P00"/>
    <w:pPr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  <w:tab w:val="right" w:leader="dot" w:pos="6259"/>
      </w:tabs>
      <w:suppressAutoHyphens/>
      <w:autoSpaceDE w:val="0"/>
      <w:autoSpaceDN w:val="0"/>
      <w:bidi/>
      <w:spacing w:before="60"/>
      <w:ind w:left="2835"/>
      <w:jc w:val="both"/>
    </w:pPr>
    <w:rPr>
      <w:noProof/>
      <w:szCs w:val="26"/>
      <w:lang w:val="en-US" w:eastAsia="he-IL"/>
    </w:rPr>
  </w:style>
  <w:style w:type="character" w:customStyle="1" w:styleId="big-number">
    <w:name w:val="big-number"/>
    <w:rPr>
      <w:rFonts w:ascii="Times New Roman" w:hAnsi="Times New Roman" w:cs="Times New Roman"/>
      <w:sz w:val="32"/>
      <w:szCs w:val="32"/>
    </w:rPr>
  </w:style>
  <w:style w:type="paragraph" w:customStyle="1" w:styleId="P22">
    <w:name w:val="P22"/>
    <w:basedOn w:val="P00"/>
    <w:pPr>
      <w:tabs>
        <w:tab w:val="clear" w:pos="624"/>
        <w:tab w:val="clear" w:pos="1021"/>
      </w:tabs>
      <w:ind w:right="1021"/>
    </w:pPr>
  </w:style>
  <w:style w:type="paragraph" w:customStyle="1" w:styleId="footnote">
    <w:name w:val="footnote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</w:tabs>
      <w:spacing w:before="0"/>
    </w:pPr>
    <w:rPr>
      <w:sz w:val="22"/>
      <w:szCs w:val="22"/>
    </w:rPr>
  </w:style>
  <w:style w:type="paragraph" w:customStyle="1" w:styleId="page">
    <w:name w:val="page"/>
    <w:pPr>
      <w:widowControl w:val="0"/>
      <w:autoSpaceDE w:val="0"/>
      <w:autoSpaceDN w:val="0"/>
      <w:bidi/>
    </w:pPr>
    <w:rPr>
      <w:noProof/>
      <w:position w:val="4"/>
      <w:szCs w:val="22"/>
      <w:lang w:val="en-US" w:eastAsia="he-IL"/>
    </w:rPr>
  </w:style>
  <w:style w:type="paragraph" w:customStyle="1" w:styleId="medium2-header">
    <w:name w:val="medium2-header"/>
    <w:basedOn w:val="medium-header"/>
    <w:pPr>
      <w:spacing w:before="240"/>
    </w:pPr>
    <w:rPr>
      <w:bCs/>
      <w:noProof w:val="0"/>
      <w:sz w:val="24"/>
      <w:szCs w:val="24"/>
    </w:rPr>
  </w:style>
  <w:style w:type="paragraph" w:customStyle="1" w:styleId="medium-header">
    <w:name w:val="medium-header"/>
    <w:basedOn w:val="P00"/>
    <w:pPr>
      <w:keepNext/>
      <w:keepLines/>
      <w:tabs>
        <w:tab w:val="clear" w:pos="6259"/>
      </w:tabs>
      <w:spacing w:before="72"/>
      <w:jc w:val="center"/>
    </w:pPr>
  </w:style>
  <w:style w:type="paragraph" w:customStyle="1" w:styleId="sig-0">
    <w:name w:val="sig-0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  <w:tab w:val="center" w:pos="4820"/>
      </w:tabs>
    </w:pPr>
  </w:style>
  <w:style w:type="paragraph" w:customStyle="1" w:styleId="sig-1">
    <w:name w:val="sig-1"/>
    <w:pPr>
      <w:widowControl w:val="0"/>
      <w:tabs>
        <w:tab w:val="center" w:pos="851"/>
        <w:tab w:val="center" w:pos="2835"/>
        <w:tab w:val="center" w:pos="4820"/>
      </w:tabs>
      <w:autoSpaceDE w:val="0"/>
      <w:autoSpaceDN w:val="0"/>
      <w:bidi/>
      <w:ind w:left="2835"/>
      <w:jc w:val="both"/>
    </w:pPr>
    <w:rPr>
      <w:noProof/>
      <w:szCs w:val="22"/>
      <w:lang w:val="en-US" w:eastAsia="he-IL"/>
    </w:rPr>
  </w:style>
  <w:style w:type="paragraph" w:styleId="a3">
    <w:name w:val="header"/>
    <w:basedOn w:val="a"/>
    <w:pPr>
      <w:widowControl w:val="0"/>
      <w:tabs>
        <w:tab w:val="center" w:pos="4153"/>
        <w:tab w:val="right" w:pos="8306"/>
      </w:tabs>
      <w:autoSpaceDE w:val="0"/>
      <w:autoSpaceDN w:val="0"/>
      <w:spacing w:before="60"/>
      <w:ind w:left="2835"/>
      <w:jc w:val="both"/>
    </w:pPr>
    <w:rPr>
      <w:sz w:val="20"/>
      <w:szCs w:val="20"/>
    </w:rPr>
  </w:style>
  <w:style w:type="paragraph" w:styleId="a4">
    <w:name w:val="footer"/>
    <w:basedOn w:val="a"/>
    <w:pPr>
      <w:widowControl w:val="0"/>
      <w:tabs>
        <w:tab w:val="center" w:pos="4153"/>
        <w:tab w:val="right" w:pos="8306"/>
      </w:tabs>
      <w:autoSpaceDE w:val="0"/>
      <w:autoSpaceDN w:val="0"/>
      <w:spacing w:before="60"/>
      <w:ind w:left="2835"/>
      <w:jc w:val="both"/>
    </w:pPr>
    <w:rPr>
      <w:sz w:val="20"/>
      <w:szCs w:val="20"/>
    </w:rPr>
  </w:style>
  <w:style w:type="character" w:styleId="Hyperlink">
    <w:name w:val="Hyperlink"/>
    <w:rPr>
      <w:color w:val="0000FF"/>
      <w:u w:val="single"/>
    </w:rPr>
  </w:style>
  <w:style w:type="paragraph" w:styleId="a5">
    <w:name w:val="footnote text"/>
    <w:basedOn w:val="a"/>
    <w:semiHidden/>
    <w:rPr>
      <w:sz w:val="20"/>
      <w:szCs w:val="20"/>
    </w:rPr>
  </w:style>
  <w:style w:type="character" w:styleId="a6">
    <w:name w:val="footnote reference"/>
    <w:semiHidden/>
    <w:rPr>
      <w:vertAlign w:val="superscript"/>
    </w:rPr>
  </w:style>
  <w:style w:type="paragraph" w:styleId="a7">
    <w:name w:val="Body Text"/>
    <w:basedOn w:val="a"/>
    <w:rPr>
      <w:rFonts w:cs="Miriam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evo.co.il/advertisements/nevo-100.doc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nevo.co.il/law_word/law06/tak-9266.pdf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nevo.co.il</vt:lpstr>
    </vt:vector>
  </TitlesOfParts>
  <Company/>
  <LinksUpToDate>false</LinksUpToDate>
  <CharactersWithSpaces>2149</CharactersWithSpaces>
  <SharedDoc>false</SharedDoc>
  <HLinks>
    <vt:vector size="48" baseType="variant">
      <vt:variant>
        <vt:i4>393283</vt:i4>
      </vt:variant>
      <vt:variant>
        <vt:i4>36</vt:i4>
      </vt:variant>
      <vt:variant>
        <vt:i4>0</vt:i4>
      </vt:variant>
      <vt:variant>
        <vt:i4>5</vt:i4>
      </vt:variant>
      <vt:variant>
        <vt:lpwstr>http://www.nevo.co.il/advertisements/nevo-100.doc</vt:lpwstr>
      </vt:variant>
      <vt:variant>
        <vt:lpwstr/>
      </vt:variant>
      <vt:variant>
        <vt:i4>5701641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med2</vt:lpwstr>
      </vt:variant>
      <vt:variant>
        <vt:i4>5505033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med1</vt:lpwstr>
      </vt:variant>
      <vt:variant>
        <vt:i4>5570569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med0</vt:lpwstr>
      </vt:variant>
      <vt:variant>
        <vt:i4>196634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Seif3</vt:lpwstr>
      </vt:variant>
      <vt:variant>
        <vt:i4>196634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Seif2</vt:lpwstr>
      </vt:variant>
      <vt:variant>
        <vt:i4>196634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Seif1</vt:lpwstr>
      </vt:variant>
      <vt:variant>
        <vt:i4>7471133</vt:i4>
      </vt:variant>
      <vt:variant>
        <vt:i4>0</vt:i4>
      </vt:variant>
      <vt:variant>
        <vt:i4>0</vt:i4>
      </vt:variant>
      <vt:variant>
        <vt:i4>5</vt:i4>
      </vt:variant>
      <vt:variant>
        <vt:lpwstr>https://www.nevo.co.il/law_word/law06/tak-9266.pdf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nevo.co.il</dc:title>
  <dc:subject/>
  <dc:creator>hofit</dc:creator>
  <cp:keywords/>
  <dc:description/>
  <cp:lastModifiedBy>Shimon Doodkin</cp:lastModifiedBy>
  <cp:revision>2</cp:revision>
  <dcterms:created xsi:type="dcterms:W3CDTF">2023-06-05T19:15:00Z</dcterms:created>
  <dcterms:modified xsi:type="dcterms:W3CDTF">2023-06-05T19:15:00Z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NUMBER">
    <vt:lpwstr>0502</vt:lpwstr>
  </property>
  <property fmtid="{D5CDD505-2E9C-101B-9397-08002B2CF9AE}" pid="3" name="LAWNAME">
    <vt:lpwstr>צו גנים לאומיים, שמורות טבע, אתרים לאומיים ואתרי הנצחה (קביעת תחום מוגן – גבעות הכורכר בנס ציונה), תשפ"א-2021</vt:lpwstr>
  </property>
  <property fmtid="{D5CDD505-2E9C-101B-9397-08002B2CF9AE}" pid="4" name="LAWNUMBER">
    <vt:lpwstr>0474</vt:lpwstr>
  </property>
  <property fmtid="{D5CDD505-2E9C-101B-9397-08002B2CF9AE}" pid="5" name="TYPE">
    <vt:lpwstr>01</vt:lpwstr>
  </property>
  <property fmtid="{D5CDD505-2E9C-101B-9397-08002B2CF9AE}" pid="6" name="CHNAME">
    <vt:lpwstr>איכות הסביבה</vt:lpwstr>
  </property>
  <property fmtid="{D5CDD505-2E9C-101B-9397-08002B2CF9AE}" pid="7" name="LINKK2">
    <vt:lpwstr/>
  </property>
  <property fmtid="{D5CDD505-2E9C-101B-9397-08002B2CF9AE}" pid="8" name="LINKK3">
    <vt:lpwstr/>
  </property>
  <property fmtid="{D5CDD505-2E9C-101B-9397-08002B2CF9AE}" pid="9" name="LINKK4">
    <vt:lpwstr/>
  </property>
  <property fmtid="{D5CDD505-2E9C-101B-9397-08002B2CF9AE}" pid="10" name="LINKK5">
    <vt:lpwstr/>
  </property>
  <property fmtid="{D5CDD505-2E9C-101B-9397-08002B2CF9AE}" pid="11" name="LINKK6">
    <vt:lpwstr/>
  </property>
  <property fmtid="{D5CDD505-2E9C-101B-9397-08002B2CF9AE}" pid="12" name="LINKK7">
    <vt:lpwstr/>
  </property>
  <property fmtid="{D5CDD505-2E9C-101B-9397-08002B2CF9AE}" pid="13" name="LINKK8">
    <vt:lpwstr/>
  </property>
  <property fmtid="{D5CDD505-2E9C-101B-9397-08002B2CF9AE}" pid="14" name="LINKK9">
    <vt:lpwstr/>
  </property>
  <property fmtid="{D5CDD505-2E9C-101B-9397-08002B2CF9AE}" pid="15" name="LINKK10">
    <vt:lpwstr/>
  </property>
  <property fmtid="{D5CDD505-2E9C-101B-9397-08002B2CF9AE}" pid="16" name="NOSE11">
    <vt:lpwstr>חקלאות טבע וסביבה</vt:lpwstr>
  </property>
  <property fmtid="{D5CDD505-2E9C-101B-9397-08002B2CF9AE}" pid="17" name="NOSE21">
    <vt:lpwstr>גנים שמורות ואתרים</vt:lpwstr>
  </property>
  <property fmtid="{D5CDD505-2E9C-101B-9397-08002B2CF9AE}" pid="18" name="NOSE31">
    <vt:lpwstr/>
  </property>
  <property fmtid="{D5CDD505-2E9C-101B-9397-08002B2CF9AE}" pid="19" name="NOSE41">
    <vt:lpwstr/>
  </property>
  <property fmtid="{D5CDD505-2E9C-101B-9397-08002B2CF9AE}" pid="20" name="NOSE32">
    <vt:lpwstr/>
  </property>
  <property fmtid="{D5CDD505-2E9C-101B-9397-08002B2CF9AE}" pid="21" name="NOSE42">
    <vt:lpwstr/>
  </property>
  <property fmtid="{D5CDD505-2E9C-101B-9397-08002B2CF9AE}" pid="22" name="NOSE13">
    <vt:lpwstr/>
  </property>
  <property fmtid="{D5CDD505-2E9C-101B-9397-08002B2CF9AE}" pid="23" name="NOSE23">
    <vt:lpwstr/>
  </property>
  <property fmtid="{D5CDD505-2E9C-101B-9397-08002B2CF9AE}" pid="24" name="NOSE33">
    <vt:lpwstr/>
  </property>
  <property fmtid="{D5CDD505-2E9C-101B-9397-08002B2CF9AE}" pid="25" name="NOSE43">
    <vt:lpwstr/>
  </property>
  <property fmtid="{D5CDD505-2E9C-101B-9397-08002B2CF9AE}" pid="26" name="NOSE14">
    <vt:lpwstr/>
  </property>
  <property fmtid="{D5CDD505-2E9C-101B-9397-08002B2CF9AE}" pid="27" name="NOSE24">
    <vt:lpwstr/>
  </property>
  <property fmtid="{D5CDD505-2E9C-101B-9397-08002B2CF9AE}" pid="28" name="NOSE34">
    <vt:lpwstr/>
  </property>
  <property fmtid="{D5CDD505-2E9C-101B-9397-08002B2CF9AE}" pid="29" name="NOSE44">
    <vt:lpwstr/>
  </property>
  <property fmtid="{D5CDD505-2E9C-101B-9397-08002B2CF9AE}" pid="30" name="NOSE15">
    <vt:lpwstr/>
  </property>
  <property fmtid="{D5CDD505-2E9C-101B-9397-08002B2CF9AE}" pid="31" name="NOSE25">
    <vt:lpwstr/>
  </property>
  <property fmtid="{D5CDD505-2E9C-101B-9397-08002B2CF9AE}" pid="32" name="NOSE35">
    <vt:lpwstr/>
  </property>
  <property fmtid="{D5CDD505-2E9C-101B-9397-08002B2CF9AE}" pid="33" name="NOSE45">
    <vt:lpwstr/>
  </property>
  <property fmtid="{D5CDD505-2E9C-101B-9397-08002B2CF9AE}" pid="34" name="NOSE16">
    <vt:lpwstr/>
  </property>
  <property fmtid="{D5CDD505-2E9C-101B-9397-08002B2CF9AE}" pid="35" name="NOSE26">
    <vt:lpwstr/>
  </property>
  <property fmtid="{D5CDD505-2E9C-101B-9397-08002B2CF9AE}" pid="36" name="NOSE36">
    <vt:lpwstr/>
  </property>
  <property fmtid="{D5CDD505-2E9C-101B-9397-08002B2CF9AE}" pid="37" name="NOSE46">
    <vt:lpwstr/>
  </property>
  <property fmtid="{D5CDD505-2E9C-101B-9397-08002B2CF9AE}" pid="38" name="NOSE17">
    <vt:lpwstr/>
  </property>
  <property fmtid="{D5CDD505-2E9C-101B-9397-08002B2CF9AE}" pid="39" name="NOSE27">
    <vt:lpwstr/>
  </property>
  <property fmtid="{D5CDD505-2E9C-101B-9397-08002B2CF9AE}" pid="40" name="NOSE37">
    <vt:lpwstr/>
  </property>
  <property fmtid="{D5CDD505-2E9C-101B-9397-08002B2CF9AE}" pid="41" name="NOSE47">
    <vt:lpwstr/>
  </property>
  <property fmtid="{D5CDD505-2E9C-101B-9397-08002B2CF9AE}" pid="42" name="NOSE18">
    <vt:lpwstr/>
  </property>
  <property fmtid="{D5CDD505-2E9C-101B-9397-08002B2CF9AE}" pid="43" name="NOSE28">
    <vt:lpwstr/>
  </property>
  <property fmtid="{D5CDD505-2E9C-101B-9397-08002B2CF9AE}" pid="44" name="NOSE38">
    <vt:lpwstr/>
  </property>
  <property fmtid="{D5CDD505-2E9C-101B-9397-08002B2CF9AE}" pid="45" name="NOSE48">
    <vt:lpwstr/>
  </property>
  <property fmtid="{D5CDD505-2E9C-101B-9397-08002B2CF9AE}" pid="46" name="NOSE19">
    <vt:lpwstr/>
  </property>
  <property fmtid="{D5CDD505-2E9C-101B-9397-08002B2CF9AE}" pid="47" name="NOSE29">
    <vt:lpwstr/>
  </property>
  <property fmtid="{D5CDD505-2E9C-101B-9397-08002B2CF9AE}" pid="48" name="NOSE39">
    <vt:lpwstr/>
  </property>
  <property fmtid="{D5CDD505-2E9C-101B-9397-08002B2CF9AE}" pid="49" name="NOSE49">
    <vt:lpwstr/>
  </property>
  <property fmtid="{D5CDD505-2E9C-101B-9397-08002B2CF9AE}" pid="50" name="NOSE110">
    <vt:lpwstr/>
  </property>
  <property fmtid="{D5CDD505-2E9C-101B-9397-08002B2CF9AE}" pid="51" name="NOSE210">
    <vt:lpwstr/>
  </property>
  <property fmtid="{D5CDD505-2E9C-101B-9397-08002B2CF9AE}" pid="52" name="NOSE310">
    <vt:lpwstr/>
  </property>
  <property fmtid="{D5CDD505-2E9C-101B-9397-08002B2CF9AE}" pid="53" name="NOSE410">
    <vt:lpwstr/>
  </property>
  <property fmtid="{D5CDD505-2E9C-101B-9397-08002B2CF9AE}" pid="54" name="MEKOR_NAME1">
    <vt:lpwstr>חוק גנים לאומיים, שמורות טבע, אתרים לאומיים ואתרי הנצחה, תשנ"ח-1998</vt:lpwstr>
  </property>
  <property fmtid="{D5CDD505-2E9C-101B-9397-08002B2CF9AE}" pid="55" name="MEKOR_SAIF1">
    <vt:lpwstr>36בXאX</vt:lpwstr>
  </property>
  <property fmtid="{D5CDD505-2E9C-101B-9397-08002B2CF9AE}" pid="56" name="MEKORSAMCHUT">
    <vt:lpwstr/>
  </property>
  <property fmtid="{D5CDD505-2E9C-101B-9397-08002B2CF9AE}" pid="57" name="LINKI1">
    <vt:lpwstr/>
  </property>
  <property fmtid="{D5CDD505-2E9C-101B-9397-08002B2CF9AE}" pid="58" name="LINKI2">
    <vt:lpwstr/>
  </property>
  <property fmtid="{D5CDD505-2E9C-101B-9397-08002B2CF9AE}" pid="59" name="LINKI3">
    <vt:lpwstr/>
  </property>
  <property fmtid="{D5CDD505-2E9C-101B-9397-08002B2CF9AE}" pid="60" name="LINKI4">
    <vt:lpwstr/>
  </property>
  <property fmtid="{D5CDD505-2E9C-101B-9397-08002B2CF9AE}" pid="61" name="LINKI5">
    <vt:lpwstr/>
  </property>
  <property fmtid="{D5CDD505-2E9C-101B-9397-08002B2CF9AE}" pid="62" name="MEKOR_LAWID1">
    <vt:lpwstr>75051</vt:lpwstr>
  </property>
  <property fmtid="{D5CDD505-2E9C-101B-9397-08002B2CF9AE}" pid="63" name="LINKK1">
    <vt:lpwstr>https://www.nevo.co.il/law_word/law06/tak-9266.pdf;‎רשומות - תקנות כלליות#פורסם ק"ת תשפ"א ‏מס' 9266 #מיום 11.3.2021 עמ' 2598‏</vt:lpwstr>
  </property>
</Properties>
</file>