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DCE" w:rsidRDefault="00CF1DCE">
      <w:pPr>
        <w:pStyle w:val="big-header"/>
        <w:ind w:left="0" w:right="1134"/>
      </w:pPr>
      <w:r>
        <w:rPr>
          <w:rtl/>
        </w:rPr>
        <w:t>צו הבזק (נכסים ותביעות המועברים לחברה), תשמ"ד-1984</w:t>
      </w:r>
    </w:p>
    <w:p w:rsidR="00141A4B" w:rsidRPr="00141A4B" w:rsidRDefault="00141A4B" w:rsidP="00141A4B">
      <w:pPr>
        <w:spacing w:line="320" w:lineRule="auto"/>
        <w:jc w:val="left"/>
        <w:rPr>
          <w:rFonts w:cs="FrankRuehl"/>
          <w:szCs w:val="26"/>
          <w:rtl/>
        </w:rPr>
      </w:pPr>
    </w:p>
    <w:p w:rsidR="00141A4B" w:rsidRDefault="00141A4B" w:rsidP="00141A4B">
      <w:pPr>
        <w:spacing w:line="320" w:lineRule="auto"/>
        <w:jc w:val="left"/>
        <w:rPr>
          <w:rtl/>
        </w:rPr>
      </w:pPr>
    </w:p>
    <w:p w:rsidR="00141A4B" w:rsidRDefault="00141A4B" w:rsidP="00141A4B">
      <w:pPr>
        <w:spacing w:line="320" w:lineRule="auto"/>
        <w:jc w:val="left"/>
        <w:rPr>
          <w:rFonts w:cs="FrankRuehl"/>
          <w:szCs w:val="26"/>
          <w:rtl/>
        </w:rPr>
      </w:pPr>
      <w:r w:rsidRPr="00141A4B">
        <w:rPr>
          <w:rFonts w:cs="Miriam"/>
          <w:szCs w:val="22"/>
          <w:rtl/>
        </w:rPr>
        <w:t>רשויות ומשפט מנהלי</w:t>
      </w:r>
      <w:r w:rsidRPr="00141A4B">
        <w:rPr>
          <w:rFonts w:cs="FrankRuehl"/>
          <w:szCs w:val="26"/>
          <w:rtl/>
        </w:rPr>
        <w:t xml:space="preserve"> – תקשורת – בזק ושידורים</w:t>
      </w:r>
    </w:p>
    <w:p w:rsidR="00141A4B" w:rsidRPr="00141A4B" w:rsidRDefault="00141A4B" w:rsidP="00141A4B">
      <w:pPr>
        <w:spacing w:line="320" w:lineRule="auto"/>
        <w:jc w:val="left"/>
        <w:rPr>
          <w:rFonts w:cs="Miriam"/>
          <w:szCs w:val="22"/>
          <w:rtl/>
        </w:rPr>
      </w:pPr>
      <w:r w:rsidRPr="00141A4B">
        <w:rPr>
          <w:rFonts w:cs="Miriam"/>
          <w:szCs w:val="22"/>
          <w:rtl/>
        </w:rPr>
        <w:t>משפט פרטי וכלכלה</w:t>
      </w:r>
      <w:r w:rsidRPr="00141A4B">
        <w:rPr>
          <w:rFonts w:cs="FrankRuehl"/>
          <w:szCs w:val="26"/>
          <w:rtl/>
        </w:rPr>
        <w:t xml:space="preserve"> – תאגידים וניירות ערך – חברות</w:t>
      </w:r>
    </w:p>
    <w:p w:rsidR="00CF1DCE" w:rsidRDefault="00CF1DC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F1DC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1DCE" w:rsidRDefault="00CF1D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1DCE" w:rsidRDefault="00CF1DC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1DCE" w:rsidRDefault="00CF1D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CF1DCE" w:rsidRDefault="00CF1D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F1DC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1DCE" w:rsidRDefault="00CF1D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1DCE" w:rsidRDefault="00CF1DCE">
            <w:pPr>
              <w:spacing w:line="240" w:lineRule="auto"/>
              <w:rPr>
                <w:sz w:val="24"/>
              </w:rPr>
            </w:pPr>
            <w:hyperlink w:anchor="Seif1" w:tooltip="הסכם להעברת נכ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1DCE" w:rsidRDefault="00CF1D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הסכם להעברת נכסים</w:t>
            </w:r>
          </w:p>
        </w:tc>
        <w:tc>
          <w:tcPr>
            <w:tcW w:w="1247" w:type="dxa"/>
          </w:tcPr>
          <w:p w:rsidR="00CF1DCE" w:rsidRDefault="00CF1D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F1DC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1DCE" w:rsidRDefault="00CF1D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1DCE" w:rsidRDefault="00CF1DCE">
            <w:pPr>
              <w:spacing w:line="240" w:lineRule="auto"/>
              <w:rPr>
                <w:sz w:val="24"/>
              </w:rPr>
            </w:pPr>
            <w:hyperlink w:anchor="Seif2" w:tooltip="תביעות תלויות ועומ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1DCE" w:rsidRDefault="00CF1D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תביעות תלויות ועומדות</w:t>
            </w:r>
          </w:p>
        </w:tc>
        <w:tc>
          <w:tcPr>
            <w:tcW w:w="1247" w:type="dxa"/>
          </w:tcPr>
          <w:p w:rsidR="00CF1DCE" w:rsidRDefault="00CF1D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CF1DCE" w:rsidRDefault="00CF1DCE">
      <w:pPr>
        <w:pStyle w:val="big-header"/>
        <w:ind w:left="0" w:right="1134"/>
        <w:rPr>
          <w:rtl/>
        </w:rPr>
      </w:pPr>
    </w:p>
    <w:p w:rsidR="00CF1DCE" w:rsidRDefault="00CF1DCE" w:rsidP="00141A4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הבזק (נכסים ותביעות המועברים לחברה), תשמ"ד-1984</w:t>
      </w:r>
      <w:r>
        <w:rPr>
          <w:rStyle w:val="default"/>
          <w:rtl/>
        </w:rPr>
        <w:footnoteReference w:customMarkFollows="1" w:id="1"/>
        <w:t>*</w:t>
      </w:r>
    </w:p>
    <w:p w:rsidR="00CF1DCE" w:rsidRDefault="00CF1D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48 ו-49 לחוק הבזק, תשמ"ב-1982 (להלן - החוק), אני מצווה לאמור:</w:t>
      </w:r>
    </w:p>
    <w:p w:rsidR="00CF1DCE" w:rsidRDefault="00CF1D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:rsidR="00CF1DCE" w:rsidRDefault="00CF1DC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זה - </w:t>
      </w:r>
    </w:p>
    <w:p w:rsidR="00CF1DCE" w:rsidRDefault="00CF1D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החברה" - כמשמעותה בחוק;</w:t>
      </w:r>
    </w:p>
    <w:p w:rsidR="00CF1DCE" w:rsidRDefault="00CF1D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ההסכם להעברת נכסים" - הסכם להעברת נכסים כמש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עותו בפרק י' לחוק שנחתם בין המדינה לבין החברה ביום כ"ח בשבט תשמ"ד (31 בינואר 1984).</w:t>
      </w:r>
    </w:p>
    <w:p w:rsidR="00CF1DCE" w:rsidRDefault="00CF1D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:rsidR="00CF1DCE" w:rsidRDefault="00CF1DC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סכם להעברת</w:t>
                  </w:r>
                </w:p>
                <w:p w:rsidR="00CF1DCE" w:rsidRDefault="00CF1DC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כסים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ל אף האמור בכל דין או הסכם תבוא החברה במקום המדינה לגבי נכסים, הסכמים, התקשרויות ועסקאות האמורים בהסכם להעברת נכסים, הן לגבי הזכויות והסמכויות של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מדינה והן לגבי החובות וההתחייבויות שהיו מוטלות עליה ערב תחילתו של ההסכם להעברת נכסים.</w:t>
      </w:r>
    </w:p>
    <w:p w:rsidR="00CF1DCE" w:rsidRDefault="00CF1D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0pt;z-index:251658752" o:allowincell="f" filled="f" stroked="f" strokecolor="lime" strokeweight=".25pt">
            <v:textbox inset="0,0,0,0">
              <w:txbxContent>
                <w:p w:rsidR="00CF1DCE" w:rsidRDefault="00CF1DC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ביעות תלויות</w:t>
                  </w:r>
                </w:p>
                <w:p w:rsidR="00CF1DCE" w:rsidRDefault="00CF1DC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עומדות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חברה תבוא במקום המדינה לגבי התביעות התלויות והעומדות מטעם המדינה או נגדה, ערב תחילתו של ההסכם להעברת נכסים, בקשר לנכסים, להסכמים, להתקשרויות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ולעסקאות האמורים בהסכם האמור, וכן לגבי עילות לתביעות כאמור, שהיו קיימות אותו זמן, להוציא תביעות של עובדי המדינה בשל תקופות היותם עובדי המדינה.</w:t>
      </w:r>
    </w:p>
    <w:p w:rsidR="00CF1DCE" w:rsidRDefault="00CF1DC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F1DCE" w:rsidRDefault="00CF1DCE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"ח בשבט תשמ"ד (31 בינואר 1984)</w:t>
      </w:r>
      <w:r>
        <w:rPr>
          <w:rtl/>
        </w:rPr>
        <w:tab/>
      </w:r>
      <w:r>
        <w:rPr>
          <w:rFonts w:hint="cs"/>
          <w:rtl/>
        </w:rPr>
        <w:t>מרדכי צפורי</w:t>
      </w:r>
    </w:p>
    <w:p w:rsidR="00CF1DCE" w:rsidRDefault="00CF1DC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התקשורת</w:t>
      </w:r>
    </w:p>
    <w:p w:rsidR="00CF1DCE" w:rsidRDefault="00CF1D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F1DCE" w:rsidRDefault="00CF1DC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F1DCE" w:rsidRDefault="00CF1D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CF1DCE" w:rsidRDefault="00CF1DC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F1DC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4B82" w:rsidRDefault="00AE4B82">
      <w:r>
        <w:separator/>
      </w:r>
    </w:p>
  </w:endnote>
  <w:endnote w:type="continuationSeparator" w:id="0">
    <w:p w:rsidR="00AE4B82" w:rsidRDefault="00AE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1DCE" w:rsidRDefault="00CF1DC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F1DCE" w:rsidRDefault="00CF1DC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F1DCE" w:rsidRDefault="00CF1DC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1DCE" w:rsidRDefault="00CF1DC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41A4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F1DCE" w:rsidRDefault="00CF1DC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F1DCE" w:rsidRDefault="00CF1DC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4B82" w:rsidRDefault="00AE4B8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E4B82" w:rsidRDefault="00AE4B82">
      <w:r>
        <w:continuationSeparator/>
      </w:r>
    </w:p>
  </w:footnote>
  <w:footnote w:id="1">
    <w:p w:rsidR="00CF1DCE" w:rsidRDefault="00CF1D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תשמ"ד מס' 4589</w:t>
        </w:r>
      </w:hyperlink>
      <w:r>
        <w:rPr>
          <w:rFonts w:hint="cs"/>
          <w:sz w:val="20"/>
          <w:rtl/>
        </w:rPr>
        <w:t xml:space="preserve"> מיום 1.2.1984 עמ' 905.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1DCE" w:rsidRDefault="00CF1DC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הבזק (נכסים ותביעות המועברים לחברה), תשמ"ד- 1984</w:t>
    </w:r>
  </w:p>
  <w:p w:rsidR="00CF1DCE" w:rsidRDefault="00CF1D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F1DCE" w:rsidRDefault="00CF1D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1DCE" w:rsidRDefault="00CF1DC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הבזק (נכסים ותביעות המועברים לחברה), תשמ"ד-1984</w:t>
    </w:r>
  </w:p>
  <w:p w:rsidR="00CF1DCE" w:rsidRDefault="00CF1D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F1DCE" w:rsidRDefault="00CF1D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1DCE"/>
    <w:rsid w:val="00141A4B"/>
    <w:rsid w:val="002B2B87"/>
    <w:rsid w:val="00AD4DD9"/>
    <w:rsid w:val="00AE4B82"/>
    <w:rsid w:val="00CF1DCE"/>
    <w:rsid w:val="00F5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EFCDBAB-9315-42C8-8251-EE3B7320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5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1340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7667716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0032</vt:lpwstr>
  </property>
  <property fmtid="{D5CDD505-2E9C-101B-9397-08002B2CF9AE}" pid="3" name="CHNAME">
    <vt:lpwstr>בֶּזֶק</vt:lpwstr>
  </property>
  <property fmtid="{D5CDD505-2E9C-101B-9397-08002B2CF9AE}" pid="4" name="LAWNAME">
    <vt:lpwstr>צו הבזק (נכסים ותביעות המועברים לחברה), תשמ"ד-1984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MEKOR_NAME1">
    <vt:lpwstr>חוק הבזק</vt:lpwstr>
  </property>
  <property fmtid="{D5CDD505-2E9C-101B-9397-08002B2CF9AE}" pid="8" name="MEKOR_SAIF1">
    <vt:lpwstr>48X;49X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תקשורת</vt:lpwstr>
  </property>
  <property fmtid="{D5CDD505-2E9C-101B-9397-08002B2CF9AE}" pid="11" name="NOSE31">
    <vt:lpwstr>בזק ושידורים</vt:lpwstr>
  </property>
  <property fmtid="{D5CDD505-2E9C-101B-9397-08002B2CF9AE}" pid="12" name="NOSE41">
    <vt:lpwstr/>
  </property>
  <property fmtid="{D5CDD505-2E9C-101B-9397-08002B2CF9AE}" pid="13" name="NOSE12">
    <vt:lpwstr>משפט פרטי וכלכלה</vt:lpwstr>
  </property>
  <property fmtid="{D5CDD505-2E9C-101B-9397-08002B2CF9AE}" pid="14" name="NOSE22">
    <vt:lpwstr>תאגידים וניירות ערך</vt:lpwstr>
  </property>
  <property fmtid="{D5CDD505-2E9C-101B-9397-08002B2CF9AE}" pid="15" name="NOSE32">
    <vt:lpwstr>חברות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