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6F14" w:rsidRDefault="00BD6F14">
      <w:pPr>
        <w:pStyle w:val="big-header"/>
        <w:ind w:left="0" w:right="1134"/>
        <w:rPr>
          <w:rtl/>
        </w:rPr>
      </w:pPr>
      <w:r>
        <w:rPr>
          <w:rtl/>
        </w:rPr>
        <w:t>צו הבנקאות (פיקדונות ללא תנועה), תש"ס-2000</w:t>
      </w:r>
    </w:p>
    <w:p w:rsidR="000F289F" w:rsidRDefault="000F289F" w:rsidP="000F289F">
      <w:pPr>
        <w:spacing w:line="320" w:lineRule="auto"/>
        <w:jc w:val="left"/>
        <w:rPr>
          <w:rtl/>
        </w:rPr>
      </w:pPr>
    </w:p>
    <w:p w:rsidR="000F289F" w:rsidRPr="000F289F" w:rsidRDefault="000F289F" w:rsidP="000F289F">
      <w:pPr>
        <w:spacing w:line="320" w:lineRule="auto"/>
        <w:jc w:val="left"/>
        <w:rPr>
          <w:rFonts w:cs="Miriam" w:hint="cs"/>
          <w:szCs w:val="22"/>
          <w:rtl/>
        </w:rPr>
      </w:pPr>
      <w:r w:rsidRPr="000F289F">
        <w:rPr>
          <w:rFonts w:cs="Miriam"/>
          <w:szCs w:val="22"/>
          <w:rtl/>
        </w:rPr>
        <w:t>משפט פרטי וכלכלה</w:t>
      </w:r>
      <w:r w:rsidRPr="000F289F">
        <w:rPr>
          <w:rFonts w:cs="FrankRuehl"/>
          <w:szCs w:val="26"/>
          <w:rtl/>
        </w:rPr>
        <w:t xml:space="preserve"> – כספים – בנקאות – פקדונות</w:t>
      </w:r>
    </w:p>
    <w:p w:rsidR="00BD6F14" w:rsidRDefault="00BD6F14">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BD6F14">
        <w:tblPrEx>
          <w:tblCellMar>
            <w:top w:w="0" w:type="dxa"/>
            <w:bottom w:w="0" w:type="dxa"/>
          </w:tblCellMar>
        </w:tblPrEx>
        <w:tc>
          <w:tcPr>
            <w:tcW w:w="850" w:type="dxa"/>
          </w:tcPr>
          <w:p w:rsidR="00BD6F14" w:rsidRDefault="00BD6F14">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BD6F14" w:rsidRDefault="00BD6F14">
            <w:pPr>
              <w:spacing w:line="240" w:lineRule="auto"/>
              <w:rPr>
                <w:sz w:val="24"/>
              </w:rPr>
            </w:pPr>
            <w:hyperlink w:anchor="Seif0" w:tooltip="הגדרות" w:history="1">
              <w:r>
                <w:rPr>
                  <w:rStyle w:val="Hyperlink"/>
                </w:rPr>
                <w:t>Go</w:t>
              </w:r>
            </w:hyperlink>
          </w:p>
        </w:tc>
        <w:tc>
          <w:tcPr>
            <w:tcW w:w="5669" w:type="dxa"/>
          </w:tcPr>
          <w:p w:rsidR="00BD6F14" w:rsidRDefault="00BD6F14">
            <w:pPr>
              <w:spacing w:line="240" w:lineRule="auto"/>
              <w:rPr>
                <w:sz w:val="24"/>
                <w:rtl/>
              </w:rPr>
            </w:pPr>
            <w:r>
              <w:rPr>
                <w:sz w:val="24"/>
                <w:rtl/>
              </w:rPr>
              <w:t>הגדרות</w:t>
            </w:r>
          </w:p>
        </w:tc>
        <w:tc>
          <w:tcPr>
            <w:tcW w:w="1247" w:type="dxa"/>
          </w:tcPr>
          <w:p w:rsidR="00BD6F14" w:rsidRDefault="00BD6F14">
            <w:pPr>
              <w:spacing w:line="240" w:lineRule="auto"/>
              <w:rPr>
                <w:sz w:val="24"/>
              </w:rPr>
            </w:pPr>
            <w:r>
              <w:rPr>
                <w:sz w:val="24"/>
                <w:rtl/>
              </w:rPr>
              <w:t xml:space="preserve">סעיף 1 </w:t>
            </w:r>
          </w:p>
        </w:tc>
      </w:tr>
      <w:tr w:rsidR="00BD6F14">
        <w:tblPrEx>
          <w:tblCellMar>
            <w:top w:w="0" w:type="dxa"/>
            <w:bottom w:w="0" w:type="dxa"/>
          </w:tblCellMar>
        </w:tblPrEx>
        <w:tc>
          <w:tcPr>
            <w:tcW w:w="850" w:type="dxa"/>
          </w:tcPr>
          <w:p w:rsidR="00BD6F14" w:rsidRDefault="00BD6F14">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BD6F14" w:rsidRDefault="00BD6F14">
            <w:pPr>
              <w:spacing w:line="240" w:lineRule="auto"/>
              <w:rPr>
                <w:sz w:val="24"/>
              </w:rPr>
            </w:pPr>
            <w:hyperlink w:anchor="Seif1" w:tooltip="השקעה לפי הוראת הלקוח" w:history="1">
              <w:r>
                <w:rPr>
                  <w:rStyle w:val="Hyperlink"/>
                </w:rPr>
                <w:t>Go</w:t>
              </w:r>
            </w:hyperlink>
          </w:p>
        </w:tc>
        <w:tc>
          <w:tcPr>
            <w:tcW w:w="5669" w:type="dxa"/>
          </w:tcPr>
          <w:p w:rsidR="00BD6F14" w:rsidRDefault="00BD6F14">
            <w:pPr>
              <w:spacing w:line="240" w:lineRule="auto"/>
              <w:rPr>
                <w:sz w:val="24"/>
                <w:rtl/>
              </w:rPr>
            </w:pPr>
            <w:r>
              <w:rPr>
                <w:sz w:val="24"/>
                <w:rtl/>
              </w:rPr>
              <w:t>השקעה לפי הוראת הלקוח</w:t>
            </w:r>
          </w:p>
        </w:tc>
        <w:tc>
          <w:tcPr>
            <w:tcW w:w="1247" w:type="dxa"/>
          </w:tcPr>
          <w:p w:rsidR="00BD6F14" w:rsidRDefault="00BD6F14">
            <w:pPr>
              <w:spacing w:line="240" w:lineRule="auto"/>
              <w:rPr>
                <w:sz w:val="24"/>
              </w:rPr>
            </w:pPr>
            <w:r>
              <w:rPr>
                <w:sz w:val="24"/>
                <w:rtl/>
              </w:rPr>
              <w:t xml:space="preserve">סעיף 2 </w:t>
            </w:r>
          </w:p>
        </w:tc>
      </w:tr>
      <w:tr w:rsidR="00BD6F14">
        <w:tblPrEx>
          <w:tblCellMar>
            <w:top w:w="0" w:type="dxa"/>
            <w:bottom w:w="0" w:type="dxa"/>
          </w:tblCellMar>
        </w:tblPrEx>
        <w:tc>
          <w:tcPr>
            <w:tcW w:w="850" w:type="dxa"/>
          </w:tcPr>
          <w:p w:rsidR="00BD6F14" w:rsidRDefault="00BD6F14">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BD6F14" w:rsidRDefault="00BD6F14">
            <w:pPr>
              <w:spacing w:line="240" w:lineRule="auto"/>
              <w:rPr>
                <w:sz w:val="24"/>
              </w:rPr>
            </w:pPr>
            <w:hyperlink w:anchor="Seif2" w:tooltip="השקעות אחרות" w:history="1">
              <w:r>
                <w:rPr>
                  <w:rStyle w:val="Hyperlink"/>
                </w:rPr>
                <w:t>Go</w:t>
              </w:r>
            </w:hyperlink>
          </w:p>
        </w:tc>
        <w:tc>
          <w:tcPr>
            <w:tcW w:w="5669" w:type="dxa"/>
          </w:tcPr>
          <w:p w:rsidR="00BD6F14" w:rsidRDefault="00BD6F14">
            <w:pPr>
              <w:spacing w:line="240" w:lineRule="auto"/>
              <w:rPr>
                <w:sz w:val="24"/>
                <w:rtl/>
              </w:rPr>
            </w:pPr>
            <w:r>
              <w:rPr>
                <w:sz w:val="24"/>
                <w:rtl/>
              </w:rPr>
              <w:t>השקעות אחרות</w:t>
            </w:r>
          </w:p>
        </w:tc>
        <w:tc>
          <w:tcPr>
            <w:tcW w:w="1247" w:type="dxa"/>
          </w:tcPr>
          <w:p w:rsidR="00BD6F14" w:rsidRDefault="00BD6F14">
            <w:pPr>
              <w:spacing w:line="240" w:lineRule="auto"/>
              <w:rPr>
                <w:sz w:val="24"/>
              </w:rPr>
            </w:pPr>
            <w:r>
              <w:rPr>
                <w:sz w:val="24"/>
                <w:rtl/>
              </w:rPr>
              <w:t xml:space="preserve">סעיף 3 </w:t>
            </w:r>
          </w:p>
        </w:tc>
      </w:tr>
      <w:tr w:rsidR="00BD6F14">
        <w:tblPrEx>
          <w:tblCellMar>
            <w:top w:w="0" w:type="dxa"/>
            <w:bottom w:w="0" w:type="dxa"/>
          </w:tblCellMar>
        </w:tblPrEx>
        <w:tc>
          <w:tcPr>
            <w:tcW w:w="850" w:type="dxa"/>
          </w:tcPr>
          <w:p w:rsidR="00BD6F14" w:rsidRDefault="00BD6F14">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BD6F14" w:rsidRDefault="00BD6F14">
            <w:pPr>
              <w:spacing w:line="240" w:lineRule="auto"/>
              <w:rPr>
                <w:sz w:val="24"/>
              </w:rPr>
            </w:pPr>
            <w:hyperlink w:anchor="Seif3" w:tooltip="השקעה מחדש" w:history="1">
              <w:r>
                <w:rPr>
                  <w:rStyle w:val="Hyperlink"/>
                </w:rPr>
                <w:t>Go</w:t>
              </w:r>
            </w:hyperlink>
          </w:p>
        </w:tc>
        <w:tc>
          <w:tcPr>
            <w:tcW w:w="5669" w:type="dxa"/>
          </w:tcPr>
          <w:p w:rsidR="00BD6F14" w:rsidRDefault="00BD6F14">
            <w:pPr>
              <w:spacing w:line="240" w:lineRule="auto"/>
              <w:rPr>
                <w:sz w:val="24"/>
                <w:rtl/>
              </w:rPr>
            </w:pPr>
            <w:r>
              <w:rPr>
                <w:sz w:val="24"/>
                <w:rtl/>
              </w:rPr>
              <w:t>השקעה מחדש</w:t>
            </w:r>
          </w:p>
        </w:tc>
        <w:tc>
          <w:tcPr>
            <w:tcW w:w="1247" w:type="dxa"/>
          </w:tcPr>
          <w:p w:rsidR="00BD6F14" w:rsidRDefault="00BD6F14">
            <w:pPr>
              <w:spacing w:line="240" w:lineRule="auto"/>
              <w:rPr>
                <w:sz w:val="24"/>
              </w:rPr>
            </w:pPr>
            <w:r>
              <w:rPr>
                <w:sz w:val="24"/>
                <w:rtl/>
              </w:rPr>
              <w:t xml:space="preserve">סעיף 4 </w:t>
            </w:r>
          </w:p>
        </w:tc>
      </w:tr>
      <w:tr w:rsidR="00BD6F14">
        <w:tblPrEx>
          <w:tblCellMar>
            <w:top w:w="0" w:type="dxa"/>
            <w:bottom w:w="0" w:type="dxa"/>
          </w:tblCellMar>
        </w:tblPrEx>
        <w:tc>
          <w:tcPr>
            <w:tcW w:w="850" w:type="dxa"/>
          </w:tcPr>
          <w:p w:rsidR="00BD6F14" w:rsidRDefault="00BD6F14">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BD6F14" w:rsidRDefault="00BD6F14">
            <w:pPr>
              <w:spacing w:line="240" w:lineRule="auto"/>
              <w:rPr>
                <w:sz w:val="24"/>
              </w:rPr>
            </w:pPr>
            <w:hyperlink w:anchor="Seif4" w:tooltip="השקעה חלופית" w:history="1">
              <w:r>
                <w:rPr>
                  <w:rStyle w:val="Hyperlink"/>
                </w:rPr>
                <w:t>Go</w:t>
              </w:r>
            </w:hyperlink>
          </w:p>
        </w:tc>
        <w:tc>
          <w:tcPr>
            <w:tcW w:w="5669" w:type="dxa"/>
          </w:tcPr>
          <w:p w:rsidR="00BD6F14" w:rsidRDefault="00BD6F14">
            <w:pPr>
              <w:spacing w:line="240" w:lineRule="auto"/>
              <w:rPr>
                <w:sz w:val="24"/>
                <w:rtl/>
              </w:rPr>
            </w:pPr>
            <w:r>
              <w:rPr>
                <w:sz w:val="24"/>
                <w:rtl/>
              </w:rPr>
              <w:t>השקעה חלופית</w:t>
            </w:r>
          </w:p>
        </w:tc>
        <w:tc>
          <w:tcPr>
            <w:tcW w:w="1247" w:type="dxa"/>
          </w:tcPr>
          <w:p w:rsidR="00BD6F14" w:rsidRDefault="00BD6F14">
            <w:pPr>
              <w:spacing w:line="240" w:lineRule="auto"/>
              <w:rPr>
                <w:sz w:val="24"/>
              </w:rPr>
            </w:pPr>
            <w:r>
              <w:rPr>
                <w:sz w:val="24"/>
                <w:rtl/>
              </w:rPr>
              <w:t xml:space="preserve">סעיף 5 </w:t>
            </w:r>
          </w:p>
        </w:tc>
      </w:tr>
      <w:tr w:rsidR="00BD6F14">
        <w:tblPrEx>
          <w:tblCellMar>
            <w:top w:w="0" w:type="dxa"/>
            <w:bottom w:w="0" w:type="dxa"/>
          </w:tblCellMar>
        </w:tblPrEx>
        <w:tc>
          <w:tcPr>
            <w:tcW w:w="850" w:type="dxa"/>
          </w:tcPr>
          <w:p w:rsidR="00BD6F14" w:rsidRDefault="00BD6F14">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BD6F14" w:rsidRDefault="00BD6F14">
            <w:pPr>
              <w:spacing w:line="240" w:lineRule="auto"/>
              <w:rPr>
                <w:sz w:val="24"/>
              </w:rPr>
            </w:pPr>
            <w:hyperlink w:anchor="Seif5" w:tooltip="ביצוע תשלומים ועמלות" w:history="1">
              <w:r>
                <w:rPr>
                  <w:rStyle w:val="Hyperlink"/>
                </w:rPr>
                <w:t>Go</w:t>
              </w:r>
            </w:hyperlink>
          </w:p>
        </w:tc>
        <w:tc>
          <w:tcPr>
            <w:tcW w:w="5669" w:type="dxa"/>
          </w:tcPr>
          <w:p w:rsidR="00BD6F14" w:rsidRDefault="00BD6F14">
            <w:pPr>
              <w:spacing w:line="240" w:lineRule="auto"/>
              <w:rPr>
                <w:sz w:val="24"/>
                <w:rtl/>
              </w:rPr>
            </w:pPr>
            <w:r>
              <w:rPr>
                <w:sz w:val="24"/>
                <w:rtl/>
              </w:rPr>
              <w:t>ביצוע תשלומים ועמלות</w:t>
            </w:r>
          </w:p>
        </w:tc>
        <w:tc>
          <w:tcPr>
            <w:tcW w:w="1247" w:type="dxa"/>
          </w:tcPr>
          <w:p w:rsidR="00BD6F14" w:rsidRDefault="00BD6F14">
            <w:pPr>
              <w:spacing w:line="240" w:lineRule="auto"/>
              <w:rPr>
                <w:sz w:val="24"/>
              </w:rPr>
            </w:pPr>
            <w:r>
              <w:rPr>
                <w:sz w:val="24"/>
                <w:rtl/>
              </w:rPr>
              <w:t xml:space="preserve">סעיף 6 </w:t>
            </w:r>
          </w:p>
        </w:tc>
      </w:tr>
      <w:tr w:rsidR="00BD6F14">
        <w:tblPrEx>
          <w:tblCellMar>
            <w:top w:w="0" w:type="dxa"/>
            <w:bottom w:w="0" w:type="dxa"/>
          </w:tblCellMar>
        </w:tblPrEx>
        <w:tc>
          <w:tcPr>
            <w:tcW w:w="850" w:type="dxa"/>
          </w:tcPr>
          <w:p w:rsidR="00BD6F14" w:rsidRDefault="00BD6F14">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BD6F14" w:rsidRDefault="00BD6F14">
            <w:pPr>
              <w:spacing w:line="240" w:lineRule="auto"/>
              <w:rPr>
                <w:sz w:val="24"/>
              </w:rPr>
            </w:pPr>
            <w:hyperlink w:anchor="Seif6" w:tooltip="סכום מזערי לחובת ההשקעה" w:history="1">
              <w:r>
                <w:rPr>
                  <w:rStyle w:val="Hyperlink"/>
                </w:rPr>
                <w:t>Go</w:t>
              </w:r>
            </w:hyperlink>
          </w:p>
        </w:tc>
        <w:tc>
          <w:tcPr>
            <w:tcW w:w="5669" w:type="dxa"/>
          </w:tcPr>
          <w:p w:rsidR="00BD6F14" w:rsidRDefault="00BD6F14">
            <w:pPr>
              <w:spacing w:line="240" w:lineRule="auto"/>
              <w:rPr>
                <w:sz w:val="24"/>
                <w:rtl/>
              </w:rPr>
            </w:pPr>
            <w:r>
              <w:rPr>
                <w:sz w:val="24"/>
                <w:rtl/>
              </w:rPr>
              <w:t>סכום מזערי לחובת ההשקעה</w:t>
            </w:r>
          </w:p>
        </w:tc>
        <w:tc>
          <w:tcPr>
            <w:tcW w:w="1247" w:type="dxa"/>
          </w:tcPr>
          <w:p w:rsidR="00BD6F14" w:rsidRDefault="00BD6F14">
            <w:pPr>
              <w:spacing w:line="240" w:lineRule="auto"/>
              <w:rPr>
                <w:sz w:val="24"/>
              </w:rPr>
            </w:pPr>
            <w:r>
              <w:rPr>
                <w:sz w:val="24"/>
                <w:rtl/>
              </w:rPr>
              <w:t xml:space="preserve">סעיף 7 </w:t>
            </w:r>
          </w:p>
        </w:tc>
      </w:tr>
      <w:tr w:rsidR="00BD6F14">
        <w:tblPrEx>
          <w:tblCellMar>
            <w:top w:w="0" w:type="dxa"/>
            <w:bottom w:w="0" w:type="dxa"/>
          </w:tblCellMar>
        </w:tblPrEx>
        <w:tc>
          <w:tcPr>
            <w:tcW w:w="850" w:type="dxa"/>
          </w:tcPr>
          <w:p w:rsidR="00BD6F14" w:rsidRDefault="00BD6F14">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BD6F14" w:rsidRDefault="00BD6F14">
            <w:pPr>
              <w:spacing w:line="240" w:lineRule="auto"/>
              <w:rPr>
                <w:sz w:val="24"/>
              </w:rPr>
            </w:pPr>
            <w:hyperlink w:anchor="Seif7" w:tooltip="הצמדת סכומים" w:history="1">
              <w:r>
                <w:rPr>
                  <w:rStyle w:val="Hyperlink"/>
                </w:rPr>
                <w:t>Go</w:t>
              </w:r>
            </w:hyperlink>
          </w:p>
        </w:tc>
        <w:tc>
          <w:tcPr>
            <w:tcW w:w="5669" w:type="dxa"/>
          </w:tcPr>
          <w:p w:rsidR="00BD6F14" w:rsidRDefault="00BD6F14">
            <w:pPr>
              <w:spacing w:line="240" w:lineRule="auto"/>
              <w:rPr>
                <w:sz w:val="24"/>
                <w:rtl/>
              </w:rPr>
            </w:pPr>
            <w:r>
              <w:rPr>
                <w:sz w:val="24"/>
                <w:rtl/>
              </w:rPr>
              <w:t>הצמדת סכומים</w:t>
            </w:r>
          </w:p>
        </w:tc>
        <w:tc>
          <w:tcPr>
            <w:tcW w:w="1247" w:type="dxa"/>
          </w:tcPr>
          <w:p w:rsidR="00BD6F14" w:rsidRDefault="00BD6F14">
            <w:pPr>
              <w:spacing w:line="240" w:lineRule="auto"/>
              <w:rPr>
                <w:sz w:val="24"/>
              </w:rPr>
            </w:pPr>
            <w:r>
              <w:rPr>
                <w:sz w:val="24"/>
                <w:rtl/>
              </w:rPr>
              <w:t xml:space="preserve">סעיף 8 </w:t>
            </w:r>
          </w:p>
        </w:tc>
      </w:tr>
      <w:tr w:rsidR="00BD6F14">
        <w:tblPrEx>
          <w:tblCellMar>
            <w:top w:w="0" w:type="dxa"/>
            <w:bottom w:w="0" w:type="dxa"/>
          </w:tblCellMar>
        </w:tblPrEx>
        <w:tc>
          <w:tcPr>
            <w:tcW w:w="850" w:type="dxa"/>
          </w:tcPr>
          <w:p w:rsidR="00BD6F14" w:rsidRDefault="00BD6F14">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BD6F14" w:rsidRDefault="00BD6F14">
            <w:pPr>
              <w:spacing w:line="240" w:lineRule="auto"/>
              <w:rPr>
                <w:sz w:val="24"/>
              </w:rPr>
            </w:pPr>
            <w:hyperlink w:anchor="Seif8" w:tooltip="חישוב מטבעות שונים" w:history="1">
              <w:r>
                <w:rPr>
                  <w:rStyle w:val="Hyperlink"/>
                </w:rPr>
                <w:t>Go</w:t>
              </w:r>
            </w:hyperlink>
          </w:p>
        </w:tc>
        <w:tc>
          <w:tcPr>
            <w:tcW w:w="5669" w:type="dxa"/>
          </w:tcPr>
          <w:p w:rsidR="00BD6F14" w:rsidRDefault="00BD6F14">
            <w:pPr>
              <w:spacing w:line="240" w:lineRule="auto"/>
              <w:rPr>
                <w:sz w:val="24"/>
                <w:rtl/>
              </w:rPr>
            </w:pPr>
            <w:r>
              <w:rPr>
                <w:sz w:val="24"/>
                <w:rtl/>
              </w:rPr>
              <w:t>חישוב מטבעות שונים</w:t>
            </w:r>
          </w:p>
        </w:tc>
        <w:tc>
          <w:tcPr>
            <w:tcW w:w="1247" w:type="dxa"/>
          </w:tcPr>
          <w:p w:rsidR="00BD6F14" w:rsidRDefault="00BD6F14">
            <w:pPr>
              <w:spacing w:line="240" w:lineRule="auto"/>
              <w:rPr>
                <w:sz w:val="24"/>
              </w:rPr>
            </w:pPr>
            <w:r>
              <w:rPr>
                <w:sz w:val="24"/>
                <w:rtl/>
              </w:rPr>
              <w:t xml:space="preserve">סעיף 9 </w:t>
            </w:r>
          </w:p>
        </w:tc>
      </w:tr>
      <w:tr w:rsidR="00BD6F14">
        <w:tblPrEx>
          <w:tblCellMar>
            <w:top w:w="0" w:type="dxa"/>
            <w:bottom w:w="0" w:type="dxa"/>
          </w:tblCellMar>
        </w:tblPrEx>
        <w:tc>
          <w:tcPr>
            <w:tcW w:w="850" w:type="dxa"/>
          </w:tcPr>
          <w:p w:rsidR="00BD6F14" w:rsidRDefault="00BD6F14">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BD6F14" w:rsidRDefault="00BD6F14">
            <w:pPr>
              <w:spacing w:line="240" w:lineRule="auto"/>
              <w:rPr>
                <w:sz w:val="24"/>
              </w:rPr>
            </w:pPr>
            <w:hyperlink w:anchor="Seif9" w:tooltip="ביטול" w:history="1">
              <w:r>
                <w:rPr>
                  <w:rStyle w:val="Hyperlink"/>
                </w:rPr>
                <w:t>Go</w:t>
              </w:r>
            </w:hyperlink>
          </w:p>
        </w:tc>
        <w:tc>
          <w:tcPr>
            <w:tcW w:w="5669" w:type="dxa"/>
          </w:tcPr>
          <w:p w:rsidR="00BD6F14" w:rsidRDefault="00BD6F14">
            <w:pPr>
              <w:spacing w:line="240" w:lineRule="auto"/>
              <w:rPr>
                <w:sz w:val="24"/>
                <w:rtl/>
              </w:rPr>
            </w:pPr>
            <w:r>
              <w:rPr>
                <w:sz w:val="24"/>
                <w:rtl/>
              </w:rPr>
              <w:t>ביטול</w:t>
            </w:r>
          </w:p>
        </w:tc>
        <w:tc>
          <w:tcPr>
            <w:tcW w:w="1247" w:type="dxa"/>
          </w:tcPr>
          <w:p w:rsidR="00BD6F14" w:rsidRDefault="00BD6F14">
            <w:pPr>
              <w:spacing w:line="240" w:lineRule="auto"/>
              <w:rPr>
                <w:sz w:val="24"/>
              </w:rPr>
            </w:pPr>
            <w:r>
              <w:rPr>
                <w:sz w:val="24"/>
                <w:rtl/>
              </w:rPr>
              <w:t xml:space="preserve">סעיף 10 </w:t>
            </w:r>
          </w:p>
        </w:tc>
      </w:tr>
      <w:tr w:rsidR="00BD6F14">
        <w:tblPrEx>
          <w:tblCellMar>
            <w:top w:w="0" w:type="dxa"/>
            <w:bottom w:w="0" w:type="dxa"/>
          </w:tblCellMar>
        </w:tblPrEx>
        <w:tc>
          <w:tcPr>
            <w:tcW w:w="850" w:type="dxa"/>
          </w:tcPr>
          <w:p w:rsidR="00BD6F14" w:rsidRDefault="00BD6F14">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BD6F14" w:rsidRDefault="00BD6F14">
            <w:pPr>
              <w:spacing w:line="240" w:lineRule="auto"/>
              <w:rPr>
                <w:sz w:val="24"/>
              </w:rPr>
            </w:pPr>
            <w:hyperlink w:anchor="Seif10" w:tooltip="תחילה" w:history="1">
              <w:r>
                <w:rPr>
                  <w:rStyle w:val="Hyperlink"/>
                </w:rPr>
                <w:t>Go</w:t>
              </w:r>
            </w:hyperlink>
          </w:p>
        </w:tc>
        <w:tc>
          <w:tcPr>
            <w:tcW w:w="5669" w:type="dxa"/>
          </w:tcPr>
          <w:p w:rsidR="00BD6F14" w:rsidRDefault="00BD6F14">
            <w:pPr>
              <w:spacing w:line="240" w:lineRule="auto"/>
              <w:rPr>
                <w:sz w:val="24"/>
                <w:rtl/>
              </w:rPr>
            </w:pPr>
            <w:r>
              <w:rPr>
                <w:sz w:val="24"/>
                <w:rtl/>
              </w:rPr>
              <w:t>תחילה</w:t>
            </w:r>
          </w:p>
        </w:tc>
        <w:tc>
          <w:tcPr>
            <w:tcW w:w="1247" w:type="dxa"/>
          </w:tcPr>
          <w:p w:rsidR="00BD6F14" w:rsidRDefault="00BD6F14">
            <w:pPr>
              <w:spacing w:line="240" w:lineRule="auto"/>
              <w:rPr>
                <w:sz w:val="24"/>
              </w:rPr>
            </w:pPr>
            <w:r>
              <w:rPr>
                <w:sz w:val="24"/>
                <w:rtl/>
              </w:rPr>
              <w:t xml:space="preserve">סעיף 11 </w:t>
            </w:r>
          </w:p>
        </w:tc>
      </w:tr>
      <w:tr w:rsidR="00BD6F14">
        <w:tblPrEx>
          <w:tblCellMar>
            <w:top w:w="0" w:type="dxa"/>
            <w:bottom w:w="0" w:type="dxa"/>
          </w:tblCellMar>
        </w:tblPrEx>
        <w:tc>
          <w:tcPr>
            <w:tcW w:w="850" w:type="dxa"/>
          </w:tcPr>
          <w:p w:rsidR="00BD6F14" w:rsidRDefault="00BD6F14">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BD6F14" w:rsidRDefault="00BD6F14">
            <w:pPr>
              <w:spacing w:line="240" w:lineRule="auto"/>
              <w:rPr>
                <w:sz w:val="24"/>
              </w:rPr>
            </w:pPr>
            <w:hyperlink w:anchor="Seif11" w:tooltip="הוראות מעבר" w:history="1">
              <w:r>
                <w:rPr>
                  <w:rStyle w:val="Hyperlink"/>
                </w:rPr>
                <w:t>Go</w:t>
              </w:r>
            </w:hyperlink>
          </w:p>
        </w:tc>
        <w:tc>
          <w:tcPr>
            <w:tcW w:w="5669" w:type="dxa"/>
          </w:tcPr>
          <w:p w:rsidR="00BD6F14" w:rsidRDefault="00BD6F14">
            <w:pPr>
              <w:spacing w:line="240" w:lineRule="auto"/>
              <w:rPr>
                <w:sz w:val="24"/>
                <w:rtl/>
              </w:rPr>
            </w:pPr>
            <w:r>
              <w:rPr>
                <w:sz w:val="24"/>
                <w:rtl/>
              </w:rPr>
              <w:t>הוראות מעבר</w:t>
            </w:r>
          </w:p>
        </w:tc>
        <w:tc>
          <w:tcPr>
            <w:tcW w:w="1247" w:type="dxa"/>
          </w:tcPr>
          <w:p w:rsidR="00BD6F14" w:rsidRDefault="00BD6F14">
            <w:pPr>
              <w:spacing w:line="240" w:lineRule="auto"/>
              <w:rPr>
                <w:sz w:val="24"/>
              </w:rPr>
            </w:pPr>
            <w:r>
              <w:rPr>
                <w:sz w:val="24"/>
                <w:rtl/>
              </w:rPr>
              <w:t xml:space="preserve">סעיף 12 </w:t>
            </w:r>
          </w:p>
        </w:tc>
      </w:tr>
    </w:tbl>
    <w:p w:rsidR="00BD6F14" w:rsidRDefault="00BD6F14">
      <w:pPr>
        <w:pStyle w:val="big-header"/>
        <w:ind w:left="0" w:right="1134"/>
        <w:rPr>
          <w:rtl/>
        </w:rPr>
      </w:pPr>
    </w:p>
    <w:p w:rsidR="00BD6F14" w:rsidRDefault="00BD6F14" w:rsidP="00BD6F14">
      <w:pPr>
        <w:pStyle w:val="big-header"/>
        <w:ind w:left="0" w:right="1134"/>
        <w:rPr>
          <w:rStyle w:val="default"/>
          <w:rFonts w:cs="FrankRuehl" w:hint="cs"/>
          <w:rtl/>
        </w:rPr>
      </w:pPr>
      <w:r>
        <w:rPr>
          <w:rtl/>
        </w:rPr>
        <w:br w:type="page"/>
      </w:r>
      <w:r>
        <w:rPr>
          <w:rtl/>
        </w:rPr>
        <w:lastRenderedPageBreak/>
        <w:t>צ</w:t>
      </w:r>
      <w:r>
        <w:rPr>
          <w:rFonts w:hint="cs"/>
          <w:rtl/>
        </w:rPr>
        <w:t>ו הבנקאות (פיקדונות ללא תנועה), תש"ס-2000</w:t>
      </w:r>
      <w:r>
        <w:rPr>
          <w:rStyle w:val="default"/>
          <w:rtl/>
        </w:rPr>
        <w:footnoteReference w:customMarkFollows="1" w:id="1"/>
        <w:t>*</w:t>
      </w:r>
    </w:p>
    <w:p w:rsidR="00BD6F14" w:rsidRDefault="00BD6F14">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13ב לפקודת הבנקאות, 1941, באישור שר האוצר ובאישור ועדת הכספים של הכנסת, אני קובע לאמור:</w:t>
      </w:r>
    </w:p>
    <w:p w:rsidR="00BD6F14" w:rsidRDefault="00BD6F14">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10pt;z-index:251652096" o:allowincell="f" filled="f" stroked="f" strokecolor="lime" strokeweight=".25pt">
            <v:textbox style="mso-next-textbox:#_x0000_s1026" inset="0,0,0,0">
              <w:txbxContent>
                <w:p w:rsidR="00BD6F14" w:rsidRDefault="00BD6F14">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צו זה - </w:t>
      </w:r>
    </w:p>
    <w:p w:rsidR="00BD6F14" w:rsidRDefault="00BD6F14">
      <w:pPr>
        <w:pStyle w:val="P00"/>
        <w:spacing w:before="72"/>
        <w:ind w:left="0" w:right="1134"/>
        <w:rPr>
          <w:rStyle w:val="default"/>
          <w:rFonts w:cs="FrankRuehl"/>
          <w:rtl/>
        </w:rPr>
      </w:pPr>
      <w:r>
        <w:rPr>
          <w:rtl/>
        </w:rPr>
        <w:tab/>
      </w:r>
      <w:r>
        <w:rPr>
          <w:rStyle w:val="default"/>
          <w:rFonts w:cs="FrankRuehl"/>
          <w:rtl/>
        </w:rPr>
        <w:t>"ד</w:t>
      </w:r>
      <w:r>
        <w:rPr>
          <w:rStyle w:val="default"/>
          <w:rFonts w:cs="FrankRuehl" w:hint="cs"/>
          <w:rtl/>
        </w:rPr>
        <w:t>ולר" - דולר של ארה"ב של אמריקה;</w:t>
      </w:r>
    </w:p>
    <w:p w:rsidR="00BD6F14" w:rsidRDefault="00BD6F1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מדד" - מדד המחירים לצרכן שמפרסמת הלשכה המרכזית לסטטיסטיקה;</w:t>
      </w:r>
    </w:p>
    <w:p w:rsidR="00BD6F14" w:rsidRDefault="00BD6F1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מילוות צמודי מדד" - מילוות המדינה הנסחרים בבורסה לניירות ערך בתל אביב, הצמודים למדד בשיעור של 100 אחוזים;</w:t>
      </w:r>
    </w:p>
    <w:p w:rsidR="00BD6F14" w:rsidRDefault="00BD6F1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קרן נאמנות" - קרן להשקעות משותפות בנאמנות כמשמעותה ב</w:t>
      </w:r>
      <w:r>
        <w:rPr>
          <w:rStyle w:val="default"/>
          <w:rFonts w:cs="FrankRuehl"/>
          <w:rtl/>
        </w:rPr>
        <w:t>ח</w:t>
      </w:r>
      <w:r>
        <w:rPr>
          <w:rStyle w:val="default"/>
          <w:rFonts w:cs="FrankRuehl" w:hint="cs"/>
          <w:rtl/>
        </w:rPr>
        <w:t xml:space="preserve">וק להשקעות משותפות בנאמנות, תשנ"ד-1994; </w:t>
      </w:r>
    </w:p>
    <w:p w:rsidR="00BD6F14" w:rsidRDefault="00BD6F1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תכנית חיסכון" - תכנית חיסכון שאושרה לפי חוק עידוד החיסכון, הנחות ממס הכנסה וערבות למילוות, תשט"ז-1956. </w:t>
      </w:r>
    </w:p>
    <w:p w:rsidR="00BD6F14" w:rsidRDefault="00BD6F14">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20pt;z-index:251653120" o:allowincell="f" filled="f" stroked="f" strokecolor="lime" strokeweight=".25pt">
            <v:textbox style="mso-next-textbox:#_x0000_s1027" inset="0,0,0,0">
              <w:txbxContent>
                <w:p w:rsidR="00BD6F14" w:rsidRDefault="00BD6F14">
                  <w:pPr>
                    <w:spacing w:line="160" w:lineRule="exact"/>
                    <w:jc w:val="left"/>
                    <w:rPr>
                      <w:rFonts w:cs="Miriam"/>
                      <w:noProof/>
                      <w:szCs w:val="18"/>
                      <w:rtl/>
                    </w:rPr>
                  </w:pPr>
                  <w:r>
                    <w:rPr>
                      <w:rFonts w:cs="Miriam"/>
                      <w:szCs w:val="18"/>
                      <w:rtl/>
                    </w:rPr>
                    <w:t>ה</w:t>
                  </w:r>
                  <w:r>
                    <w:rPr>
                      <w:rFonts w:cs="Miriam" w:hint="cs"/>
                      <w:szCs w:val="18"/>
                      <w:rtl/>
                    </w:rPr>
                    <w:t>שקעה לפי הוראת הלקוח</w:t>
                  </w:r>
                </w:p>
              </w:txbxContent>
            </v:textbox>
            <w10:anchorlock/>
          </v:rect>
        </w:pict>
      </w:r>
      <w:r>
        <w:rPr>
          <w:rStyle w:val="big-number"/>
          <w:rtl/>
        </w:rPr>
        <w:t>2.</w:t>
      </w:r>
      <w:r>
        <w:rPr>
          <w:rStyle w:val="big-number"/>
          <w:rtl/>
        </w:rPr>
        <w:tab/>
      </w:r>
      <w:r>
        <w:rPr>
          <w:rStyle w:val="default"/>
          <w:rFonts w:cs="FrankRuehl"/>
          <w:rtl/>
        </w:rPr>
        <w:t>ת</w:t>
      </w:r>
      <w:r>
        <w:rPr>
          <w:rStyle w:val="default"/>
          <w:rFonts w:cs="FrankRuehl" w:hint="cs"/>
          <w:rtl/>
        </w:rPr>
        <w:t>אגיד בנקאי ישקיע כספי פיקדון ללא תנועה (להלן - פיקדון), לפי ההוראה האחרונה שק</w:t>
      </w:r>
      <w:r>
        <w:rPr>
          <w:rStyle w:val="default"/>
          <w:rFonts w:cs="FrankRuehl"/>
          <w:rtl/>
        </w:rPr>
        <w:t>י</w:t>
      </w:r>
      <w:r>
        <w:rPr>
          <w:rStyle w:val="default"/>
          <w:rFonts w:cs="FrankRuehl" w:hint="cs"/>
          <w:rtl/>
        </w:rPr>
        <w:t>בל מבעל הפיקדון (להלן - ההוראה), אם נתקיימו תנאים אלה:</w:t>
      </w:r>
    </w:p>
    <w:p w:rsidR="00BD6F14" w:rsidRDefault="00BD6F14">
      <w:pPr>
        <w:pStyle w:val="P00"/>
        <w:spacing w:before="72"/>
        <w:ind w:left="0"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ההוראה ניתנה במשך ארבע השנים שקדמו למועד ההשקעה;</w:t>
      </w:r>
    </w:p>
    <w:p w:rsidR="00BD6F14" w:rsidRDefault="00BD6F14">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ההוראה היתה להשקיע את הכספים באחת הדרכים האלה:</w:t>
      </w:r>
    </w:p>
    <w:p w:rsidR="00BD6F14" w:rsidRDefault="00BD6F14">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בניירות ערך הנסחרים בבורסה מוסדרת לניירות ערך;</w:t>
      </w:r>
    </w:p>
    <w:p w:rsidR="00BD6F14" w:rsidRDefault="00BD6F14">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בקרן נאמנות;</w:t>
      </w:r>
    </w:p>
    <w:p w:rsidR="00BD6F14" w:rsidRDefault="00BD6F14">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בתכנית חיסכון;</w:t>
      </w:r>
    </w:p>
    <w:p w:rsidR="00BD6F14" w:rsidRDefault="00BD6F14">
      <w:pPr>
        <w:pStyle w:val="P22"/>
        <w:spacing w:before="72"/>
        <w:ind w:left="1021"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בפי</w:t>
      </w:r>
      <w:r>
        <w:rPr>
          <w:rStyle w:val="default"/>
          <w:rFonts w:cs="FrankRuehl"/>
          <w:rtl/>
        </w:rPr>
        <w:t>ק</w:t>
      </w:r>
      <w:r>
        <w:rPr>
          <w:rStyle w:val="default"/>
          <w:rFonts w:cs="FrankRuehl" w:hint="cs"/>
          <w:rtl/>
        </w:rPr>
        <w:t>דונות במטבע חוץ או צמודים למטבע חוץ;</w:t>
      </w:r>
    </w:p>
    <w:p w:rsidR="00BD6F14" w:rsidRDefault="00BD6F14">
      <w:pPr>
        <w:pStyle w:val="P22"/>
        <w:spacing w:before="72"/>
        <w:ind w:left="1021"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בפיקדונות במטבע ישראלי הצמודים למדד.</w:t>
      </w:r>
    </w:p>
    <w:p w:rsidR="00BD6F14" w:rsidRDefault="00BD6F14">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0pt;z-index:251654144" o:allowincell="f" filled="f" stroked="f" strokecolor="lime" strokeweight=".25pt">
            <v:textbox style="mso-next-textbox:#_x0000_s1028" inset="0,0,0,0">
              <w:txbxContent>
                <w:p w:rsidR="00BD6F14" w:rsidRDefault="00BD6F14">
                  <w:pPr>
                    <w:spacing w:line="160" w:lineRule="exact"/>
                    <w:jc w:val="left"/>
                    <w:rPr>
                      <w:rFonts w:cs="Miriam"/>
                      <w:noProof/>
                      <w:szCs w:val="18"/>
                      <w:rtl/>
                    </w:rPr>
                  </w:pPr>
                  <w:r>
                    <w:rPr>
                      <w:rFonts w:cs="Miriam"/>
                      <w:szCs w:val="18"/>
                      <w:rtl/>
                    </w:rPr>
                    <w:t>ה</w:t>
                  </w:r>
                  <w:r>
                    <w:rPr>
                      <w:rFonts w:cs="Miriam" w:hint="cs"/>
                      <w:szCs w:val="18"/>
                      <w:rtl/>
                    </w:rPr>
                    <w:t>שקעות אחרות</w:t>
                  </w:r>
                </w:p>
              </w:txbxContent>
            </v:textbox>
            <w10:anchorlock/>
          </v:rect>
        </w:pict>
      </w:r>
      <w:r>
        <w:rPr>
          <w:rStyle w:val="big-number"/>
          <w:rtl/>
        </w:rPr>
        <w:t>3.</w:t>
      </w:r>
      <w:r>
        <w:rPr>
          <w:rStyle w:val="big-number"/>
          <w:rtl/>
        </w:rPr>
        <w:tab/>
      </w:r>
      <w:r>
        <w:rPr>
          <w:rStyle w:val="default"/>
          <w:rFonts w:cs="FrankRuehl"/>
          <w:rtl/>
        </w:rPr>
        <w:t>ל</w:t>
      </w:r>
      <w:r>
        <w:rPr>
          <w:rStyle w:val="default"/>
          <w:rFonts w:cs="FrankRuehl" w:hint="cs"/>
          <w:rtl/>
        </w:rPr>
        <w:t>א נתן בעל הפיקדון הוראה כאמור בסעיף 2, ישקיע התאגיד הבנקאי את הכספים בהתאם לסוג הפיקדון, כלהלן:</w:t>
      </w:r>
    </w:p>
    <w:p w:rsidR="00BD6F14" w:rsidRDefault="00BD6F14">
      <w:pPr>
        <w:pStyle w:val="P00"/>
        <w:tabs>
          <w:tab w:val="clear" w:pos="624"/>
          <w:tab w:val="clear" w:pos="1021"/>
          <w:tab w:val="clear" w:pos="1474"/>
          <w:tab w:val="clear" w:pos="1928"/>
          <w:tab w:val="clear" w:pos="2381"/>
          <w:tab w:val="clear" w:pos="2835"/>
          <w:tab w:val="clear" w:pos="6259"/>
          <w:tab w:val="center" w:pos="1418"/>
          <w:tab w:val="center" w:pos="5670"/>
        </w:tabs>
        <w:spacing w:before="72"/>
        <w:ind w:left="0" w:right="1134"/>
        <w:rPr>
          <w:rStyle w:val="default"/>
          <w:rFonts w:cs="FrankRuehl"/>
          <w:sz w:val="22"/>
          <w:szCs w:val="22"/>
          <w:rtl/>
        </w:rPr>
      </w:pPr>
      <w:r>
        <w:rPr>
          <w:sz w:val="22"/>
          <w:szCs w:val="22"/>
          <w:rtl/>
        </w:rPr>
        <w:tab/>
      </w:r>
      <w:r>
        <w:rPr>
          <w:rStyle w:val="default"/>
          <w:rFonts w:cs="FrankRuehl"/>
          <w:sz w:val="22"/>
          <w:szCs w:val="22"/>
          <w:u w:val="single"/>
          <w:rtl/>
        </w:rPr>
        <w:t>ס</w:t>
      </w:r>
      <w:r>
        <w:rPr>
          <w:rStyle w:val="default"/>
          <w:rFonts w:cs="FrankRuehl" w:hint="cs"/>
          <w:sz w:val="22"/>
          <w:szCs w:val="22"/>
          <w:u w:val="single"/>
          <w:rtl/>
        </w:rPr>
        <w:t>וג הפיקדון</w:t>
      </w:r>
      <w:r>
        <w:rPr>
          <w:rStyle w:val="default"/>
          <w:rFonts w:cs="FrankRuehl" w:hint="cs"/>
          <w:sz w:val="22"/>
          <w:szCs w:val="22"/>
          <w:rtl/>
        </w:rPr>
        <w:tab/>
      </w:r>
      <w:r>
        <w:rPr>
          <w:rStyle w:val="default"/>
          <w:rFonts w:cs="FrankRuehl" w:hint="cs"/>
          <w:sz w:val="22"/>
          <w:szCs w:val="22"/>
          <w:u w:val="single"/>
          <w:rtl/>
        </w:rPr>
        <w:t>סוג ההשקעה</w:t>
      </w:r>
    </w:p>
    <w:p w:rsidR="00BD6F14" w:rsidRDefault="00BD6F14">
      <w:pPr>
        <w:pStyle w:val="P00"/>
        <w:tabs>
          <w:tab w:val="clear" w:pos="624"/>
          <w:tab w:val="clear" w:pos="1021"/>
          <w:tab w:val="clear" w:pos="1474"/>
          <w:tab w:val="clear" w:pos="1928"/>
          <w:tab w:val="clear" w:pos="2381"/>
          <w:tab w:val="clear" w:pos="2835"/>
          <w:tab w:val="clear" w:pos="6259"/>
          <w:tab w:val="left" w:pos="567"/>
          <w:tab w:val="left" w:pos="1134"/>
          <w:tab w:val="left" w:pos="3402"/>
        </w:tabs>
        <w:spacing w:before="72"/>
        <w:ind w:left="0" w:right="1134"/>
        <w:rPr>
          <w:rStyle w:val="default"/>
          <w:rFonts w:cs="FrankRuehl" w:hint="cs"/>
          <w:rtl/>
        </w:rPr>
      </w:pPr>
      <w:r>
        <w:rPr>
          <w:rtl/>
        </w:rPr>
        <w:t>(1)</w:t>
      </w:r>
      <w:r>
        <w:rPr>
          <w:rFonts w:hint="cs"/>
          <w:rtl/>
        </w:rPr>
        <w:tab/>
      </w:r>
      <w:r>
        <w:rPr>
          <w:rStyle w:val="default"/>
          <w:rFonts w:cs="FrankRuehl"/>
          <w:rtl/>
        </w:rPr>
        <w:t>פ</w:t>
      </w:r>
      <w:r>
        <w:rPr>
          <w:rStyle w:val="default"/>
          <w:rFonts w:cs="FrankRuehl" w:hint="cs"/>
          <w:rtl/>
        </w:rPr>
        <w:t xml:space="preserve">יקדון במטבע ישראלי לזמן </w:t>
      </w:r>
    </w:p>
    <w:p w:rsidR="00BD6F14" w:rsidRDefault="00BD6F14">
      <w:pPr>
        <w:pStyle w:val="P00"/>
        <w:tabs>
          <w:tab w:val="clear" w:pos="624"/>
          <w:tab w:val="clear" w:pos="1021"/>
          <w:tab w:val="clear" w:pos="1474"/>
          <w:tab w:val="clear" w:pos="1928"/>
          <w:tab w:val="clear" w:pos="2381"/>
          <w:tab w:val="clear" w:pos="2835"/>
          <w:tab w:val="clear" w:pos="6259"/>
          <w:tab w:val="left" w:pos="567"/>
          <w:tab w:val="left" w:pos="1134"/>
          <w:tab w:val="left" w:pos="3402"/>
        </w:tabs>
        <w:spacing w:before="0"/>
        <w:ind w:left="567" w:right="1134"/>
        <w:rPr>
          <w:rStyle w:val="default"/>
          <w:rFonts w:cs="FrankRuehl" w:hint="cs"/>
          <w:rtl/>
        </w:rPr>
      </w:pPr>
      <w:r>
        <w:rPr>
          <w:rStyle w:val="default"/>
          <w:rFonts w:cs="FrankRuehl" w:hint="cs"/>
          <w:rtl/>
        </w:rPr>
        <w:t xml:space="preserve">שאינו </w:t>
      </w:r>
      <w:r>
        <w:rPr>
          <w:rStyle w:val="default"/>
          <w:rFonts w:cs="FrankRuehl"/>
          <w:rtl/>
        </w:rPr>
        <w:t>ק</w:t>
      </w:r>
      <w:r>
        <w:rPr>
          <w:rStyle w:val="default"/>
          <w:rFonts w:cs="FrankRuehl" w:hint="cs"/>
          <w:rtl/>
        </w:rPr>
        <w:t xml:space="preserve">צוב </w:t>
      </w:r>
      <w:r>
        <w:rPr>
          <w:rStyle w:val="default"/>
          <w:rFonts w:cs="FrankRuehl"/>
          <w:rtl/>
        </w:rPr>
        <w:t>–</w:t>
      </w:r>
    </w:p>
    <w:p w:rsidR="00BD6F14" w:rsidRDefault="00BD6F14">
      <w:pPr>
        <w:pStyle w:val="P00"/>
        <w:tabs>
          <w:tab w:val="clear" w:pos="624"/>
          <w:tab w:val="clear" w:pos="1021"/>
          <w:tab w:val="clear" w:pos="1474"/>
          <w:tab w:val="clear" w:pos="1928"/>
          <w:tab w:val="clear" w:pos="2381"/>
          <w:tab w:val="clear" w:pos="2835"/>
          <w:tab w:val="clear" w:pos="6259"/>
          <w:tab w:val="left" w:pos="567"/>
          <w:tab w:val="left" w:pos="1134"/>
          <w:tab w:val="left" w:pos="3402"/>
        </w:tabs>
        <w:spacing w:before="72"/>
        <w:ind w:left="567" w:right="1134"/>
        <w:rPr>
          <w:rStyle w:val="default"/>
          <w:rFonts w:cs="FrankRuehl" w:hint="cs"/>
          <w:rtl/>
        </w:rPr>
      </w:pPr>
      <w:r>
        <w:rPr>
          <w:rStyle w:val="default"/>
          <w:rFonts w:cs="FrankRuehl"/>
          <w:rtl/>
        </w:rPr>
        <w:t>(</w:t>
      </w:r>
      <w:r>
        <w:rPr>
          <w:rStyle w:val="default"/>
          <w:rFonts w:cs="FrankRuehl" w:hint="cs"/>
          <w:rtl/>
        </w:rPr>
        <w:t>א)</w:t>
      </w:r>
      <w:r>
        <w:rPr>
          <w:rStyle w:val="default"/>
          <w:rFonts w:cs="FrankRuehl" w:hint="cs"/>
          <w:rtl/>
        </w:rPr>
        <w:tab/>
        <w:t xml:space="preserve">עד לסכום של 5,000 </w:t>
      </w:r>
      <w:r>
        <w:rPr>
          <w:rStyle w:val="default"/>
          <w:rFonts w:cs="FrankRuehl" w:hint="cs"/>
          <w:rtl/>
        </w:rPr>
        <w:tab/>
        <w:t>פיקדון במטבע ישראלי בלתי צמוד, לשישה חודשים;</w:t>
      </w:r>
    </w:p>
    <w:p w:rsidR="00BD6F14" w:rsidRDefault="00BD6F14">
      <w:pPr>
        <w:pStyle w:val="P00"/>
        <w:tabs>
          <w:tab w:val="clear" w:pos="624"/>
          <w:tab w:val="clear" w:pos="1021"/>
          <w:tab w:val="clear" w:pos="1474"/>
          <w:tab w:val="clear" w:pos="1928"/>
          <w:tab w:val="clear" w:pos="2381"/>
          <w:tab w:val="clear" w:pos="2835"/>
          <w:tab w:val="clear" w:pos="6259"/>
          <w:tab w:val="left" w:pos="567"/>
          <w:tab w:val="left" w:pos="1134"/>
          <w:tab w:val="left" w:pos="3402"/>
        </w:tabs>
        <w:spacing w:before="0"/>
        <w:ind w:left="1134" w:right="1134"/>
        <w:rPr>
          <w:rStyle w:val="default"/>
          <w:rFonts w:cs="FrankRuehl" w:hint="cs"/>
          <w:rtl/>
        </w:rPr>
      </w:pPr>
      <w:r>
        <w:rPr>
          <w:rStyle w:val="default"/>
          <w:rFonts w:cs="FrankRuehl" w:hint="cs"/>
          <w:rtl/>
        </w:rPr>
        <w:t>שקלים</w:t>
      </w:r>
      <w:r>
        <w:rPr>
          <w:rStyle w:val="default"/>
          <w:rFonts w:cs="FrankRuehl"/>
          <w:rtl/>
        </w:rPr>
        <w:t xml:space="preserve"> ח</w:t>
      </w:r>
      <w:r>
        <w:rPr>
          <w:rStyle w:val="default"/>
          <w:rFonts w:cs="FrankRuehl" w:hint="cs"/>
          <w:rtl/>
        </w:rPr>
        <w:t>דשים</w:t>
      </w:r>
    </w:p>
    <w:p w:rsidR="00BD6F14" w:rsidRDefault="00BD6F14">
      <w:pPr>
        <w:pStyle w:val="P00"/>
        <w:tabs>
          <w:tab w:val="clear" w:pos="624"/>
          <w:tab w:val="clear" w:pos="1021"/>
          <w:tab w:val="clear" w:pos="1474"/>
          <w:tab w:val="clear" w:pos="1928"/>
          <w:tab w:val="clear" w:pos="2381"/>
          <w:tab w:val="clear" w:pos="2835"/>
          <w:tab w:val="clear" w:pos="6259"/>
          <w:tab w:val="left" w:pos="567"/>
          <w:tab w:val="left" w:pos="1134"/>
          <w:tab w:val="left" w:pos="3402"/>
        </w:tabs>
        <w:spacing w:before="72"/>
        <w:ind w:left="567" w:right="1134"/>
        <w:rPr>
          <w:rStyle w:val="default"/>
          <w:rFonts w:cs="FrankRuehl" w:hint="cs"/>
          <w:rtl/>
        </w:rPr>
      </w:pPr>
      <w:r>
        <w:rPr>
          <w:rStyle w:val="default"/>
          <w:rFonts w:cs="FrankRuehl"/>
          <w:rtl/>
        </w:rPr>
        <w:t>(</w:t>
      </w:r>
      <w:r>
        <w:rPr>
          <w:rStyle w:val="default"/>
          <w:rFonts w:cs="FrankRuehl" w:hint="cs"/>
          <w:rtl/>
        </w:rPr>
        <w:t>ב)</w:t>
      </w:r>
      <w:r>
        <w:rPr>
          <w:rStyle w:val="default"/>
          <w:rFonts w:cs="FrankRuehl" w:hint="cs"/>
          <w:rtl/>
        </w:rPr>
        <w:tab/>
        <w:t xml:space="preserve">מעל לסכום של 5,000 </w:t>
      </w:r>
      <w:r>
        <w:rPr>
          <w:rStyle w:val="default"/>
          <w:rFonts w:cs="FrankRuehl" w:hint="cs"/>
          <w:rtl/>
        </w:rPr>
        <w:tab/>
        <w:t>מילוות צמודי מדד שנרכשו במקור מסוגים ומסדרות</w:t>
      </w:r>
    </w:p>
    <w:p w:rsidR="00BD6F14" w:rsidRDefault="00BD6F14">
      <w:pPr>
        <w:pStyle w:val="P00"/>
        <w:tabs>
          <w:tab w:val="clear" w:pos="624"/>
          <w:tab w:val="clear" w:pos="1021"/>
          <w:tab w:val="clear" w:pos="1474"/>
          <w:tab w:val="clear" w:pos="1928"/>
          <w:tab w:val="clear" w:pos="2381"/>
          <w:tab w:val="clear" w:pos="2835"/>
          <w:tab w:val="clear" w:pos="6259"/>
          <w:tab w:val="left" w:pos="567"/>
          <w:tab w:val="left" w:pos="1134"/>
          <w:tab w:val="left" w:pos="3402"/>
        </w:tabs>
        <w:spacing w:before="0"/>
        <w:ind w:left="3402" w:right="1134" w:hanging="2268"/>
        <w:rPr>
          <w:rStyle w:val="default"/>
          <w:rFonts w:cs="FrankRuehl"/>
          <w:rtl/>
        </w:rPr>
      </w:pPr>
      <w:r>
        <w:rPr>
          <w:rStyle w:val="default"/>
          <w:rFonts w:cs="FrankRuehl" w:hint="cs"/>
          <w:rtl/>
        </w:rPr>
        <w:t>שקלים</w:t>
      </w:r>
      <w:r>
        <w:rPr>
          <w:rStyle w:val="default"/>
          <w:rFonts w:cs="FrankRuehl"/>
          <w:rtl/>
        </w:rPr>
        <w:t xml:space="preserve"> ח</w:t>
      </w:r>
      <w:r>
        <w:rPr>
          <w:rStyle w:val="default"/>
          <w:rFonts w:cs="FrankRuehl" w:hint="cs"/>
          <w:rtl/>
        </w:rPr>
        <w:t>דשים</w:t>
      </w:r>
      <w:r>
        <w:rPr>
          <w:rStyle w:val="default"/>
          <w:rFonts w:cs="FrankRuehl" w:hint="cs"/>
          <w:rtl/>
        </w:rPr>
        <w:tab/>
        <w:t xml:space="preserve">שזמן </w:t>
      </w:r>
      <w:r>
        <w:rPr>
          <w:rStyle w:val="default"/>
          <w:rFonts w:cs="FrankRuehl"/>
          <w:rtl/>
        </w:rPr>
        <w:t>פ</w:t>
      </w:r>
      <w:r>
        <w:rPr>
          <w:rStyle w:val="default"/>
          <w:rFonts w:cs="FrankRuehl" w:hint="cs"/>
          <w:rtl/>
        </w:rPr>
        <w:t>ירעונן הוא הקרוב ביותר, ואם לא ניתן לרכשם כאמור סמוך למועד ההשקעה, מילוות כאמור שנרכשו בבורסה מסוגים ומסדרות שזמן פירעונן בין שנתיים לחמש שנים ממועד הרכישה;</w:t>
      </w:r>
    </w:p>
    <w:p w:rsidR="00BD6F14" w:rsidRDefault="00BD6F14">
      <w:pPr>
        <w:pStyle w:val="P00"/>
        <w:tabs>
          <w:tab w:val="clear" w:pos="624"/>
          <w:tab w:val="clear" w:pos="1021"/>
          <w:tab w:val="clear" w:pos="1474"/>
          <w:tab w:val="clear" w:pos="1928"/>
          <w:tab w:val="clear" w:pos="2381"/>
          <w:tab w:val="clear" w:pos="2835"/>
          <w:tab w:val="clear" w:pos="6259"/>
          <w:tab w:val="left" w:pos="567"/>
          <w:tab w:val="left" w:pos="1134"/>
          <w:tab w:val="left" w:pos="3402"/>
        </w:tabs>
        <w:spacing w:before="72"/>
        <w:ind w:left="0" w:right="1134"/>
        <w:rPr>
          <w:rStyle w:val="default"/>
          <w:rFonts w:cs="FrankRuehl" w:hint="cs"/>
          <w:rtl/>
        </w:rPr>
      </w:pPr>
      <w:r>
        <w:rPr>
          <w:rtl/>
        </w:rPr>
        <w:t>(2)</w:t>
      </w:r>
      <w:r>
        <w:rPr>
          <w:rFonts w:hint="cs"/>
          <w:rtl/>
        </w:rPr>
        <w:tab/>
      </w:r>
      <w:r>
        <w:rPr>
          <w:rStyle w:val="default"/>
          <w:rFonts w:cs="FrankRuehl"/>
          <w:rtl/>
        </w:rPr>
        <w:t>פ</w:t>
      </w:r>
      <w:r>
        <w:rPr>
          <w:rStyle w:val="default"/>
          <w:rFonts w:cs="FrankRuehl" w:hint="cs"/>
          <w:rtl/>
        </w:rPr>
        <w:t>יקדון במטבע ישראלי</w:t>
      </w:r>
      <w:r>
        <w:rPr>
          <w:rStyle w:val="default"/>
          <w:rFonts w:cs="FrankRuehl" w:hint="cs"/>
          <w:rtl/>
        </w:rPr>
        <w:tab/>
        <w:t>פיקדון במטבע ישראלי,</w:t>
      </w:r>
      <w:r>
        <w:rPr>
          <w:rStyle w:val="default"/>
          <w:rFonts w:cs="FrankRuehl"/>
          <w:rtl/>
        </w:rPr>
        <w:t xml:space="preserve"> </w:t>
      </w:r>
      <w:r>
        <w:rPr>
          <w:rStyle w:val="default"/>
          <w:rFonts w:cs="FrankRuehl" w:hint="cs"/>
          <w:rtl/>
        </w:rPr>
        <w:t xml:space="preserve">לאותה תקופה ובאותו סוג </w:t>
      </w:r>
    </w:p>
    <w:p w:rsidR="00BD6F14" w:rsidRDefault="00BD6F14">
      <w:pPr>
        <w:pStyle w:val="P00"/>
        <w:tabs>
          <w:tab w:val="clear" w:pos="624"/>
          <w:tab w:val="clear" w:pos="1021"/>
          <w:tab w:val="clear" w:pos="1474"/>
          <w:tab w:val="clear" w:pos="1928"/>
          <w:tab w:val="clear" w:pos="2381"/>
          <w:tab w:val="clear" w:pos="2835"/>
          <w:tab w:val="clear" w:pos="6259"/>
          <w:tab w:val="left" w:pos="567"/>
          <w:tab w:val="left" w:pos="1134"/>
          <w:tab w:val="left" w:pos="3402"/>
        </w:tabs>
        <w:spacing w:before="0"/>
        <w:ind w:left="567" w:right="1134"/>
        <w:rPr>
          <w:rStyle w:val="default"/>
          <w:rFonts w:cs="FrankRuehl"/>
          <w:rtl/>
        </w:rPr>
      </w:pPr>
      <w:r>
        <w:rPr>
          <w:rStyle w:val="default"/>
          <w:rFonts w:cs="FrankRuehl" w:hint="cs"/>
          <w:rtl/>
        </w:rPr>
        <w:t>לזמן קצוב</w:t>
      </w:r>
      <w:r>
        <w:rPr>
          <w:rStyle w:val="default"/>
          <w:rFonts w:cs="FrankRuehl" w:hint="cs"/>
          <w:rtl/>
        </w:rPr>
        <w:tab/>
        <w:t>הצמדה;</w:t>
      </w:r>
    </w:p>
    <w:p w:rsidR="00BD6F14" w:rsidRDefault="00BD6F14">
      <w:pPr>
        <w:pStyle w:val="P00"/>
        <w:tabs>
          <w:tab w:val="clear" w:pos="624"/>
          <w:tab w:val="clear" w:pos="1021"/>
          <w:tab w:val="clear" w:pos="1474"/>
          <w:tab w:val="clear" w:pos="1928"/>
          <w:tab w:val="clear" w:pos="2381"/>
          <w:tab w:val="clear" w:pos="2835"/>
          <w:tab w:val="clear" w:pos="6259"/>
          <w:tab w:val="left" w:pos="567"/>
          <w:tab w:val="left" w:pos="1134"/>
          <w:tab w:val="left" w:pos="3402"/>
        </w:tabs>
        <w:spacing w:before="72"/>
        <w:ind w:left="0" w:right="1134"/>
        <w:rPr>
          <w:rStyle w:val="default"/>
          <w:rFonts w:cs="FrankRuehl"/>
          <w:rtl/>
        </w:rPr>
      </w:pPr>
      <w:r>
        <w:rPr>
          <w:rtl/>
        </w:rPr>
        <w:t>(3)</w:t>
      </w:r>
      <w:r>
        <w:rPr>
          <w:rFonts w:hint="cs"/>
          <w:rtl/>
        </w:rPr>
        <w:tab/>
      </w:r>
      <w:r>
        <w:rPr>
          <w:rStyle w:val="default"/>
          <w:rFonts w:cs="FrankRuehl"/>
          <w:rtl/>
        </w:rPr>
        <w:t>ת</w:t>
      </w:r>
      <w:r>
        <w:rPr>
          <w:rStyle w:val="default"/>
          <w:rFonts w:cs="FrankRuehl" w:hint="cs"/>
          <w:rtl/>
        </w:rPr>
        <w:t>כנית חיסכו</w:t>
      </w:r>
      <w:r>
        <w:rPr>
          <w:rStyle w:val="default"/>
          <w:rFonts w:cs="FrankRuehl"/>
          <w:rtl/>
        </w:rPr>
        <w:t>ן</w:t>
      </w:r>
      <w:r>
        <w:rPr>
          <w:rStyle w:val="default"/>
          <w:rFonts w:cs="FrankRuehl" w:hint="cs"/>
          <w:rtl/>
        </w:rPr>
        <w:tab/>
        <w:t>על פי הוראות החיקוק</w:t>
      </w:r>
      <w:r>
        <w:rPr>
          <w:rStyle w:val="default"/>
          <w:rFonts w:cs="FrankRuehl"/>
          <w:rtl/>
        </w:rPr>
        <w:t xml:space="preserve"> </w:t>
      </w:r>
      <w:r>
        <w:rPr>
          <w:rStyle w:val="default"/>
          <w:rFonts w:cs="FrankRuehl" w:hint="cs"/>
          <w:rtl/>
        </w:rPr>
        <w:t>המיוחדות לענין תכניות</w:t>
      </w:r>
      <w:r>
        <w:rPr>
          <w:rStyle w:val="default"/>
          <w:rFonts w:cs="FrankRuehl"/>
          <w:rtl/>
        </w:rPr>
        <w:t xml:space="preserve"> </w:t>
      </w:r>
      <w:r>
        <w:rPr>
          <w:rStyle w:val="default"/>
          <w:rFonts w:cs="FrankRuehl" w:hint="cs"/>
          <w:rtl/>
        </w:rPr>
        <w:t>חיסכון;</w:t>
      </w:r>
    </w:p>
    <w:p w:rsidR="00BD6F14" w:rsidRDefault="00BD6F14">
      <w:pPr>
        <w:pStyle w:val="P00"/>
        <w:tabs>
          <w:tab w:val="clear" w:pos="624"/>
          <w:tab w:val="clear" w:pos="1021"/>
          <w:tab w:val="clear" w:pos="1474"/>
          <w:tab w:val="clear" w:pos="1928"/>
          <w:tab w:val="clear" w:pos="2381"/>
          <w:tab w:val="clear" w:pos="2835"/>
          <w:tab w:val="clear" w:pos="6259"/>
          <w:tab w:val="left" w:pos="567"/>
          <w:tab w:val="left" w:pos="1134"/>
          <w:tab w:val="left" w:pos="3402"/>
        </w:tabs>
        <w:spacing w:before="72"/>
        <w:ind w:left="0" w:right="1134"/>
        <w:rPr>
          <w:rStyle w:val="default"/>
          <w:rFonts w:cs="FrankRuehl" w:hint="cs"/>
          <w:rtl/>
        </w:rPr>
      </w:pPr>
      <w:r>
        <w:rPr>
          <w:rtl/>
        </w:rPr>
        <w:t>(4)</w:t>
      </w:r>
      <w:r>
        <w:rPr>
          <w:rFonts w:hint="cs"/>
          <w:rtl/>
        </w:rPr>
        <w:tab/>
      </w:r>
      <w:r>
        <w:rPr>
          <w:rStyle w:val="default"/>
          <w:rFonts w:cs="FrankRuehl"/>
          <w:rtl/>
        </w:rPr>
        <w:t>פ</w:t>
      </w:r>
      <w:r>
        <w:rPr>
          <w:rStyle w:val="default"/>
          <w:rFonts w:cs="FrankRuehl" w:hint="cs"/>
          <w:rtl/>
        </w:rPr>
        <w:t xml:space="preserve">יקדון במטבע חוץ לזמן </w:t>
      </w:r>
    </w:p>
    <w:p w:rsidR="00BD6F14" w:rsidRDefault="00BD6F14">
      <w:pPr>
        <w:pStyle w:val="P00"/>
        <w:tabs>
          <w:tab w:val="clear" w:pos="624"/>
          <w:tab w:val="clear" w:pos="1021"/>
          <w:tab w:val="clear" w:pos="1474"/>
          <w:tab w:val="clear" w:pos="1928"/>
          <w:tab w:val="clear" w:pos="2381"/>
          <w:tab w:val="clear" w:pos="2835"/>
          <w:tab w:val="clear" w:pos="6259"/>
          <w:tab w:val="left" w:pos="567"/>
          <w:tab w:val="left" w:pos="1134"/>
          <w:tab w:val="left" w:pos="3402"/>
        </w:tabs>
        <w:spacing w:before="0"/>
        <w:ind w:left="567" w:right="1134"/>
        <w:rPr>
          <w:rStyle w:val="default"/>
          <w:rFonts w:cs="FrankRuehl"/>
          <w:rtl/>
        </w:rPr>
      </w:pPr>
      <w:r>
        <w:rPr>
          <w:rStyle w:val="default"/>
          <w:rFonts w:cs="FrankRuehl" w:hint="cs"/>
          <w:rtl/>
        </w:rPr>
        <w:t>שאינו קצוב</w:t>
      </w:r>
      <w:r>
        <w:rPr>
          <w:rStyle w:val="default"/>
          <w:rFonts w:cs="FrankRuehl" w:hint="cs"/>
          <w:rtl/>
        </w:rPr>
        <w:tab/>
        <w:t>פיקדון באותו מטבע לתקופה של שישה חודשים;</w:t>
      </w:r>
    </w:p>
    <w:p w:rsidR="00BD6F14" w:rsidRDefault="00BD6F14">
      <w:pPr>
        <w:pStyle w:val="P00"/>
        <w:tabs>
          <w:tab w:val="clear" w:pos="624"/>
          <w:tab w:val="clear" w:pos="1021"/>
          <w:tab w:val="clear" w:pos="1474"/>
          <w:tab w:val="clear" w:pos="1928"/>
          <w:tab w:val="clear" w:pos="2381"/>
          <w:tab w:val="clear" w:pos="2835"/>
          <w:tab w:val="clear" w:pos="6259"/>
          <w:tab w:val="left" w:pos="567"/>
          <w:tab w:val="left" w:pos="1134"/>
          <w:tab w:val="left" w:pos="3402"/>
        </w:tabs>
        <w:spacing w:before="72"/>
        <w:ind w:left="0" w:right="1134"/>
        <w:rPr>
          <w:rStyle w:val="default"/>
          <w:rFonts w:cs="FrankRuehl"/>
          <w:rtl/>
        </w:rPr>
      </w:pPr>
      <w:r>
        <w:rPr>
          <w:rtl/>
        </w:rPr>
        <w:t>(5)</w:t>
      </w:r>
      <w:r>
        <w:rPr>
          <w:rFonts w:hint="cs"/>
          <w:rtl/>
        </w:rPr>
        <w:tab/>
      </w:r>
      <w:r>
        <w:rPr>
          <w:rStyle w:val="default"/>
          <w:rFonts w:cs="FrankRuehl"/>
          <w:rtl/>
        </w:rPr>
        <w:t>פ</w:t>
      </w:r>
      <w:r>
        <w:rPr>
          <w:rStyle w:val="default"/>
          <w:rFonts w:cs="FrankRuehl" w:hint="cs"/>
          <w:rtl/>
        </w:rPr>
        <w:t>יקדון במטבע חוץ לזמן קצוב</w:t>
      </w:r>
      <w:r>
        <w:rPr>
          <w:rStyle w:val="default"/>
          <w:rFonts w:cs="FrankRuehl" w:hint="cs"/>
          <w:rtl/>
        </w:rPr>
        <w:tab/>
        <w:t>פיקדון באותו מטבע ולאותה תקופה;</w:t>
      </w:r>
    </w:p>
    <w:p w:rsidR="00BD6F14" w:rsidRDefault="00BD6F14">
      <w:pPr>
        <w:pStyle w:val="P00"/>
        <w:tabs>
          <w:tab w:val="clear" w:pos="624"/>
          <w:tab w:val="clear" w:pos="1021"/>
          <w:tab w:val="clear" w:pos="1474"/>
          <w:tab w:val="clear" w:pos="1928"/>
          <w:tab w:val="clear" w:pos="2381"/>
          <w:tab w:val="clear" w:pos="2835"/>
          <w:tab w:val="clear" w:pos="6259"/>
          <w:tab w:val="left" w:pos="567"/>
          <w:tab w:val="left" w:pos="1134"/>
          <w:tab w:val="left" w:pos="3402"/>
        </w:tabs>
        <w:spacing w:before="72"/>
        <w:ind w:left="3402" w:right="1134" w:hanging="3402"/>
        <w:rPr>
          <w:rStyle w:val="default"/>
          <w:rFonts w:cs="FrankRuehl"/>
          <w:rtl/>
        </w:rPr>
      </w:pPr>
      <w:r>
        <w:rPr>
          <w:rtl/>
        </w:rPr>
        <w:t>(6)</w:t>
      </w:r>
      <w:r>
        <w:rPr>
          <w:rFonts w:hint="cs"/>
          <w:rtl/>
        </w:rPr>
        <w:tab/>
      </w:r>
      <w:r>
        <w:rPr>
          <w:rStyle w:val="default"/>
          <w:rFonts w:cs="FrankRuehl"/>
          <w:rtl/>
        </w:rPr>
        <w:t>פ</w:t>
      </w:r>
      <w:r>
        <w:rPr>
          <w:rStyle w:val="default"/>
          <w:rFonts w:cs="FrankRuehl" w:hint="cs"/>
          <w:rtl/>
        </w:rPr>
        <w:t>יקדון ניירות ערך</w:t>
      </w:r>
      <w:r>
        <w:rPr>
          <w:rStyle w:val="default"/>
          <w:rFonts w:cs="FrankRuehl" w:hint="cs"/>
          <w:rtl/>
        </w:rPr>
        <w:tab/>
        <w:t>ניירות הערך יוחזקו בלא</w:t>
      </w:r>
      <w:r>
        <w:rPr>
          <w:rStyle w:val="default"/>
          <w:rFonts w:cs="FrankRuehl"/>
          <w:rtl/>
        </w:rPr>
        <w:t xml:space="preserve"> </w:t>
      </w:r>
      <w:r>
        <w:rPr>
          <w:rStyle w:val="default"/>
          <w:rFonts w:cs="FrankRuehl" w:hint="cs"/>
          <w:rtl/>
        </w:rPr>
        <w:t>שינוי; כספים שנתקבלו בש</w:t>
      </w:r>
      <w:r>
        <w:rPr>
          <w:rStyle w:val="default"/>
          <w:rFonts w:cs="FrankRuehl"/>
          <w:rtl/>
        </w:rPr>
        <w:t>ל</w:t>
      </w:r>
      <w:r>
        <w:rPr>
          <w:rStyle w:val="default"/>
          <w:rFonts w:cs="FrankRuehl" w:hint="cs"/>
          <w:rtl/>
        </w:rPr>
        <w:t xml:space="preserve"> </w:t>
      </w:r>
      <w:r>
        <w:rPr>
          <w:rStyle w:val="default"/>
          <w:rFonts w:cs="FrankRuehl" w:hint="cs"/>
          <w:rtl/>
        </w:rPr>
        <w:lastRenderedPageBreak/>
        <w:t xml:space="preserve">נייר ערך יושקעו באותו נייר ערך; כספים שנתקבלו מפדיון סופי של ניירות ערך או מפירוק התאגיד שהנפיקם, יושקעו כאמור בפסקה (1). </w:t>
      </w:r>
    </w:p>
    <w:p w:rsidR="00BD6F14" w:rsidRDefault="00BD6F14">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10pt;z-index:251655168" o:allowincell="f" filled="f" stroked="f" strokecolor="lime" strokeweight=".25pt">
            <v:textbox style="mso-next-textbox:#_x0000_s1029" inset="0,0,0,0">
              <w:txbxContent>
                <w:p w:rsidR="00BD6F14" w:rsidRDefault="00BD6F14">
                  <w:pPr>
                    <w:spacing w:line="160" w:lineRule="exact"/>
                    <w:jc w:val="left"/>
                    <w:rPr>
                      <w:rFonts w:cs="Miriam"/>
                      <w:noProof/>
                      <w:szCs w:val="18"/>
                      <w:rtl/>
                    </w:rPr>
                  </w:pPr>
                  <w:r>
                    <w:rPr>
                      <w:rFonts w:cs="Miriam"/>
                      <w:szCs w:val="18"/>
                      <w:rtl/>
                    </w:rPr>
                    <w:t>ה</w:t>
                  </w:r>
                  <w:r>
                    <w:rPr>
                      <w:rFonts w:cs="Miriam" w:hint="cs"/>
                      <w:szCs w:val="18"/>
                      <w:rtl/>
                    </w:rPr>
                    <w:t>שקעה מחדש</w:t>
                  </w:r>
                </w:p>
              </w:txbxContent>
            </v:textbox>
            <w10:anchorlock/>
          </v:rect>
        </w:pict>
      </w:r>
      <w:r>
        <w:rPr>
          <w:rStyle w:val="big-number"/>
          <w:rtl/>
        </w:rPr>
        <w:t>4.</w:t>
      </w:r>
      <w:r>
        <w:rPr>
          <w:rStyle w:val="big-number"/>
          <w:rtl/>
        </w:rPr>
        <w:tab/>
      </w:r>
      <w:r>
        <w:rPr>
          <w:rStyle w:val="default"/>
          <w:rFonts w:cs="FrankRuehl"/>
          <w:rtl/>
        </w:rPr>
        <w:t>נ</w:t>
      </w:r>
      <w:r>
        <w:rPr>
          <w:rStyle w:val="default"/>
          <w:rFonts w:cs="FrankRuehl" w:hint="cs"/>
          <w:rtl/>
        </w:rPr>
        <w:t xml:space="preserve">סתיימה תקופת פיקדון שהושקע כאמור בסעיף 3 או הגיע מועד פירעונה של השקעה אחרת כאמור באותו סעיף, יושקעו הכספים מחדש </w:t>
      </w:r>
      <w:r>
        <w:rPr>
          <w:rStyle w:val="default"/>
          <w:rFonts w:cs="FrankRuehl"/>
          <w:rtl/>
        </w:rPr>
        <w:t>ב</w:t>
      </w:r>
      <w:r>
        <w:rPr>
          <w:rStyle w:val="default"/>
          <w:rFonts w:cs="FrankRuehl" w:hint="cs"/>
          <w:rtl/>
        </w:rPr>
        <w:t>אותה דרך כל עוד לא נוצר קשר עם בעל הפיקדון.</w:t>
      </w:r>
    </w:p>
    <w:p w:rsidR="00BD6F14" w:rsidRDefault="00BD6F14">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0pt;z-index:251656192" o:allowincell="f" filled="f" stroked="f" strokecolor="lime" strokeweight=".25pt">
            <v:textbox style="mso-next-textbox:#_x0000_s1030" inset="0,0,0,0">
              <w:txbxContent>
                <w:p w:rsidR="00BD6F14" w:rsidRDefault="00BD6F14">
                  <w:pPr>
                    <w:spacing w:line="160" w:lineRule="exact"/>
                    <w:jc w:val="left"/>
                    <w:rPr>
                      <w:rFonts w:cs="Miriam"/>
                      <w:noProof/>
                      <w:szCs w:val="18"/>
                      <w:rtl/>
                    </w:rPr>
                  </w:pPr>
                  <w:r>
                    <w:rPr>
                      <w:rFonts w:cs="Miriam"/>
                      <w:szCs w:val="18"/>
                      <w:rtl/>
                    </w:rPr>
                    <w:t>ה</w:t>
                  </w:r>
                  <w:r>
                    <w:rPr>
                      <w:rFonts w:cs="Miriam" w:hint="cs"/>
                      <w:szCs w:val="18"/>
                      <w:rtl/>
                    </w:rPr>
                    <w:t>שקעה חלופית</w:t>
                  </w:r>
                </w:p>
              </w:txbxContent>
            </v:textbox>
            <w10:anchorlock/>
          </v:rect>
        </w:pict>
      </w:r>
      <w:r>
        <w:rPr>
          <w:rStyle w:val="big-number"/>
          <w:rtl/>
        </w:rPr>
        <w:t>5.</w:t>
      </w:r>
      <w:r>
        <w:rPr>
          <w:rStyle w:val="big-number"/>
          <w:rtl/>
        </w:rPr>
        <w:tab/>
      </w:r>
      <w:r>
        <w:rPr>
          <w:rStyle w:val="default"/>
          <w:rFonts w:cs="FrankRuehl"/>
          <w:rtl/>
        </w:rPr>
        <w:t>א</w:t>
      </w:r>
      <w:r>
        <w:rPr>
          <w:rStyle w:val="default"/>
          <w:rFonts w:cs="FrankRuehl" w:hint="cs"/>
          <w:rtl/>
        </w:rPr>
        <w:t xml:space="preserve">ם אין הוראה אחרת בצו זה או אם לא ניתן להשקיע את הכספים כאמור בסעיפים 2 עד 4, ישקיע התאגיד הבנקאי את הכספים כאמור בסעיף 3(1). </w:t>
      </w:r>
    </w:p>
    <w:p w:rsidR="00BD6F14" w:rsidRDefault="00BD6F14">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20pt;z-index:251657216" o:allowincell="f" filled="f" stroked="f" strokecolor="lime" strokeweight=".25pt">
            <v:textbox style="mso-next-textbox:#_x0000_s1031" inset="0,0,0,0">
              <w:txbxContent>
                <w:p w:rsidR="00BD6F14" w:rsidRDefault="00BD6F14">
                  <w:pPr>
                    <w:spacing w:line="160" w:lineRule="exact"/>
                    <w:jc w:val="left"/>
                    <w:rPr>
                      <w:rFonts w:cs="Miriam"/>
                      <w:noProof/>
                      <w:szCs w:val="18"/>
                      <w:rtl/>
                    </w:rPr>
                  </w:pPr>
                  <w:r>
                    <w:rPr>
                      <w:rFonts w:cs="Miriam"/>
                      <w:szCs w:val="18"/>
                      <w:rtl/>
                    </w:rPr>
                    <w:t>ב</w:t>
                  </w:r>
                  <w:r>
                    <w:rPr>
                      <w:rFonts w:cs="Miriam" w:hint="cs"/>
                      <w:szCs w:val="18"/>
                      <w:rtl/>
                    </w:rPr>
                    <w:t>יצוע תשלומים ועמלות</w:t>
                  </w:r>
                </w:p>
              </w:txbxContent>
            </v:textbox>
            <w10:anchorlock/>
          </v:rect>
        </w:pict>
      </w:r>
      <w:r>
        <w:rPr>
          <w:rStyle w:val="big-number"/>
          <w:rtl/>
        </w:rPr>
        <w:t>6.</w:t>
      </w:r>
      <w:r>
        <w:rPr>
          <w:rStyle w:val="big-number"/>
          <w:rtl/>
        </w:rPr>
        <w:tab/>
      </w:r>
      <w:r>
        <w:rPr>
          <w:rStyle w:val="default"/>
          <w:rFonts w:cs="FrankRuehl"/>
          <w:rtl/>
        </w:rPr>
        <w:t>ע</w:t>
      </w:r>
      <w:r>
        <w:rPr>
          <w:rStyle w:val="default"/>
          <w:rFonts w:cs="FrankRuehl" w:hint="cs"/>
          <w:rtl/>
        </w:rPr>
        <w:t xml:space="preserve">ל אף האמור </w:t>
      </w:r>
      <w:r>
        <w:rPr>
          <w:rStyle w:val="default"/>
          <w:rFonts w:cs="FrankRuehl"/>
          <w:rtl/>
        </w:rPr>
        <w:t>ב</w:t>
      </w:r>
      <w:r>
        <w:rPr>
          <w:rStyle w:val="default"/>
          <w:rFonts w:cs="FrankRuehl" w:hint="cs"/>
          <w:rtl/>
        </w:rPr>
        <w:t xml:space="preserve">צו זה - </w:t>
      </w:r>
    </w:p>
    <w:p w:rsidR="00BD6F14" w:rsidRDefault="00BD6F14">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נתן בעל פיקדון הוראה לתאגיד בנקאי לבצע בעבורו תשלומים ולחייב את חשבון עובר ושב שלו, רשאי התאגיד הבנקאי להשאיר בחשבון סכום שיאפשר את ביצוע התשלומים הצפויים במשך שישה חודשים, וכן לממש, לפי הצורך, השקעות שנעשו לפי צו זה;</w:t>
      </w:r>
    </w:p>
    <w:p w:rsidR="00BD6F14" w:rsidRDefault="00BD6F14">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רשאי התאגיד הבנקאי ל</w:t>
      </w:r>
      <w:r>
        <w:rPr>
          <w:rStyle w:val="default"/>
          <w:rFonts w:cs="FrankRuehl"/>
          <w:rtl/>
        </w:rPr>
        <w:t>ה</w:t>
      </w:r>
      <w:r>
        <w:rPr>
          <w:rStyle w:val="default"/>
          <w:rFonts w:cs="FrankRuehl" w:hint="cs"/>
          <w:rtl/>
        </w:rPr>
        <w:t>שאיר בחשבון עובר ושב סכום לכיסוי העמלות שלו הצפויות במשך שנה, ולגבות מסכום זה את העמלות לא יותר מ-4 פעמים בשנה.</w:t>
      </w:r>
    </w:p>
    <w:p w:rsidR="00BD6F14" w:rsidRDefault="00BD6F14">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20pt;z-index:251658240" o:allowincell="f" filled="f" stroked="f" strokecolor="lime" strokeweight=".25pt">
            <v:textbox style="mso-next-textbox:#_x0000_s1032" inset="0,0,0,0">
              <w:txbxContent>
                <w:p w:rsidR="00BD6F14" w:rsidRDefault="00BD6F14">
                  <w:pPr>
                    <w:spacing w:line="160" w:lineRule="exact"/>
                    <w:jc w:val="left"/>
                    <w:rPr>
                      <w:rFonts w:cs="Miriam"/>
                      <w:noProof/>
                      <w:szCs w:val="18"/>
                      <w:rtl/>
                    </w:rPr>
                  </w:pPr>
                  <w:r>
                    <w:rPr>
                      <w:rFonts w:cs="Miriam"/>
                      <w:szCs w:val="18"/>
                      <w:rtl/>
                    </w:rPr>
                    <w:t>ס</w:t>
                  </w:r>
                  <w:r>
                    <w:rPr>
                      <w:rFonts w:cs="Miriam" w:hint="cs"/>
                      <w:szCs w:val="18"/>
                      <w:rtl/>
                    </w:rPr>
                    <w:t>כום מזערי לחובת ההשקעה</w:t>
                  </w:r>
                </w:p>
              </w:txbxContent>
            </v:textbox>
            <w10:anchorlock/>
          </v:rect>
        </w:pict>
      </w:r>
      <w:r>
        <w:rPr>
          <w:rStyle w:val="big-number"/>
          <w:rtl/>
        </w:rPr>
        <w:t>7.</w:t>
      </w:r>
      <w:r>
        <w:rPr>
          <w:rStyle w:val="big-number"/>
          <w:rtl/>
        </w:rPr>
        <w:tab/>
      </w:r>
      <w:r>
        <w:rPr>
          <w:rStyle w:val="default"/>
          <w:rFonts w:cs="FrankRuehl"/>
          <w:rtl/>
        </w:rPr>
        <w:t>ח</w:t>
      </w:r>
      <w:r>
        <w:rPr>
          <w:rStyle w:val="default"/>
          <w:rFonts w:cs="FrankRuehl" w:hint="cs"/>
          <w:rtl/>
        </w:rPr>
        <w:t xml:space="preserve">ובת ההשקעה לפי צו זה לא תחול על - </w:t>
      </w:r>
    </w:p>
    <w:p w:rsidR="00BD6F14" w:rsidRDefault="00BD6F14">
      <w:pPr>
        <w:pStyle w:val="P00"/>
        <w:spacing w:before="72"/>
        <w:ind w:left="0"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פיקדון במטבע ישראלי שאינו עולה על 1,000 שקלים חדשים;</w:t>
      </w:r>
    </w:p>
    <w:p w:rsidR="00BD6F14" w:rsidRDefault="00BD6F14">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 xml:space="preserve">פיקדון במטבע </w:t>
      </w:r>
      <w:r>
        <w:rPr>
          <w:rStyle w:val="default"/>
          <w:rFonts w:cs="FrankRuehl"/>
          <w:rtl/>
        </w:rPr>
        <w:t>ח</w:t>
      </w:r>
      <w:r>
        <w:rPr>
          <w:rStyle w:val="default"/>
          <w:rFonts w:cs="FrankRuehl" w:hint="cs"/>
          <w:rtl/>
        </w:rPr>
        <w:t>וץ ששוויו אינו עולה על 500 דולרים;</w:t>
      </w:r>
    </w:p>
    <w:p w:rsidR="00BD6F14" w:rsidRDefault="00BD6F14">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תשלום בודד שנתקבל בשל נייר ערך מסוים בסכום שאינו עולה במועד קבלתו על 1,000 שקלים חדשים, אם התשלום נתקבל בשקלים, או על 500 דולרים אם התשלום נתקבל במטבע חוץ.</w:t>
      </w:r>
    </w:p>
    <w:p w:rsidR="00BD6F14" w:rsidRDefault="00BD6F14">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10pt;z-index:251659264" o:allowincell="f" filled="f" stroked="f" strokecolor="lime" strokeweight=".25pt">
            <v:textbox style="mso-next-textbox:#_x0000_s1033" inset="0,0,0,0">
              <w:txbxContent>
                <w:p w:rsidR="00BD6F14" w:rsidRDefault="00BD6F14">
                  <w:pPr>
                    <w:spacing w:line="160" w:lineRule="exact"/>
                    <w:jc w:val="left"/>
                    <w:rPr>
                      <w:rFonts w:cs="Miriam"/>
                      <w:noProof/>
                      <w:szCs w:val="18"/>
                      <w:rtl/>
                    </w:rPr>
                  </w:pPr>
                  <w:r>
                    <w:rPr>
                      <w:rFonts w:cs="Miriam"/>
                      <w:szCs w:val="18"/>
                      <w:rtl/>
                    </w:rPr>
                    <w:t>ה</w:t>
                  </w:r>
                  <w:r>
                    <w:rPr>
                      <w:rFonts w:cs="Miriam" w:hint="cs"/>
                      <w:szCs w:val="18"/>
                      <w:rtl/>
                    </w:rPr>
                    <w:t>צמדת סכו</w:t>
                  </w:r>
                  <w:r>
                    <w:rPr>
                      <w:rFonts w:cs="Miriam"/>
                      <w:szCs w:val="18"/>
                      <w:rtl/>
                    </w:rPr>
                    <w:t>מ</w:t>
                  </w:r>
                  <w:r>
                    <w:rPr>
                      <w:rFonts w:cs="Miriam" w:hint="cs"/>
                      <w:szCs w:val="18"/>
                      <w:rtl/>
                    </w:rPr>
                    <w:t>ים</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הסכומים בשקלים חדשים הקבועים בסעיפים</w:t>
      </w:r>
      <w:r>
        <w:rPr>
          <w:rStyle w:val="default"/>
          <w:rFonts w:cs="FrankRuehl"/>
          <w:rtl/>
        </w:rPr>
        <w:t xml:space="preserve"> 3 </w:t>
      </w:r>
      <w:r>
        <w:rPr>
          <w:rStyle w:val="default"/>
          <w:rFonts w:cs="FrankRuehl" w:hint="cs"/>
          <w:rtl/>
        </w:rPr>
        <w:t>ו-7 ישתנו ב-1 במרס של כל שנה (להלן - יום השינוי), לפי שיעור עליית המדד החדש לעומת המדד היסודי.</w:t>
      </w:r>
    </w:p>
    <w:p w:rsidR="00BD6F14" w:rsidRDefault="00BD6F1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סכום שהשתנה כאמור יעוגל לסכום הקרוב שהוא מכפלה של 10 שקלים חדשים.</w:t>
      </w:r>
    </w:p>
    <w:p w:rsidR="00BD6F14" w:rsidRDefault="00BD6F1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המפקח על הבנקים יפרסם ברשומות את הסכומים כפי שהשתנו עקב האמור בסעיפים קטנים (א) </w:t>
      </w:r>
      <w:r>
        <w:rPr>
          <w:rStyle w:val="default"/>
          <w:rFonts w:cs="FrankRuehl"/>
          <w:rtl/>
        </w:rPr>
        <w:t>ו</w:t>
      </w:r>
      <w:r>
        <w:rPr>
          <w:rStyle w:val="default"/>
          <w:rFonts w:cs="FrankRuehl" w:hint="cs"/>
          <w:rtl/>
        </w:rPr>
        <w:t>- (ב).</w:t>
      </w:r>
    </w:p>
    <w:p w:rsidR="00BD6F14" w:rsidRDefault="00BD6F1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בסעיף זה - </w:t>
      </w:r>
    </w:p>
    <w:p w:rsidR="00BD6F14" w:rsidRDefault="00BD6F14">
      <w:pPr>
        <w:pStyle w:val="P00"/>
        <w:spacing w:before="72"/>
        <w:ind w:left="0" w:right="1134"/>
        <w:rPr>
          <w:rtl/>
        </w:rPr>
      </w:pPr>
      <w:r>
        <w:rPr>
          <w:rtl/>
        </w:rPr>
        <w:t>"</w:t>
      </w:r>
      <w:r>
        <w:rPr>
          <w:rFonts w:hint="cs"/>
          <w:rtl/>
        </w:rPr>
        <w:t>המדד החדש" - המדד שפורסם לאחרונה לפני יום השינוי;</w:t>
      </w:r>
    </w:p>
    <w:p w:rsidR="00BD6F14" w:rsidRDefault="00BD6F14">
      <w:pPr>
        <w:pStyle w:val="P00"/>
        <w:spacing w:before="72"/>
        <w:ind w:left="0" w:right="1134"/>
        <w:rPr>
          <w:rtl/>
        </w:rPr>
      </w:pPr>
      <w:r>
        <w:rPr>
          <w:rtl/>
        </w:rPr>
        <w:tab/>
      </w:r>
      <w:r>
        <w:rPr>
          <w:rFonts w:hint="cs"/>
          <w:rtl/>
        </w:rPr>
        <w:t xml:space="preserve">"המדד היסודי" - המדד שפורסם לחודש ינואר 2000. </w:t>
      </w:r>
    </w:p>
    <w:p w:rsidR="00BD6F14" w:rsidRDefault="00BD6F14">
      <w:pPr>
        <w:pStyle w:val="P00"/>
        <w:spacing w:before="72"/>
        <w:ind w:left="0" w:right="1134"/>
        <w:rPr>
          <w:rStyle w:val="default"/>
          <w:rFonts w:cs="FrankRuehl"/>
          <w:rtl/>
        </w:rPr>
      </w:pPr>
      <w:bookmarkStart w:id="8" w:name="Seif8"/>
      <w:bookmarkEnd w:id="8"/>
      <w:r>
        <w:rPr>
          <w:lang w:val="he-IL"/>
        </w:rPr>
        <w:pict>
          <v:rect id="_x0000_s1034" style="position:absolute;left:0;text-align:left;margin-left:464.5pt;margin-top:8.05pt;width:75.05pt;height:10pt;z-index:251660288" o:allowincell="f" filled="f" stroked="f" strokecolor="lime" strokeweight=".25pt">
            <v:textbox style="mso-next-textbox:#_x0000_s1034" inset="0,0,0,0">
              <w:txbxContent>
                <w:p w:rsidR="00BD6F14" w:rsidRDefault="00BD6F14">
                  <w:pPr>
                    <w:spacing w:line="160" w:lineRule="exact"/>
                    <w:jc w:val="left"/>
                    <w:rPr>
                      <w:rFonts w:cs="Miriam"/>
                      <w:noProof/>
                      <w:szCs w:val="18"/>
                      <w:rtl/>
                    </w:rPr>
                  </w:pPr>
                  <w:r>
                    <w:rPr>
                      <w:rFonts w:cs="Miriam"/>
                      <w:szCs w:val="18"/>
                      <w:rtl/>
                    </w:rPr>
                    <w:t>ח</w:t>
                  </w:r>
                  <w:r>
                    <w:rPr>
                      <w:rFonts w:cs="Miriam" w:hint="cs"/>
                      <w:szCs w:val="18"/>
                      <w:rtl/>
                    </w:rPr>
                    <w:t>ישוב מטבעות שונים</w:t>
                  </w:r>
                </w:p>
              </w:txbxContent>
            </v:textbox>
            <w10:anchorlock/>
          </v:rect>
        </w:pict>
      </w:r>
      <w:r>
        <w:rPr>
          <w:rStyle w:val="big-number"/>
          <w:rtl/>
        </w:rPr>
        <w:t>9.</w:t>
      </w:r>
      <w:r>
        <w:rPr>
          <w:rStyle w:val="big-number"/>
          <w:rtl/>
        </w:rPr>
        <w:tab/>
      </w:r>
      <w:r>
        <w:rPr>
          <w:rStyle w:val="default"/>
          <w:rFonts w:cs="FrankRuehl"/>
          <w:rtl/>
        </w:rPr>
        <w:t>ח</w:t>
      </w:r>
      <w:r>
        <w:rPr>
          <w:rStyle w:val="default"/>
          <w:rFonts w:cs="FrankRuehl" w:hint="cs"/>
          <w:rtl/>
        </w:rPr>
        <w:t>ישוב סכומים במטבעות שונים יהיה לפי השער היציג שפרסם בנק ישראל לאותו יום עסקים, ואם לא פורסם באותו יום עסקי</w:t>
      </w:r>
      <w:r>
        <w:rPr>
          <w:rStyle w:val="default"/>
          <w:rFonts w:cs="FrankRuehl"/>
          <w:rtl/>
        </w:rPr>
        <w:t>ם</w:t>
      </w:r>
      <w:r>
        <w:rPr>
          <w:rStyle w:val="default"/>
          <w:rFonts w:cs="FrankRuehl" w:hint="cs"/>
          <w:rtl/>
        </w:rPr>
        <w:t xml:space="preserve"> שער יציג -  לפי השער היציג האחרון הידוע.</w:t>
      </w:r>
    </w:p>
    <w:p w:rsidR="00BD6F14" w:rsidRDefault="00BD6F14">
      <w:pPr>
        <w:pStyle w:val="P00"/>
        <w:spacing w:before="72"/>
        <w:ind w:left="0" w:right="1134"/>
        <w:rPr>
          <w:rStyle w:val="default"/>
          <w:rFonts w:cs="FrankRuehl"/>
          <w:rtl/>
        </w:rPr>
      </w:pPr>
      <w:bookmarkStart w:id="9" w:name="Seif9"/>
      <w:bookmarkEnd w:id="9"/>
      <w:r>
        <w:rPr>
          <w:lang w:val="he-IL"/>
        </w:rPr>
        <w:pict>
          <v:rect id="_x0000_s1035" style="position:absolute;left:0;text-align:left;margin-left:464.5pt;margin-top:8.05pt;width:75.05pt;height:10pt;z-index:251661312" o:allowincell="f" filled="f" stroked="f" strokecolor="lime" strokeweight=".25pt">
            <v:textbox style="mso-next-textbox:#_x0000_s1035" inset="0,0,0,0">
              <w:txbxContent>
                <w:p w:rsidR="00BD6F14" w:rsidRDefault="00BD6F14">
                  <w:pPr>
                    <w:spacing w:line="160" w:lineRule="exact"/>
                    <w:jc w:val="left"/>
                    <w:rPr>
                      <w:rFonts w:cs="Miriam"/>
                      <w:noProof/>
                      <w:szCs w:val="18"/>
                      <w:rtl/>
                    </w:rPr>
                  </w:pPr>
                  <w:r>
                    <w:rPr>
                      <w:rFonts w:cs="Miriam"/>
                      <w:szCs w:val="18"/>
                      <w:rtl/>
                    </w:rPr>
                    <w:t>ב</w:t>
                  </w:r>
                  <w:r>
                    <w:rPr>
                      <w:rFonts w:cs="Miriam" w:hint="cs"/>
                      <w:szCs w:val="18"/>
                      <w:rtl/>
                    </w:rPr>
                    <w:t>י</w:t>
                  </w:r>
                  <w:r>
                    <w:rPr>
                      <w:rFonts w:cs="Miriam"/>
                      <w:szCs w:val="18"/>
                      <w:rtl/>
                    </w:rPr>
                    <w:t>ט</w:t>
                  </w:r>
                  <w:r>
                    <w:rPr>
                      <w:rFonts w:cs="Miriam" w:hint="cs"/>
                      <w:szCs w:val="18"/>
                      <w:rtl/>
                    </w:rPr>
                    <w:t>ול</w:t>
                  </w:r>
                </w:p>
              </w:txbxContent>
            </v:textbox>
            <w10:anchorlock/>
          </v:rect>
        </w:pict>
      </w:r>
      <w:r>
        <w:rPr>
          <w:rStyle w:val="big-number"/>
          <w:rtl/>
        </w:rPr>
        <w:t>10.</w:t>
      </w:r>
      <w:r>
        <w:rPr>
          <w:rStyle w:val="big-number"/>
          <w:rtl/>
        </w:rPr>
        <w:tab/>
      </w:r>
      <w:r>
        <w:rPr>
          <w:rStyle w:val="default"/>
          <w:rFonts w:cs="FrankRuehl"/>
          <w:rtl/>
        </w:rPr>
        <w:t>צ</w:t>
      </w:r>
      <w:r>
        <w:rPr>
          <w:rStyle w:val="default"/>
          <w:rFonts w:cs="FrankRuehl" w:hint="cs"/>
          <w:rtl/>
        </w:rPr>
        <w:t>ו הבנקאות (פיקדונות ללא תנועה), תשמ"ג-1983 (להלן - הצו הקודם) - בטל.</w:t>
      </w:r>
    </w:p>
    <w:p w:rsidR="00BD6F14" w:rsidRDefault="00BD6F14">
      <w:pPr>
        <w:pStyle w:val="P00"/>
        <w:spacing w:before="72"/>
        <w:ind w:left="0" w:right="1134"/>
        <w:rPr>
          <w:rStyle w:val="default"/>
          <w:rFonts w:cs="FrankRuehl"/>
          <w:rtl/>
        </w:rPr>
      </w:pPr>
      <w:bookmarkStart w:id="10" w:name="Seif10"/>
      <w:bookmarkEnd w:id="10"/>
      <w:r>
        <w:rPr>
          <w:lang w:val="he-IL"/>
        </w:rPr>
        <w:pict>
          <v:rect id="_x0000_s1036" style="position:absolute;left:0;text-align:left;margin-left:464.5pt;margin-top:8.05pt;width:75.05pt;height:10pt;z-index:251662336" o:allowincell="f" filled="f" stroked="f" strokecolor="lime" strokeweight=".25pt">
            <v:textbox style="mso-next-textbox:#_x0000_s1036" inset="0,0,0,0">
              <w:txbxContent>
                <w:p w:rsidR="00BD6F14" w:rsidRDefault="00BD6F14">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11.</w:t>
      </w:r>
      <w:r>
        <w:rPr>
          <w:rStyle w:val="big-number"/>
          <w:rtl/>
        </w:rPr>
        <w:tab/>
      </w:r>
      <w:r>
        <w:rPr>
          <w:rStyle w:val="default"/>
          <w:rFonts w:cs="FrankRuehl"/>
          <w:rtl/>
        </w:rPr>
        <w:t>ת</w:t>
      </w:r>
      <w:r>
        <w:rPr>
          <w:rStyle w:val="default"/>
          <w:rFonts w:cs="FrankRuehl" w:hint="cs"/>
          <w:rtl/>
        </w:rPr>
        <w:t xml:space="preserve">חילתו של צו זה ביום כ"ח בסיון תש"ס (1 ביולי 2000). </w:t>
      </w:r>
    </w:p>
    <w:p w:rsidR="00BD6F14" w:rsidRDefault="00BD6F14">
      <w:pPr>
        <w:pStyle w:val="P00"/>
        <w:spacing w:before="72"/>
        <w:ind w:left="0" w:right="1134"/>
        <w:rPr>
          <w:rStyle w:val="default"/>
          <w:rFonts w:cs="FrankRuehl"/>
          <w:rtl/>
        </w:rPr>
      </w:pPr>
      <w:bookmarkStart w:id="11" w:name="Seif11"/>
      <w:bookmarkEnd w:id="11"/>
      <w:r>
        <w:rPr>
          <w:lang w:val="he-IL"/>
        </w:rPr>
        <w:pict>
          <v:rect id="_x0000_s1037" style="position:absolute;left:0;text-align:left;margin-left:464.5pt;margin-top:8.05pt;width:75.05pt;height:10pt;z-index:251663360" o:allowincell="f" filled="f" stroked="f" strokecolor="lime" strokeweight=".25pt">
            <v:textbox style="mso-next-textbox:#_x0000_s1037" inset="0,0,0,0">
              <w:txbxContent>
                <w:p w:rsidR="00BD6F14" w:rsidRDefault="00BD6F14">
                  <w:pPr>
                    <w:spacing w:line="160" w:lineRule="exact"/>
                    <w:jc w:val="left"/>
                    <w:rPr>
                      <w:rFonts w:cs="Miriam"/>
                      <w:noProof/>
                      <w:szCs w:val="18"/>
                      <w:rtl/>
                    </w:rPr>
                  </w:pPr>
                  <w:r>
                    <w:rPr>
                      <w:rFonts w:cs="Miriam"/>
                      <w:szCs w:val="18"/>
                      <w:rtl/>
                    </w:rPr>
                    <w:t>ה</w:t>
                  </w:r>
                  <w:r>
                    <w:rPr>
                      <w:rFonts w:cs="Miriam" w:hint="cs"/>
                      <w:szCs w:val="18"/>
                      <w:rtl/>
                    </w:rPr>
                    <w:t>וראות מעבר</w:t>
                  </w:r>
                </w:p>
              </w:txbxContent>
            </v:textbox>
            <w10:anchorlock/>
          </v:rect>
        </w:pict>
      </w:r>
      <w:r>
        <w:rPr>
          <w:rStyle w:val="big-number"/>
          <w:rtl/>
        </w:rPr>
        <w:t>12.</w:t>
      </w:r>
      <w:r>
        <w:rPr>
          <w:rStyle w:val="big-number"/>
          <w:rtl/>
        </w:rPr>
        <w:tab/>
      </w:r>
      <w:r>
        <w:rPr>
          <w:rStyle w:val="default"/>
          <w:rFonts w:cs="FrankRuehl"/>
          <w:rtl/>
        </w:rPr>
        <w:t>פ</w:t>
      </w:r>
      <w:r>
        <w:rPr>
          <w:rStyle w:val="default"/>
          <w:rFonts w:cs="FrankRuehl" w:hint="cs"/>
          <w:rtl/>
        </w:rPr>
        <w:t>יקדון שהושקע על פ</w:t>
      </w:r>
      <w:r>
        <w:rPr>
          <w:rStyle w:val="default"/>
          <w:rFonts w:cs="FrankRuehl"/>
          <w:rtl/>
        </w:rPr>
        <w:t>י</w:t>
      </w:r>
      <w:r>
        <w:rPr>
          <w:rStyle w:val="default"/>
          <w:rFonts w:cs="FrankRuehl" w:hint="cs"/>
          <w:rtl/>
        </w:rPr>
        <w:t xml:space="preserve"> הוראות הצו הקודם ימשיך להיות מושקע כאמור עד למועד פירעונו.</w:t>
      </w:r>
    </w:p>
    <w:p w:rsidR="00BD6F14" w:rsidRDefault="00BD6F14">
      <w:pPr>
        <w:pStyle w:val="P00"/>
        <w:spacing w:before="72"/>
        <w:ind w:left="0" w:right="1134"/>
        <w:rPr>
          <w:rStyle w:val="default"/>
          <w:rFonts w:cs="FrankRuehl"/>
          <w:rtl/>
        </w:rPr>
      </w:pPr>
    </w:p>
    <w:p w:rsidR="00BD6F14" w:rsidRDefault="00BD6F14">
      <w:pPr>
        <w:pStyle w:val="sig-0"/>
        <w:ind w:left="0" w:right="1134"/>
        <w:rPr>
          <w:rtl/>
        </w:rPr>
      </w:pPr>
      <w:r>
        <w:rPr>
          <w:rtl/>
        </w:rPr>
        <w:t>ז</w:t>
      </w:r>
      <w:r>
        <w:rPr>
          <w:rFonts w:hint="cs"/>
          <w:rtl/>
        </w:rPr>
        <w:t>' באדר ב' תש"ס (14 במרס 2000)</w:t>
      </w:r>
      <w:r>
        <w:rPr>
          <w:rtl/>
        </w:rPr>
        <w:tab/>
      </w:r>
      <w:r>
        <w:rPr>
          <w:rFonts w:hint="cs"/>
          <w:rtl/>
        </w:rPr>
        <w:t>דוד קליין</w:t>
      </w:r>
    </w:p>
    <w:p w:rsidR="00BD6F14" w:rsidRDefault="00BD6F14" w:rsidP="00BD6F14">
      <w:pPr>
        <w:pStyle w:val="sig-1"/>
        <w:widowControl/>
        <w:ind w:left="0" w:right="1134"/>
        <w:rPr>
          <w:rStyle w:val="default"/>
          <w:rFonts w:cs="FrankRuehl"/>
          <w:rtl/>
        </w:rPr>
      </w:pPr>
      <w:r>
        <w:rPr>
          <w:rtl/>
        </w:rPr>
        <w:tab/>
      </w:r>
      <w:r>
        <w:rPr>
          <w:rtl/>
        </w:rPr>
        <w:tab/>
      </w:r>
      <w:r>
        <w:rPr>
          <w:rtl/>
        </w:rPr>
        <w:tab/>
      </w:r>
      <w:r>
        <w:rPr>
          <w:rFonts w:hint="cs"/>
          <w:rtl/>
        </w:rPr>
        <w:t>נגיד בנק ישראל</w:t>
      </w:r>
    </w:p>
    <w:sectPr w:rsidR="00BD6F14">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33D04" w:rsidRDefault="00333D04">
      <w:r>
        <w:separator/>
      </w:r>
    </w:p>
  </w:endnote>
  <w:endnote w:type="continuationSeparator" w:id="0">
    <w:p w:rsidR="00333D04" w:rsidRDefault="00333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6F14" w:rsidRDefault="00BD6F1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D6F14" w:rsidRDefault="00BD6F1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rsidR="00BD6F14" w:rsidRDefault="00BD6F1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C:\Yael\hakika\Revadim\047_036.doc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6F14" w:rsidRDefault="00BD6F1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1453D">
      <w:rPr>
        <w:rFonts w:hAnsi="FrankRuehl" w:cs="FrankRuehl"/>
        <w:noProof/>
        <w:sz w:val="24"/>
        <w:szCs w:val="24"/>
        <w:rtl/>
      </w:rPr>
      <w:t>2</w:t>
    </w:r>
    <w:r>
      <w:rPr>
        <w:rFonts w:hAnsi="FrankRuehl" w:cs="FrankRuehl"/>
        <w:sz w:val="24"/>
        <w:szCs w:val="24"/>
        <w:rtl/>
      </w:rPr>
      <w:fldChar w:fldCharType="end"/>
    </w:r>
  </w:p>
  <w:p w:rsidR="00BD6F14" w:rsidRDefault="00BD6F1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rsidR="00BD6F14" w:rsidRDefault="00BD6F1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C:\Yael\hakika\Revadim\047_036.doc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33D04" w:rsidRDefault="00333D04">
      <w:pPr>
        <w:spacing w:before="60" w:line="240" w:lineRule="auto"/>
        <w:ind w:right="1134"/>
      </w:pPr>
      <w:r>
        <w:separator/>
      </w:r>
    </w:p>
  </w:footnote>
  <w:footnote w:type="continuationSeparator" w:id="0">
    <w:p w:rsidR="00333D04" w:rsidRDefault="00333D04">
      <w:r>
        <w:continuationSeparator/>
      </w:r>
    </w:p>
  </w:footnote>
  <w:footnote w:id="1">
    <w:p w:rsidR="00BD6F14" w:rsidRDefault="00BD6F1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Pr>
            <w:rStyle w:val="Hyperlink"/>
            <w:rFonts w:hint="cs"/>
            <w:sz w:val="20"/>
            <w:rtl/>
          </w:rPr>
          <w:t>ק"ת תש"ס מס' 6026</w:t>
        </w:r>
      </w:hyperlink>
      <w:r>
        <w:rPr>
          <w:rFonts w:hint="cs"/>
          <w:sz w:val="20"/>
          <w:rtl/>
        </w:rPr>
        <w:t xml:space="preserve"> מיום 27.3.2000 עמ' </w:t>
      </w:r>
      <w:r>
        <w:rPr>
          <w:sz w:val="20"/>
          <w:rtl/>
        </w:rPr>
        <w:t>414.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6F14" w:rsidRDefault="00BD6F1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הבנקאות (פיקדונות ללא תנועה), תש"ס- 2000</w:t>
    </w:r>
  </w:p>
  <w:p w:rsidR="00BD6F14" w:rsidRDefault="00BD6F1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D6F14" w:rsidRDefault="00BD6F1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6F14" w:rsidRDefault="00BD6F1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הבנקאות (פיקדונות ללא תנועה), תש"ס-2000</w:t>
    </w:r>
  </w:p>
  <w:p w:rsidR="00BD6F14" w:rsidRDefault="00BD6F1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D6F14" w:rsidRDefault="00BD6F1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6F14"/>
    <w:rsid w:val="000B6449"/>
    <w:rsid w:val="000F289F"/>
    <w:rsid w:val="00333D04"/>
    <w:rsid w:val="005366EC"/>
    <w:rsid w:val="00BD6F14"/>
    <w:rsid w:val="00F1453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15:chartTrackingRefBased/>
  <w15:docId w15:val="{4D92AD86-8818-4DEA-987E-5EF9AC118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02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פרק 47</vt:lpstr>
    </vt:vector>
  </TitlesOfParts>
  <Company/>
  <LinksUpToDate>false</LinksUpToDate>
  <CharactersWithSpaces>5017</CharactersWithSpaces>
  <SharedDoc>false</SharedDoc>
  <HLinks>
    <vt:vector size="78" baseType="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8192014</vt:i4>
      </vt:variant>
      <vt:variant>
        <vt:i4>0</vt:i4>
      </vt:variant>
      <vt:variant>
        <vt:i4>0</vt:i4>
      </vt:variant>
      <vt:variant>
        <vt:i4>5</vt:i4>
      </vt:variant>
      <vt:variant>
        <vt:lpwstr>http://www.nevo.co.il/Law_word/law06/TAK-6026.pdf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47</dc:title>
  <dc:subject/>
  <dc:creator>tali</dc:creator>
  <cp:keywords/>
  <dc:description/>
  <cp:lastModifiedBy>Shimon Doodkin</cp:lastModifiedBy>
  <cp:revision>2</cp:revision>
  <dcterms:created xsi:type="dcterms:W3CDTF">2023-06-05T19:15:00Z</dcterms:created>
  <dcterms:modified xsi:type="dcterms:W3CDTF">2023-06-05T19:15:00Z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0047</vt:lpwstr>
  </property>
  <property fmtid="{D5CDD505-2E9C-101B-9397-08002B2CF9AE}" pid="3" name="CHNAME">
    <vt:lpwstr>בנקאות</vt:lpwstr>
  </property>
  <property fmtid="{D5CDD505-2E9C-101B-9397-08002B2CF9AE}" pid="4" name="LAWNAME">
    <vt:lpwstr>צו הבנקאות (פיקדונות ללא תנועה), תש"ס-2000</vt:lpwstr>
  </property>
  <property fmtid="{D5CDD505-2E9C-101B-9397-08002B2CF9AE}" pid="5" name="LAWNUMBER">
    <vt:lpwstr>0036</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כספים</vt:lpwstr>
  </property>
  <property fmtid="{D5CDD505-2E9C-101B-9397-08002B2CF9AE}" pid="9" name="NOSE31">
    <vt:lpwstr>בנקאות</vt:lpwstr>
  </property>
  <property fmtid="{D5CDD505-2E9C-101B-9397-08002B2CF9AE}" pid="10" name="NOSE41">
    <vt:lpwstr>פקדונות</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הבנקאות</vt:lpwstr>
  </property>
  <property fmtid="{D5CDD505-2E9C-101B-9397-08002B2CF9AE}" pid="48" name="MEKOR_SAIF1">
    <vt:lpwstr>13בX</vt:lpwstr>
  </property>
</Properties>
</file>