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ABF79" w14:textId="77777777" w:rsidR="00034DB4" w:rsidRDefault="00034DB4">
      <w:pPr>
        <w:pStyle w:val="big-header"/>
        <w:ind w:left="0" w:right="1134"/>
      </w:pPr>
      <w:r>
        <w:rPr>
          <w:rtl/>
        </w:rPr>
        <w:t xml:space="preserve">צו הבנקאות (שיעורי ערבויות להבטחת אשראי של בנקים מסויימים), </w:t>
      </w:r>
      <w:r>
        <w:rPr>
          <w:rFonts w:hint="cs"/>
          <w:rtl/>
        </w:rPr>
        <w:br/>
      </w:r>
      <w:r>
        <w:rPr>
          <w:rtl/>
        </w:rPr>
        <w:t>תשכ"ח-1968</w:t>
      </w:r>
    </w:p>
    <w:p w14:paraId="54906DA2" w14:textId="77777777" w:rsidR="00FB6520" w:rsidRPr="00FB6520" w:rsidRDefault="00FB6520" w:rsidP="00FB6520">
      <w:pPr>
        <w:spacing w:line="320" w:lineRule="auto"/>
        <w:jc w:val="left"/>
        <w:rPr>
          <w:rFonts w:cs="FrankRuehl"/>
          <w:szCs w:val="26"/>
          <w:rtl/>
        </w:rPr>
      </w:pPr>
    </w:p>
    <w:p w14:paraId="43CAB02D" w14:textId="77777777" w:rsidR="00FB6520" w:rsidRDefault="00FB6520" w:rsidP="00FB6520">
      <w:pPr>
        <w:spacing w:line="320" w:lineRule="auto"/>
        <w:jc w:val="left"/>
        <w:rPr>
          <w:rtl/>
        </w:rPr>
      </w:pPr>
    </w:p>
    <w:p w14:paraId="51D57D65" w14:textId="77777777" w:rsidR="00FB6520" w:rsidRPr="00FB6520" w:rsidRDefault="00FB6520" w:rsidP="00FB6520">
      <w:pPr>
        <w:spacing w:line="320" w:lineRule="auto"/>
        <w:jc w:val="left"/>
        <w:rPr>
          <w:rFonts w:cs="Miriam"/>
          <w:szCs w:val="22"/>
          <w:rtl/>
        </w:rPr>
      </w:pPr>
      <w:r w:rsidRPr="00FB6520">
        <w:rPr>
          <w:rFonts w:cs="Miriam"/>
          <w:szCs w:val="22"/>
          <w:rtl/>
        </w:rPr>
        <w:t>משפט פרטי וכלכלה</w:t>
      </w:r>
      <w:r w:rsidRPr="00FB6520">
        <w:rPr>
          <w:rFonts w:cs="FrankRuehl"/>
          <w:szCs w:val="26"/>
          <w:rtl/>
        </w:rPr>
        <w:t xml:space="preserve"> – כספים – בנקאות</w:t>
      </w:r>
    </w:p>
    <w:p w14:paraId="06387DBC" w14:textId="77777777" w:rsidR="00034DB4" w:rsidRDefault="00034DB4">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34DB4" w14:paraId="6D983EB0" w14:textId="77777777">
        <w:tblPrEx>
          <w:tblCellMar>
            <w:top w:w="0" w:type="dxa"/>
            <w:bottom w:w="0" w:type="dxa"/>
          </w:tblCellMar>
        </w:tblPrEx>
        <w:tc>
          <w:tcPr>
            <w:tcW w:w="850" w:type="dxa"/>
          </w:tcPr>
          <w:p w14:paraId="403C5A4E" w14:textId="77777777" w:rsidR="00034DB4" w:rsidRDefault="00034DB4">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6614756" w14:textId="77777777" w:rsidR="00034DB4" w:rsidRDefault="00034DB4">
            <w:pPr>
              <w:spacing w:line="240" w:lineRule="auto"/>
              <w:rPr>
                <w:sz w:val="24"/>
              </w:rPr>
            </w:pPr>
            <w:hyperlink w:anchor="Seif0" w:tooltip="היקף הערבויות של בנקים מסויימים" w:history="1">
              <w:r>
                <w:rPr>
                  <w:rStyle w:val="Hyperlink"/>
                </w:rPr>
                <w:t>Go</w:t>
              </w:r>
            </w:hyperlink>
          </w:p>
        </w:tc>
        <w:tc>
          <w:tcPr>
            <w:tcW w:w="5669" w:type="dxa"/>
          </w:tcPr>
          <w:p w14:paraId="3CFAA8C0" w14:textId="77777777" w:rsidR="00034DB4" w:rsidRDefault="00034DB4">
            <w:pPr>
              <w:spacing w:line="240" w:lineRule="auto"/>
              <w:rPr>
                <w:sz w:val="24"/>
                <w:rtl/>
              </w:rPr>
            </w:pPr>
            <w:r>
              <w:rPr>
                <w:sz w:val="24"/>
                <w:rtl/>
              </w:rPr>
              <w:t>היקף הערבויות של בנקים מסויימים</w:t>
            </w:r>
          </w:p>
        </w:tc>
        <w:tc>
          <w:tcPr>
            <w:tcW w:w="1247" w:type="dxa"/>
          </w:tcPr>
          <w:p w14:paraId="7728A6E9" w14:textId="77777777" w:rsidR="00034DB4" w:rsidRDefault="00034DB4">
            <w:pPr>
              <w:spacing w:line="240" w:lineRule="auto"/>
              <w:rPr>
                <w:sz w:val="24"/>
              </w:rPr>
            </w:pPr>
            <w:r>
              <w:rPr>
                <w:sz w:val="24"/>
                <w:rtl/>
              </w:rPr>
              <w:t xml:space="preserve">סעיף 1 </w:t>
            </w:r>
          </w:p>
        </w:tc>
      </w:tr>
      <w:tr w:rsidR="00034DB4" w14:paraId="729B7C2C" w14:textId="77777777">
        <w:tblPrEx>
          <w:tblCellMar>
            <w:top w:w="0" w:type="dxa"/>
            <w:bottom w:w="0" w:type="dxa"/>
          </w:tblCellMar>
        </w:tblPrEx>
        <w:tc>
          <w:tcPr>
            <w:tcW w:w="850" w:type="dxa"/>
          </w:tcPr>
          <w:p w14:paraId="04A9E47F" w14:textId="77777777" w:rsidR="00034DB4" w:rsidRDefault="00034DB4">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4AF87AD" w14:textId="77777777" w:rsidR="00034DB4" w:rsidRDefault="00034DB4">
            <w:pPr>
              <w:spacing w:line="240" w:lineRule="auto"/>
              <w:rPr>
                <w:sz w:val="24"/>
              </w:rPr>
            </w:pPr>
            <w:hyperlink w:anchor="Seif1" w:tooltip="תחילה" w:history="1">
              <w:r>
                <w:rPr>
                  <w:rStyle w:val="Hyperlink"/>
                </w:rPr>
                <w:t>Go</w:t>
              </w:r>
            </w:hyperlink>
          </w:p>
        </w:tc>
        <w:tc>
          <w:tcPr>
            <w:tcW w:w="5669" w:type="dxa"/>
          </w:tcPr>
          <w:p w14:paraId="5CF4996A" w14:textId="77777777" w:rsidR="00034DB4" w:rsidRDefault="00034DB4">
            <w:pPr>
              <w:spacing w:line="240" w:lineRule="auto"/>
              <w:rPr>
                <w:sz w:val="24"/>
                <w:rtl/>
              </w:rPr>
            </w:pPr>
            <w:r>
              <w:rPr>
                <w:sz w:val="24"/>
                <w:rtl/>
              </w:rPr>
              <w:t>תחילה</w:t>
            </w:r>
          </w:p>
        </w:tc>
        <w:tc>
          <w:tcPr>
            <w:tcW w:w="1247" w:type="dxa"/>
          </w:tcPr>
          <w:p w14:paraId="2EAE5FBC" w14:textId="77777777" w:rsidR="00034DB4" w:rsidRDefault="00034DB4">
            <w:pPr>
              <w:spacing w:line="240" w:lineRule="auto"/>
              <w:rPr>
                <w:sz w:val="24"/>
              </w:rPr>
            </w:pPr>
            <w:r>
              <w:rPr>
                <w:sz w:val="24"/>
                <w:rtl/>
              </w:rPr>
              <w:t xml:space="preserve">סעיף 2 </w:t>
            </w:r>
          </w:p>
        </w:tc>
      </w:tr>
      <w:tr w:rsidR="00034DB4" w14:paraId="5F0AB7CB" w14:textId="77777777">
        <w:tblPrEx>
          <w:tblCellMar>
            <w:top w:w="0" w:type="dxa"/>
            <w:bottom w:w="0" w:type="dxa"/>
          </w:tblCellMar>
        </w:tblPrEx>
        <w:tc>
          <w:tcPr>
            <w:tcW w:w="850" w:type="dxa"/>
          </w:tcPr>
          <w:p w14:paraId="51F78BC2" w14:textId="77777777" w:rsidR="00034DB4" w:rsidRDefault="00034DB4">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0B98159" w14:textId="77777777" w:rsidR="00034DB4" w:rsidRDefault="00034DB4">
            <w:pPr>
              <w:spacing w:line="240" w:lineRule="auto"/>
              <w:rPr>
                <w:sz w:val="24"/>
              </w:rPr>
            </w:pPr>
            <w:hyperlink w:anchor="Seif2" w:tooltip="השם" w:history="1">
              <w:r>
                <w:rPr>
                  <w:rStyle w:val="Hyperlink"/>
                </w:rPr>
                <w:t>Go</w:t>
              </w:r>
            </w:hyperlink>
          </w:p>
        </w:tc>
        <w:tc>
          <w:tcPr>
            <w:tcW w:w="5669" w:type="dxa"/>
          </w:tcPr>
          <w:p w14:paraId="07A3EE14" w14:textId="77777777" w:rsidR="00034DB4" w:rsidRDefault="00034DB4">
            <w:pPr>
              <w:spacing w:line="240" w:lineRule="auto"/>
              <w:rPr>
                <w:sz w:val="24"/>
                <w:rtl/>
              </w:rPr>
            </w:pPr>
            <w:r>
              <w:rPr>
                <w:sz w:val="24"/>
                <w:rtl/>
              </w:rPr>
              <w:t>השם</w:t>
            </w:r>
          </w:p>
        </w:tc>
        <w:tc>
          <w:tcPr>
            <w:tcW w:w="1247" w:type="dxa"/>
          </w:tcPr>
          <w:p w14:paraId="36F13854" w14:textId="77777777" w:rsidR="00034DB4" w:rsidRDefault="00034DB4">
            <w:pPr>
              <w:spacing w:line="240" w:lineRule="auto"/>
              <w:rPr>
                <w:sz w:val="24"/>
              </w:rPr>
            </w:pPr>
            <w:r>
              <w:rPr>
                <w:sz w:val="24"/>
                <w:rtl/>
              </w:rPr>
              <w:t xml:space="preserve">סעיף 3 </w:t>
            </w:r>
          </w:p>
        </w:tc>
      </w:tr>
    </w:tbl>
    <w:p w14:paraId="3939D950" w14:textId="77777777" w:rsidR="00034DB4" w:rsidRDefault="00034DB4">
      <w:pPr>
        <w:pStyle w:val="big-header"/>
        <w:ind w:left="0" w:right="1134"/>
        <w:rPr>
          <w:rtl/>
        </w:rPr>
      </w:pPr>
    </w:p>
    <w:p w14:paraId="7B52A17C" w14:textId="77777777" w:rsidR="00034DB4" w:rsidRDefault="00034DB4">
      <w:pPr>
        <w:pStyle w:val="big-header"/>
        <w:ind w:left="0" w:right="1134"/>
        <w:rPr>
          <w:rtl/>
        </w:rPr>
      </w:pPr>
      <w:r>
        <w:rPr>
          <w:rtl/>
        </w:rPr>
        <w:br w:type="page"/>
      </w:r>
      <w:r>
        <w:rPr>
          <w:rtl/>
        </w:rPr>
        <w:lastRenderedPageBreak/>
        <w:t>ב</w:t>
      </w:r>
      <w:r>
        <w:rPr>
          <w:rFonts w:hint="cs"/>
          <w:rtl/>
        </w:rPr>
        <w:t>נקאות</w:t>
      </w:r>
    </w:p>
    <w:p w14:paraId="2C0A0091" w14:textId="77777777" w:rsidR="00034DB4" w:rsidRDefault="00034DB4">
      <w:pPr>
        <w:ind w:right="1134"/>
        <w:rPr>
          <w:rtl/>
        </w:rPr>
      </w:pPr>
      <w:bookmarkStart w:id="0" w:name="LawPartStart"/>
    </w:p>
    <w:bookmarkEnd w:id="0"/>
    <w:p w14:paraId="16C49185" w14:textId="77777777" w:rsidR="00034DB4" w:rsidRDefault="00034DB4">
      <w:pPr>
        <w:pStyle w:val="big-header"/>
        <w:ind w:left="0" w:right="1134"/>
        <w:rPr>
          <w:rStyle w:val="default"/>
          <w:rFonts w:cs="FrankRuehl" w:hint="cs"/>
          <w:rtl/>
        </w:rPr>
      </w:pPr>
      <w:r>
        <w:rPr>
          <w:rtl/>
        </w:rPr>
        <w:t>צ</w:t>
      </w:r>
      <w:r>
        <w:rPr>
          <w:rFonts w:hint="cs"/>
          <w:rtl/>
        </w:rPr>
        <w:t xml:space="preserve">ו הבנקאות (שיעורי ערבויות להבטחת אשראי של בנקים מסויימים), </w:t>
      </w:r>
      <w:r>
        <w:rPr>
          <w:rtl/>
        </w:rPr>
        <w:br/>
      </w:r>
      <w:r>
        <w:rPr>
          <w:rFonts w:hint="cs"/>
          <w:rtl/>
        </w:rPr>
        <w:t>תשכ"ח</w:t>
      </w:r>
      <w:r>
        <w:rPr>
          <w:rtl/>
        </w:rPr>
        <w:t>-1968</w:t>
      </w:r>
      <w:r>
        <w:rPr>
          <w:rStyle w:val="default"/>
          <w:rtl/>
        </w:rPr>
        <w:footnoteReference w:customMarkFollows="1" w:id="1"/>
        <w:t>*</w:t>
      </w:r>
    </w:p>
    <w:p w14:paraId="0E0F62CD" w14:textId="77777777" w:rsidR="00034DB4" w:rsidRDefault="00034DB4">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הסמכות לפי סעיף 14א לפקודת הבנקאות, 1941, שהועברה אלי על ידי הממשלה ולאחר התיעצות עם הועדה, אני קובע לאמור: </w:t>
      </w:r>
    </w:p>
    <w:p w14:paraId="7F4E10E2" w14:textId="77777777" w:rsidR="00034DB4" w:rsidRDefault="00034DB4">
      <w:pPr>
        <w:pStyle w:val="P00"/>
        <w:spacing w:before="72"/>
        <w:ind w:left="0" w:right="1134"/>
        <w:rPr>
          <w:rStyle w:val="default"/>
          <w:rFonts w:cs="FrankRuehl"/>
          <w:rtl/>
        </w:rPr>
      </w:pPr>
      <w:bookmarkStart w:id="1" w:name="Seif0"/>
      <w:bookmarkEnd w:id="1"/>
      <w:r>
        <w:rPr>
          <w:lang w:val="he-IL"/>
        </w:rPr>
        <w:pict w14:anchorId="50FD77CA">
          <v:rect id="_x0000_s1026" style="position:absolute;left:0;text-align:left;margin-left:464.5pt;margin-top:8.05pt;width:75.05pt;height:24.7pt;z-index:251656704" o:allowincell="f" filled="f" stroked="f" strokecolor="lime" strokeweight=".25pt">
            <v:textbox style="mso-next-textbox:#_x0000_s1026" inset="0,0,0,0">
              <w:txbxContent>
                <w:p w14:paraId="336FB2E1" w14:textId="77777777" w:rsidR="00034DB4" w:rsidRDefault="00034DB4">
                  <w:pPr>
                    <w:spacing w:line="160" w:lineRule="exact"/>
                    <w:jc w:val="left"/>
                    <w:rPr>
                      <w:rFonts w:cs="Miriam"/>
                      <w:noProof/>
                      <w:szCs w:val="18"/>
                      <w:rtl/>
                    </w:rPr>
                  </w:pPr>
                  <w:r>
                    <w:rPr>
                      <w:rFonts w:cs="Miriam"/>
                      <w:szCs w:val="18"/>
                      <w:rtl/>
                    </w:rPr>
                    <w:t>ה</w:t>
                  </w:r>
                  <w:r>
                    <w:rPr>
                      <w:rFonts w:cs="Miriam" w:hint="cs"/>
                      <w:szCs w:val="18"/>
                      <w:rtl/>
                    </w:rPr>
                    <w:t xml:space="preserve">יקף הערבויות </w:t>
                  </w:r>
                  <w:r>
                    <w:rPr>
                      <w:rFonts w:cs="Miriam"/>
                      <w:szCs w:val="18"/>
                      <w:rtl/>
                    </w:rPr>
                    <w:t>ש</w:t>
                  </w:r>
                  <w:r>
                    <w:rPr>
                      <w:rFonts w:cs="Miriam" w:hint="cs"/>
                      <w:szCs w:val="18"/>
                      <w:rtl/>
                    </w:rPr>
                    <w:t xml:space="preserve">ל בנקים </w:t>
                  </w:r>
                  <w:r>
                    <w:rPr>
                      <w:rFonts w:cs="Miriam"/>
                      <w:szCs w:val="18"/>
                      <w:rtl/>
                    </w:rPr>
                    <w:t>מ</w:t>
                  </w:r>
                  <w:r>
                    <w:rPr>
                      <w:rFonts w:cs="Miriam" w:hint="cs"/>
                      <w:szCs w:val="18"/>
                      <w:rtl/>
                    </w:rPr>
                    <w:t>סויימים</w:t>
                  </w:r>
                </w:p>
              </w:txbxContent>
            </v:textbox>
            <w10:anchorlock/>
          </v:rect>
        </w:pict>
      </w:r>
      <w:r>
        <w:rPr>
          <w:rStyle w:val="big-number"/>
          <w:rtl/>
        </w:rPr>
        <w:t>1.</w:t>
      </w:r>
      <w:r>
        <w:rPr>
          <w:rStyle w:val="big-number"/>
          <w:rtl/>
        </w:rPr>
        <w:tab/>
      </w:r>
      <w:r>
        <w:rPr>
          <w:rStyle w:val="default"/>
          <w:rFonts w:cs="FrankRuehl"/>
          <w:rtl/>
        </w:rPr>
        <w:t>ע</w:t>
      </w:r>
      <w:r>
        <w:rPr>
          <w:rStyle w:val="default"/>
          <w:rFonts w:cs="FrankRuehl" w:hint="cs"/>
          <w:rtl/>
        </w:rPr>
        <w:t>ל אף האמור בצו הבנקאות (שיעורי ערבויות להבטחת אשראי), תשכ"ה-1965, ערבויות להבטחת אשראי שני</w:t>
      </w:r>
      <w:r>
        <w:rPr>
          <w:rStyle w:val="default"/>
          <w:rFonts w:cs="FrankRuehl"/>
          <w:rtl/>
        </w:rPr>
        <w:t>ת</w:t>
      </w:r>
      <w:r>
        <w:rPr>
          <w:rStyle w:val="default"/>
          <w:rFonts w:cs="FrankRuehl" w:hint="cs"/>
          <w:rtl/>
        </w:rPr>
        <w:t xml:space="preserve">נו על ידי בנק אלרן בע"מ, בנק י.ל. פויכטונגר בע"מ ובנק קרדיט לישראל בע"מ, כל עוד הם מנוהלים על ידי הנהלה שנתמנתה על ידי בנק ישראל או בהסכמתו, לא יעלו על הסכום שהיה קיים ביום האחרון בחודש שקדם למינוי ההנהלה בכל אחד מהמוסדות האמורים, לפי הענין. </w:t>
      </w:r>
    </w:p>
    <w:p w14:paraId="70EABA11" w14:textId="77777777" w:rsidR="00034DB4" w:rsidRDefault="00034DB4">
      <w:pPr>
        <w:pStyle w:val="P00"/>
        <w:spacing w:before="72"/>
        <w:ind w:left="0" w:right="1134"/>
        <w:rPr>
          <w:rStyle w:val="default"/>
          <w:rFonts w:cs="FrankRuehl"/>
          <w:rtl/>
        </w:rPr>
      </w:pPr>
      <w:bookmarkStart w:id="2" w:name="Seif1"/>
      <w:bookmarkEnd w:id="2"/>
      <w:r>
        <w:rPr>
          <w:lang w:val="he-IL"/>
        </w:rPr>
        <w:pict w14:anchorId="26E96A68">
          <v:rect id="_x0000_s1027" style="position:absolute;left:0;text-align:left;margin-left:464.5pt;margin-top:8.05pt;width:75.05pt;height:10pt;z-index:251657728" o:allowincell="f" filled="f" stroked="f" strokecolor="lime" strokeweight=".25pt">
            <v:textbox style="mso-next-textbox:#_x0000_s1027" inset="0,0,0,0">
              <w:txbxContent>
                <w:p w14:paraId="0AB379D2" w14:textId="77777777" w:rsidR="00034DB4" w:rsidRDefault="00034DB4">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2.</w:t>
      </w:r>
      <w:r>
        <w:rPr>
          <w:rStyle w:val="big-number"/>
          <w:rtl/>
        </w:rPr>
        <w:tab/>
      </w:r>
      <w:r>
        <w:rPr>
          <w:rStyle w:val="default"/>
          <w:rFonts w:cs="FrankRuehl"/>
          <w:rtl/>
        </w:rPr>
        <w:t>ת</w:t>
      </w:r>
      <w:r>
        <w:rPr>
          <w:rStyle w:val="default"/>
          <w:rFonts w:cs="FrankRuehl" w:hint="cs"/>
          <w:rtl/>
        </w:rPr>
        <w:t xml:space="preserve">חילתו של צו זה היא ביום שנתמנתה לראשונה ההנהלה כאמור בסעיף 1. </w:t>
      </w:r>
    </w:p>
    <w:p w14:paraId="77F103B3" w14:textId="77777777" w:rsidR="00034DB4" w:rsidRDefault="00034DB4">
      <w:pPr>
        <w:pStyle w:val="P00"/>
        <w:spacing w:before="72"/>
        <w:ind w:left="0" w:right="1134"/>
        <w:rPr>
          <w:rStyle w:val="default"/>
          <w:rFonts w:cs="FrankRuehl"/>
          <w:rtl/>
        </w:rPr>
      </w:pPr>
      <w:bookmarkStart w:id="3" w:name="Seif2"/>
      <w:bookmarkEnd w:id="3"/>
      <w:r>
        <w:rPr>
          <w:lang w:val="he-IL"/>
        </w:rPr>
        <w:pict w14:anchorId="63A3F271">
          <v:rect id="_x0000_s1028" style="position:absolute;left:0;text-align:left;margin-left:464.5pt;margin-top:8.05pt;width:75.05pt;height:10pt;z-index:251658752" o:allowincell="f" filled="f" stroked="f" strokecolor="lime" strokeweight=".25pt">
            <v:textbox style="mso-next-textbox:#_x0000_s1028" inset="0,0,0,0">
              <w:txbxContent>
                <w:p w14:paraId="396073A6" w14:textId="77777777" w:rsidR="00034DB4" w:rsidRDefault="00034DB4">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צו זה ייקרא "צו הבנקאות (שיעורי ערבויות להבטחת אשראי של בנקים מסויימים), תשכ"ח-1968".</w:t>
      </w:r>
    </w:p>
    <w:p w14:paraId="7427EF06" w14:textId="77777777" w:rsidR="00034DB4" w:rsidRDefault="00034DB4">
      <w:pPr>
        <w:pStyle w:val="P00"/>
        <w:spacing w:before="72"/>
        <w:ind w:left="0" w:right="1134"/>
        <w:rPr>
          <w:rStyle w:val="default"/>
          <w:rFonts w:cs="FrankRuehl"/>
          <w:rtl/>
        </w:rPr>
      </w:pPr>
    </w:p>
    <w:p w14:paraId="3B09A2E7" w14:textId="77777777" w:rsidR="00034DB4" w:rsidRDefault="00034DB4">
      <w:pPr>
        <w:pStyle w:val="sig-0"/>
        <w:ind w:left="0" w:right="1134"/>
        <w:rPr>
          <w:rtl/>
        </w:rPr>
      </w:pPr>
      <w:r>
        <w:rPr>
          <w:rtl/>
        </w:rPr>
        <w:t>ל</w:t>
      </w:r>
      <w:r>
        <w:rPr>
          <w:rFonts w:hint="cs"/>
          <w:rtl/>
        </w:rPr>
        <w:t>' בכסלו תשכ"ח (1 בינואר 1968)</w:t>
      </w:r>
      <w:r>
        <w:rPr>
          <w:rtl/>
        </w:rPr>
        <w:tab/>
      </w:r>
      <w:r>
        <w:rPr>
          <w:rFonts w:hint="cs"/>
          <w:rtl/>
        </w:rPr>
        <w:t>ד' הורוביץ</w:t>
      </w:r>
    </w:p>
    <w:p w14:paraId="7BBB5D25" w14:textId="77777777" w:rsidR="00034DB4" w:rsidRDefault="00034DB4">
      <w:pPr>
        <w:pStyle w:val="sig-1"/>
        <w:widowControl/>
        <w:ind w:left="0" w:right="1134"/>
        <w:rPr>
          <w:rFonts w:hint="cs"/>
          <w:rtl/>
        </w:rPr>
      </w:pPr>
      <w:r>
        <w:rPr>
          <w:rtl/>
        </w:rPr>
        <w:tab/>
      </w:r>
      <w:r>
        <w:rPr>
          <w:rtl/>
        </w:rPr>
        <w:tab/>
      </w:r>
      <w:r>
        <w:rPr>
          <w:rtl/>
        </w:rPr>
        <w:tab/>
      </w:r>
      <w:r>
        <w:rPr>
          <w:rFonts w:hint="cs"/>
          <w:rtl/>
        </w:rPr>
        <w:t>נגיד בנק ישראל</w:t>
      </w:r>
    </w:p>
    <w:p w14:paraId="5DF13D7D" w14:textId="77777777" w:rsidR="00034DB4" w:rsidRDefault="00034DB4">
      <w:pPr>
        <w:pStyle w:val="P00"/>
        <w:spacing w:before="72"/>
        <w:ind w:left="0" w:right="1134"/>
        <w:rPr>
          <w:rStyle w:val="default"/>
          <w:rFonts w:cs="FrankRuehl" w:hint="cs"/>
          <w:rtl/>
        </w:rPr>
      </w:pPr>
    </w:p>
    <w:p w14:paraId="0AD0D7BA" w14:textId="77777777" w:rsidR="00034DB4" w:rsidRDefault="00034DB4">
      <w:pPr>
        <w:pStyle w:val="P00"/>
        <w:spacing w:before="72"/>
        <w:ind w:left="0" w:right="1134"/>
        <w:rPr>
          <w:rStyle w:val="default"/>
          <w:rFonts w:cs="FrankRuehl"/>
          <w:rtl/>
        </w:rPr>
      </w:pPr>
    </w:p>
    <w:p w14:paraId="08F0C2F4" w14:textId="77777777" w:rsidR="00034DB4" w:rsidRDefault="00034DB4">
      <w:pPr>
        <w:pStyle w:val="P00"/>
        <w:spacing w:before="72"/>
        <w:ind w:left="0" w:right="1134"/>
        <w:rPr>
          <w:rStyle w:val="default"/>
          <w:rFonts w:cs="FrankRuehl"/>
          <w:rtl/>
        </w:rPr>
      </w:pPr>
      <w:bookmarkStart w:id="4" w:name="LawPartEnd"/>
    </w:p>
    <w:bookmarkEnd w:id="4"/>
    <w:p w14:paraId="1773CFF4" w14:textId="77777777" w:rsidR="00034DB4" w:rsidRDefault="00034DB4">
      <w:pPr>
        <w:pStyle w:val="P00"/>
        <w:spacing w:before="72"/>
        <w:ind w:left="0" w:right="1134"/>
        <w:rPr>
          <w:rStyle w:val="default"/>
          <w:rFonts w:cs="FrankRuehl"/>
          <w:rtl/>
        </w:rPr>
      </w:pPr>
    </w:p>
    <w:sectPr w:rsidR="00034DB4">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A492D" w14:textId="77777777" w:rsidR="001E1270" w:rsidRDefault="001E1270">
      <w:r>
        <w:separator/>
      </w:r>
    </w:p>
  </w:endnote>
  <w:endnote w:type="continuationSeparator" w:id="0">
    <w:p w14:paraId="1E1F7E9B" w14:textId="77777777" w:rsidR="001E1270" w:rsidRDefault="001E1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CBF1F" w14:textId="77777777" w:rsidR="00034DB4" w:rsidRDefault="00034DB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BFCE6BF" w14:textId="77777777" w:rsidR="00034DB4" w:rsidRDefault="00034DB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02D0919" w14:textId="77777777" w:rsidR="00034DB4" w:rsidRDefault="00034DB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C:\Yael\hakika\Revadim\047_008.doc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B62C0" w14:textId="77777777" w:rsidR="00034DB4" w:rsidRDefault="00034DB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B6520">
      <w:rPr>
        <w:rFonts w:hAnsi="FrankRuehl" w:cs="FrankRuehl"/>
        <w:noProof/>
        <w:sz w:val="24"/>
        <w:szCs w:val="24"/>
        <w:rtl/>
      </w:rPr>
      <w:t>1</w:t>
    </w:r>
    <w:r>
      <w:rPr>
        <w:rFonts w:hAnsi="FrankRuehl" w:cs="FrankRuehl"/>
        <w:sz w:val="24"/>
        <w:szCs w:val="24"/>
        <w:rtl/>
      </w:rPr>
      <w:fldChar w:fldCharType="end"/>
    </w:r>
  </w:p>
  <w:p w14:paraId="33F864AD" w14:textId="77777777" w:rsidR="00034DB4" w:rsidRDefault="00034DB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B3AFD50" w14:textId="77777777" w:rsidR="00034DB4" w:rsidRDefault="00034DB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C:\Yael\hakika\Revadim\047_008.doc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8D103" w14:textId="77777777" w:rsidR="001E1270" w:rsidRDefault="001E1270">
      <w:pPr>
        <w:spacing w:before="60" w:line="240" w:lineRule="auto"/>
        <w:ind w:right="1134"/>
      </w:pPr>
      <w:r>
        <w:separator/>
      </w:r>
    </w:p>
  </w:footnote>
  <w:footnote w:type="continuationSeparator" w:id="0">
    <w:p w14:paraId="1B799DF0" w14:textId="77777777" w:rsidR="001E1270" w:rsidRDefault="001E1270">
      <w:r>
        <w:continuationSeparator/>
      </w:r>
    </w:p>
  </w:footnote>
  <w:footnote w:id="1">
    <w:p w14:paraId="7D63718D" w14:textId="77777777" w:rsidR="00034DB4" w:rsidRDefault="00034DB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ק"ת תשכ"ח מ</w:t>
        </w:r>
        <w:r>
          <w:rPr>
            <w:rStyle w:val="Hyperlink"/>
            <w:rFonts w:hint="cs"/>
            <w:sz w:val="20"/>
            <w:rtl/>
          </w:rPr>
          <w:t>ס</w:t>
        </w:r>
        <w:r>
          <w:rPr>
            <w:rStyle w:val="Hyperlink"/>
            <w:rFonts w:hint="cs"/>
            <w:sz w:val="20"/>
            <w:rtl/>
          </w:rPr>
          <w:t>' 21</w:t>
        </w:r>
        <w:r>
          <w:rPr>
            <w:rStyle w:val="Hyperlink"/>
            <w:sz w:val="20"/>
            <w:rtl/>
          </w:rPr>
          <w:t>73</w:t>
        </w:r>
      </w:hyperlink>
      <w:r>
        <w:rPr>
          <w:sz w:val="20"/>
          <w:rtl/>
        </w:rPr>
        <w:t xml:space="preserve"> </w:t>
      </w:r>
      <w:r>
        <w:rPr>
          <w:rFonts w:hint="cs"/>
          <w:sz w:val="20"/>
          <w:rtl/>
        </w:rPr>
        <w:t>מיום 19.1.1968 עמ' 703.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8808B" w14:textId="77777777" w:rsidR="00034DB4" w:rsidRDefault="00034DB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הבנקאות (שיעורי ערבויות להבטחת אשראי של בנקים מסויימים), תשכ"ח- 1968</w:t>
    </w:r>
  </w:p>
  <w:p w14:paraId="27D8251F" w14:textId="77777777" w:rsidR="00034DB4" w:rsidRDefault="00034DB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A14DAD3" w14:textId="77777777" w:rsidR="00034DB4" w:rsidRDefault="00034DB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0CA57" w14:textId="77777777" w:rsidR="00034DB4" w:rsidRDefault="00034DB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הבנקאות (שיעורי ערבויות להבטחת אשראי של בנקים מסויימים), תשכ"ח-1968</w:t>
    </w:r>
  </w:p>
  <w:p w14:paraId="78EF4298" w14:textId="77777777" w:rsidR="00034DB4" w:rsidRDefault="00034DB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DDABD01" w14:textId="77777777" w:rsidR="00034DB4" w:rsidRDefault="00034DB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4DB4"/>
    <w:rsid w:val="00034DB4"/>
    <w:rsid w:val="00175594"/>
    <w:rsid w:val="001E1270"/>
    <w:rsid w:val="00826696"/>
    <w:rsid w:val="00BD4622"/>
    <w:rsid w:val="00FB652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DBA4B51"/>
  <w15:chartTrackingRefBased/>
  <w15:docId w15:val="{BDDDA8FF-F155-4FC3-B07D-D7A66D032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217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פרק 47</vt:lpstr>
    </vt:vector>
  </TitlesOfParts>
  <Company/>
  <LinksUpToDate>false</LinksUpToDate>
  <CharactersWithSpaces>1156</CharactersWithSpaces>
  <SharedDoc>false</SharedDoc>
  <HLinks>
    <vt:vector size="24" baseType="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8126474</vt:i4>
      </vt:variant>
      <vt:variant>
        <vt:i4>0</vt:i4>
      </vt:variant>
      <vt:variant>
        <vt:i4>0</vt:i4>
      </vt:variant>
      <vt:variant>
        <vt:i4>5</vt:i4>
      </vt:variant>
      <vt:variant>
        <vt:lpwstr>http://www.nevo.co.il/Law_word/law06/TAK-2173.pdf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47</dc:title>
  <dc:subject/>
  <dc:creator>eli</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0047</vt:lpwstr>
  </property>
  <property fmtid="{D5CDD505-2E9C-101B-9397-08002B2CF9AE}" pid="3" name="CHNAME">
    <vt:lpwstr>בנקאות</vt:lpwstr>
  </property>
  <property fmtid="{D5CDD505-2E9C-101B-9397-08002B2CF9AE}" pid="4" name="LAWNAME">
    <vt:lpwstr>צו הבנקאות (שיעורי ערבויות להבטחת אשראי של בנקים מסויימים), תשכ"ח-1968</vt:lpwstr>
  </property>
  <property fmtid="{D5CDD505-2E9C-101B-9397-08002B2CF9AE}" pid="5" name="LAWNUMBER">
    <vt:lpwstr>0008</vt:lpwstr>
  </property>
  <property fmtid="{D5CDD505-2E9C-101B-9397-08002B2CF9AE}" pid="6" name="TYPE">
    <vt:lpwstr>01</vt:lpwstr>
  </property>
  <property fmtid="{D5CDD505-2E9C-101B-9397-08002B2CF9AE}" pid="7" name="MEKOR_NAME1">
    <vt:lpwstr>פקודת הבנקאות</vt:lpwstr>
  </property>
  <property fmtid="{D5CDD505-2E9C-101B-9397-08002B2CF9AE}" pid="8" name="MEKOR_SAIF1">
    <vt:lpwstr>14אX</vt:lpwstr>
  </property>
  <property fmtid="{D5CDD505-2E9C-101B-9397-08002B2CF9AE}" pid="9" name="NOSE11">
    <vt:lpwstr>משפט פרטי וכלכלה</vt:lpwstr>
  </property>
  <property fmtid="{D5CDD505-2E9C-101B-9397-08002B2CF9AE}" pid="10" name="NOSE21">
    <vt:lpwstr>כספים</vt:lpwstr>
  </property>
  <property fmtid="{D5CDD505-2E9C-101B-9397-08002B2CF9AE}" pid="11" name="NOSE31">
    <vt:lpwstr>בנקאות</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