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7D8" w:rsidRDefault="00E13F9F" w:rsidP="00B9219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הבנקאות (שירות ללקוח) (</w:t>
      </w:r>
      <w:r w:rsidR="00B92196">
        <w:rPr>
          <w:rFonts w:cs="FrankRuehl" w:hint="cs"/>
          <w:sz w:val="32"/>
          <w:rtl/>
        </w:rPr>
        <w:t>סכום עמלה מרבי בעד</w:t>
      </w:r>
      <w:r>
        <w:rPr>
          <w:rFonts w:cs="FrankRuehl" w:hint="cs"/>
          <w:sz w:val="32"/>
          <w:rtl/>
        </w:rPr>
        <w:t xml:space="preserve"> שירות הניתן בידי סולק לנותן שירותי ניכיון בעסקאות בכרטיסי חיוב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</w:t>
      </w:r>
      <w:r w:rsidR="00B92196">
        <w:rPr>
          <w:rFonts w:cs="FrankRuehl" w:hint="cs"/>
          <w:sz w:val="32"/>
          <w:rtl/>
        </w:rPr>
        <w:t>ה</w:t>
      </w:r>
      <w:r w:rsidR="005B5BB0">
        <w:rPr>
          <w:rFonts w:cs="FrankRuehl" w:hint="cs"/>
          <w:sz w:val="32"/>
          <w:rtl/>
        </w:rPr>
        <w:t>-201</w:t>
      </w:r>
      <w:r w:rsidR="00B92196">
        <w:rPr>
          <w:rFonts w:cs="FrankRuehl" w:hint="cs"/>
          <w:sz w:val="32"/>
          <w:rtl/>
        </w:rPr>
        <w:t>5</w:t>
      </w:r>
    </w:p>
    <w:p w:rsidR="0098003D" w:rsidRPr="0098003D" w:rsidRDefault="0098003D" w:rsidP="0098003D">
      <w:pPr>
        <w:spacing w:line="320" w:lineRule="auto"/>
        <w:jc w:val="left"/>
        <w:rPr>
          <w:rFonts w:cs="FrankRuehl"/>
          <w:szCs w:val="26"/>
          <w:rtl/>
        </w:rPr>
      </w:pPr>
    </w:p>
    <w:p w:rsidR="0098003D" w:rsidRDefault="0098003D" w:rsidP="0098003D">
      <w:pPr>
        <w:spacing w:line="320" w:lineRule="auto"/>
        <w:jc w:val="left"/>
        <w:rPr>
          <w:rtl/>
        </w:rPr>
      </w:pPr>
    </w:p>
    <w:p w:rsidR="0098003D" w:rsidRDefault="0098003D" w:rsidP="0098003D">
      <w:pPr>
        <w:spacing w:line="320" w:lineRule="auto"/>
        <w:jc w:val="left"/>
        <w:rPr>
          <w:rFonts w:cs="Miriam"/>
          <w:szCs w:val="22"/>
          <w:rtl/>
        </w:rPr>
      </w:pPr>
      <w:r w:rsidRPr="0098003D">
        <w:rPr>
          <w:rFonts w:cs="Miriam"/>
          <w:szCs w:val="22"/>
          <w:rtl/>
        </w:rPr>
        <w:t>משפט פרטי וכלכלה</w:t>
      </w:r>
      <w:r w:rsidRPr="0098003D">
        <w:rPr>
          <w:rFonts w:cs="FrankRuehl"/>
          <w:szCs w:val="26"/>
          <w:rtl/>
        </w:rPr>
        <w:t xml:space="preserve"> – כספים – בנקאות – שירות ללקוח</w:t>
      </w:r>
    </w:p>
    <w:p w:rsidR="0098003D" w:rsidRDefault="0098003D" w:rsidP="0098003D">
      <w:pPr>
        <w:spacing w:line="320" w:lineRule="auto"/>
        <w:jc w:val="left"/>
        <w:rPr>
          <w:rFonts w:cs="Miriam"/>
          <w:szCs w:val="22"/>
          <w:rtl/>
        </w:rPr>
      </w:pPr>
      <w:r w:rsidRPr="0098003D">
        <w:rPr>
          <w:rFonts w:cs="Miriam"/>
          <w:szCs w:val="22"/>
          <w:rtl/>
        </w:rPr>
        <w:t>משפט פרטי וכלכלה</w:t>
      </w:r>
      <w:r w:rsidRPr="0098003D">
        <w:rPr>
          <w:rFonts w:cs="FrankRuehl"/>
          <w:szCs w:val="26"/>
          <w:rtl/>
        </w:rPr>
        <w:t xml:space="preserve"> – כספים – מערכות תשלומים</w:t>
      </w:r>
    </w:p>
    <w:p w:rsidR="0098003D" w:rsidRPr="0098003D" w:rsidRDefault="0098003D" w:rsidP="0098003D">
      <w:pPr>
        <w:spacing w:line="320" w:lineRule="auto"/>
        <w:jc w:val="left"/>
        <w:rPr>
          <w:rFonts w:cs="Miriam" w:hint="cs"/>
          <w:szCs w:val="22"/>
          <w:rtl/>
        </w:rPr>
      </w:pPr>
      <w:r w:rsidRPr="0098003D">
        <w:rPr>
          <w:rFonts w:cs="Miriam"/>
          <w:szCs w:val="22"/>
          <w:rtl/>
        </w:rPr>
        <w:t>משפט פרטי וכלכלה</w:t>
      </w:r>
      <w:r w:rsidRPr="0098003D">
        <w:rPr>
          <w:rFonts w:cs="FrankRuehl"/>
          <w:szCs w:val="26"/>
          <w:rtl/>
        </w:rPr>
        <w:t xml:space="preserve"> – מסחר  – אמצעי תשלום – כרטיסי חיוב</w:t>
      </w:r>
    </w:p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0750" w:rsidRPr="00900750" w:rsidTr="009007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900750" w:rsidRPr="00900750" w:rsidTr="009007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:rsidR="00900750" w:rsidRPr="00900750" w:rsidRDefault="00900750" w:rsidP="009007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</w:tbl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:rsidR="009C17D8" w:rsidRDefault="009C17D8" w:rsidP="00B9219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E13F9F">
        <w:rPr>
          <w:rFonts w:cs="FrankRuehl" w:hint="cs"/>
          <w:sz w:val="32"/>
          <w:rtl/>
        </w:rPr>
        <w:lastRenderedPageBreak/>
        <w:t>צו הבנקאות (שירות ללקוח) (</w:t>
      </w:r>
      <w:r w:rsidR="00B92196">
        <w:rPr>
          <w:rFonts w:cs="FrankRuehl" w:hint="cs"/>
          <w:sz w:val="32"/>
          <w:rtl/>
        </w:rPr>
        <w:t>סכום עמלה מרבי בעד שירות הניתן בידי סולק לנותן שירותי ניכיון בעסקאות בכרטיסי חיוב)</w:t>
      </w:r>
      <w:r w:rsidR="00B92196">
        <w:rPr>
          <w:rFonts w:cs="FrankRuehl"/>
          <w:sz w:val="32"/>
          <w:rtl/>
        </w:rPr>
        <w:t xml:space="preserve">, </w:t>
      </w:r>
      <w:r w:rsidR="00B92196">
        <w:rPr>
          <w:rFonts w:cs="FrankRuehl" w:hint="cs"/>
          <w:sz w:val="32"/>
          <w:rtl/>
        </w:rPr>
        <w:t>תשע"ה-2015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B679E" w:rsidRDefault="00FB679E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</w:t>
      </w:r>
      <w:r w:rsidR="00B92196">
        <w:rPr>
          <w:rStyle w:val="default"/>
          <w:rFonts w:cs="FrankRuehl" w:hint="cs"/>
          <w:rtl/>
        </w:rPr>
        <w:t>סעיף 9יב(2)</w:t>
      </w:r>
      <w:r w:rsidR="00E13F9F">
        <w:rPr>
          <w:rStyle w:val="default"/>
          <w:rFonts w:cs="FrankRuehl" w:hint="cs"/>
          <w:rtl/>
        </w:rPr>
        <w:t xml:space="preserve"> לחוק הבנקאות (שירות ללקוח), התשמ"א-1981 (להלן </w:t>
      </w:r>
      <w:r w:rsidR="00E13F9F">
        <w:rPr>
          <w:rStyle w:val="default"/>
          <w:rFonts w:cs="FrankRuehl"/>
          <w:rtl/>
        </w:rPr>
        <w:t>–</w:t>
      </w:r>
      <w:r w:rsidR="00E13F9F">
        <w:rPr>
          <w:rStyle w:val="default"/>
          <w:rFonts w:cs="FrankRuehl" w:hint="cs"/>
          <w:rtl/>
        </w:rPr>
        <w:t xml:space="preserve"> החוק),</w:t>
      </w:r>
      <w:r w:rsidR="00B92196">
        <w:rPr>
          <w:rStyle w:val="default"/>
          <w:rFonts w:cs="FrankRuehl" w:hint="cs"/>
          <w:rtl/>
        </w:rPr>
        <w:t xml:space="preserve"> ולאחר התייעצות עם הוועדה המייעצת,</w:t>
      </w:r>
      <w:r w:rsidR="00E13F9F">
        <w:rPr>
          <w:rStyle w:val="default"/>
          <w:rFonts w:cs="FrankRuehl" w:hint="cs"/>
          <w:rtl/>
        </w:rPr>
        <w:t xml:space="preserve"> אני מצווה לאמור</w:t>
      </w:r>
      <w:r w:rsidR="00646801">
        <w:rPr>
          <w:rStyle w:val="default"/>
          <w:rFonts w:cs="FrankRuehl" w:hint="cs"/>
          <w:rtl/>
        </w:rPr>
        <w:t>:</w:t>
      </w:r>
    </w:p>
    <w:p w:rsidR="009C17D8" w:rsidRDefault="009C17D8" w:rsidP="00E13F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2pt;z-index:251656704" o:allowincell="f" filled="f" stroked="f" strokecolor="lime" strokeweight=".25pt">
            <v:textbox style="mso-next-textbox:#_x0000_s1026" inset="0,0,0,0">
              <w:txbxContent>
                <w:p w:rsidR="00392646" w:rsidRDefault="00E13F9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E13F9F">
        <w:rPr>
          <w:rStyle w:val="default"/>
          <w:rFonts w:cs="FrankRuehl" w:hint="cs"/>
          <w:rtl/>
        </w:rPr>
        <w:t xml:space="preserve">בצו זה </w:t>
      </w:r>
      <w:r w:rsidR="00E13F9F">
        <w:rPr>
          <w:rStyle w:val="default"/>
          <w:rFonts w:cs="FrankRuehl"/>
          <w:rtl/>
        </w:rPr>
        <w:t>–</w:t>
      </w:r>
    </w:p>
    <w:p w:rsidR="00E13F9F" w:rsidRDefault="00E13F9F" w:rsidP="00B92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B92196">
        <w:rPr>
          <w:rStyle w:val="default"/>
          <w:rFonts w:cs="FrankRuehl" w:hint="cs"/>
          <w:rtl/>
        </w:rPr>
        <w:t xml:space="preserve">לקוח" </w:t>
      </w:r>
      <w:r w:rsidR="00B92196">
        <w:rPr>
          <w:rStyle w:val="default"/>
          <w:rFonts w:cs="FrankRuehl"/>
          <w:rtl/>
        </w:rPr>
        <w:t>–</w:t>
      </w:r>
      <w:r w:rsidR="00B92196">
        <w:rPr>
          <w:rStyle w:val="default"/>
          <w:rFonts w:cs="FrankRuehl" w:hint="cs"/>
          <w:rtl/>
        </w:rPr>
        <w:t xml:space="preserve"> כהגדרתו בסעיף 1 לחוק</w:t>
      </w:r>
      <w:r>
        <w:rPr>
          <w:rStyle w:val="default"/>
          <w:rFonts w:cs="FrankRuehl" w:hint="cs"/>
          <w:rtl/>
        </w:rPr>
        <w:t>;</w:t>
      </w:r>
    </w:p>
    <w:p w:rsidR="00E13F9F" w:rsidRDefault="00E13F9F" w:rsidP="00B92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 הניתן בידי סולק לנותן שירותי ניכיון"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שירות </w:t>
      </w:r>
      <w:r w:rsidR="00B92196">
        <w:rPr>
          <w:rStyle w:val="default"/>
          <w:rFonts w:cs="FrankRuehl" w:hint="cs"/>
          <w:rtl/>
        </w:rPr>
        <w:t>שהוכרז שירות בר-פיקוח בצו הבנקאות (שירות ללקוח) (פיקוח על שירות הניתן בידי סולק לנותן שירותי ניכיון בעסקאות בכרטיסי חיוב), התשע"ג-2012</w:t>
      </w:r>
      <w:r>
        <w:rPr>
          <w:rStyle w:val="default"/>
          <w:rFonts w:cs="FrankRuehl" w:hint="cs"/>
          <w:rtl/>
        </w:rPr>
        <w:t>.</w:t>
      </w:r>
    </w:p>
    <w:p w:rsidR="000D0A79" w:rsidRDefault="000D0A79" w:rsidP="00B92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80" style="position:absolute;left:0;text-align:left;margin-left:464.5pt;margin-top:8.05pt;width:75.05pt;height:14.05pt;z-index:251657728" o:allowincell="f" filled="f" stroked="f" strokecolor="lime" strokeweight=".25pt">
            <v:textbox inset="0,0,0,0">
              <w:txbxContent>
                <w:p w:rsidR="00392646" w:rsidRDefault="00B92196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 עמלה מרבי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B92196">
        <w:rPr>
          <w:rStyle w:val="default"/>
          <w:rFonts w:cs="FrankRuehl" w:hint="cs"/>
          <w:rtl/>
        </w:rPr>
        <w:t>סכום העמלה המרבי שניתן לגבות בעד שירות הניתן בידי סולק לנותן שירותי ניכיון יהיה 20 שקלים חדשים בחודש; סכום זה ייגבה בעד מתן שירות כאמור, הנדרש לצורך מתן שירותי ניכיון ללקוח אחד; היה הלקוח לקוח, כהגדרתו בסעיף 9ט(ו) לחוק, יהיה סכום העמלה האמור 10 שקלים חדשים בחודש</w:t>
      </w:r>
      <w:r w:rsidR="00CC5124">
        <w:rPr>
          <w:rStyle w:val="default"/>
          <w:rFonts w:cs="FrankRuehl" w:hint="cs"/>
          <w:rtl/>
        </w:rPr>
        <w:t>.</w:t>
      </w:r>
    </w:p>
    <w:p w:rsidR="00B92196" w:rsidRDefault="00B92196" w:rsidP="00B92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112" style="position:absolute;left:0;text-align:left;margin-left:464.5pt;margin-top:8.05pt;width:75.05pt;height:11.1pt;z-index:251658752" o:allowincell="f" filled="f" stroked="f" strokecolor="lime" strokeweight=".25pt">
            <v:textbox inset="0,0,0,0">
              <w:txbxContent>
                <w:p w:rsidR="00B92196" w:rsidRDefault="00B92196" w:rsidP="00B9219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תחילתו של צו זה ביום י"ד בתמוז התשע"ה (1 ביולי 2015).</w:t>
      </w:r>
    </w:p>
    <w:p w:rsidR="00794285" w:rsidRDefault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05C4" w:rsidRDefault="00B92196" w:rsidP="0032208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באייר התשע"ה (1</w:t>
      </w:r>
      <w:r w:rsidR="0032208C">
        <w:rPr>
          <w:rFonts w:cs="FrankRuehl" w:hint="cs"/>
          <w:sz w:val="26"/>
          <w:rtl/>
        </w:rPr>
        <w:t>0</w:t>
      </w:r>
      <w:r>
        <w:rPr>
          <w:rFonts w:cs="FrankRuehl" w:hint="cs"/>
          <w:sz w:val="26"/>
          <w:rtl/>
        </w:rPr>
        <w:t xml:space="preserve"> במאי 2015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קרנית פלוג</w:t>
      </w:r>
    </w:p>
    <w:p w:rsidR="007C05C4" w:rsidRDefault="000A3038" w:rsidP="00E13F9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13F9F">
        <w:rPr>
          <w:rFonts w:cs="FrankRuehl" w:hint="cs"/>
          <w:sz w:val="22"/>
          <w:rtl/>
        </w:rPr>
        <w:t>נגיד</w:t>
      </w:r>
      <w:r w:rsidR="00B92196">
        <w:rPr>
          <w:rFonts w:cs="FrankRuehl" w:hint="cs"/>
          <w:sz w:val="22"/>
          <w:rtl/>
        </w:rPr>
        <w:t>ת</w:t>
      </w:r>
      <w:r w:rsidR="00E13F9F">
        <w:rPr>
          <w:rFonts w:cs="FrankRuehl" w:hint="cs"/>
          <w:sz w:val="22"/>
          <w:rtl/>
        </w:rPr>
        <w:t xml:space="preserve"> בנק ישראל</w:t>
      </w:r>
    </w:p>
    <w:p w:rsidR="00B92196" w:rsidRPr="0084412B" w:rsidRDefault="00B92196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00750" w:rsidRDefault="00900750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0075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79C" w:rsidRDefault="00F0279C">
      <w:pPr>
        <w:spacing w:line="240" w:lineRule="auto"/>
      </w:pPr>
      <w:r>
        <w:separator/>
      </w:r>
    </w:p>
  </w:endnote>
  <w:endnote w:type="continuationSeparator" w:id="0">
    <w:p w:rsidR="00F0279C" w:rsidRDefault="00F0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69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79C" w:rsidRDefault="00F0279C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0279C" w:rsidRDefault="00F0279C">
      <w:pPr>
        <w:spacing w:line="240" w:lineRule="auto"/>
      </w:pPr>
      <w:r>
        <w:continuationSeparator/>
      </w:r>
    </w:p>
  </w:footnote>
  <w:footnote w:id="1">
    <w:p w:rsidR="002269F8" w:rsidRPr="0084412B" w:rsidRDefault="00392646" w:rsidP="002269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13F9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2269F8">
          <w:rPr>
            <w:rStyle w:val="Hyperlink"/>
            <w:rFonts w:cs="FrankRuehl" w:hint="cs"/>
            <w:rtl/>
          </w:rPr>
          <w:t>ק"ת תשע"</w:t>
        </w:r>
        <w:r w:rsidR="00B92196" w:rsidRPr="002269F8">
          <w:rPr>
            <w:rStyle w:val="Hyperlink"/>
            <w:rFonts w:cs="FrankRuehl" w:hint="cs"/>
            <w:rtl/>
          </w:rPr>
          <w:t>ה</w:t>
        </w:r>
        <w:r w:rsidRPr="002269F8">
          <w:rPr>
            <w:rStyle w:val="Hyperlink"/>
            <w:rFonts w:cs="FrankRuehl" w:hint="cs"/>
            <w:rtl/>
          </w:rPr>
          <w:t xml:space="preserve"> מס' </w:t>
        </w:r>
        <w:r w:rsidR="00B92196" w:rsidRPr="002269F8">
          <w:rPr>
            <w:rStyle w:val="Hyperlink"/>
            <w:rFonts w:cs="FrankRuehl" w:hint="cs"/>
            <w:rtl/>
          </w:rPr>
          <w:t>7514</w:t>
        </w:r>
      </w:hyperlink>
      <w:r>
        <w:rPr>
          <w:rFonts w:cs="FrankRuehl" w:hint="cs"/>
          <w:rtl/>
        </w:rPr>
        <w:t xml:space="preserve"> מיום </w:t>
      </w:r>
      <w:r w:rsidR="00B92196">
        <w:rPr>
          <w:rFonts w:cs="FrankRuehl" w:hint="cs"/>
          <w:rtl/>
        </w:rPr>
        <w:t>26.5.2015</w:t>
      </w:r>
      <w:r>
        <w:rPr>
          <w:rFonts w:cs="FrankRuehl" w:hint="cs"/>
          <w:rtl/>
        </w:rPr>
        <w:t xml:space="preserve"> עמ' </w:t>
      </w:r>
      <w:r w:rsidR="00B92196">
        <w:rPr>
          <w:rFonts w:cs="FrankRuehl" w:hint="cs"/>
          <w:rtl/>
        </w:rPr>
        <w:t>1239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E13F9F" w:rsidP="00B9219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הבנקאות (שירות ללקוח) (</w:t>
    </w:r>
    <w:r w:rsidR="00B92196">
      <w:rPr>
        <w:rFonts w:hAnsi="FrankRuehl" w:cs="FrankRuehl" w:hint="cs"/>
        <w:color w:val="000000"/>
        <w:sz w:val="28"/>
        <w:szCs w:val="28"/>
        <w:rtl/>
      </w:rPr>
      <w:t>סכום עמלה מרבי בעד</w:t>
    </w:r>
    <w:r>
      <w:rPr>
        <w:rFonts w:hAnsi="FrankRuehl" w:cs="FrankRuehl" w:hint="cs"/>
        <w:color w:val="000000"/>
        <w:sz w:val="28"/>
        <w:szCs w:val="28"/>
        <w:rtl/>
      </w:rPr>
      <w:t xml:space="preserve"> שירות הניתן בידי סולק לנותן שירותי ניכיון בעסקאות בכרטיסי חיוב</w:t>
    </w:r>
    <w:r w:rsidR="00392646">
      <w:rPr>
        <w:rFonts w:hAnsi="FrankRuehl" w:cs="FrankRuehl" w:hint="cs"/>
        <w:color w:val="000000"/>
        <w:sz w:val="28"/>
        <w:szCs w:val="28"/>
        <w:rtl/>
      </w:rPr>
      <w:t>)</w:t>
    </w:r>
    <w:r w:rsidR="00392646">
      <w:rPr>
        <w:rFonts w:hAnsi="FrankRuehl" w:cs="FrankRuehl"/>
        <w:color w:val="000000"/>
        <w:sz w:val="28"/>
        <w:szCs w:val="28"/>
        <w:rtl/>
      </w:rPr>
      <w:t xml:space="preserve">, </w:t>
    </w:r>
    <w:r w:rsidR="00392646">
      <w:rPr>
        <w:rFonts w:hAnsi="FrankRuehl" w:cs="FrankRuehl" w:hint="cs"/>
        <w:color w:val="000000"/>
        <w:sz w:val="28"/>
        <w:szCs w:val="28"/>
        <w:rtl/>
      </w:rPr>
      <w:t>תשע"</w:t>
    </w:r>
    <w:r w:rsidR="00B92196">
      <w:rPr>
        <w:rFonts w:hAnsi="FrankRuehl" w:cs="FrankRuehl" w:hint="cs"/>
        <w:color w:val="000000"/>
        <w:sz w:val="28"/>
        <w:szCs w:val="28"/>
        <w:rtl/>
      </w:rPr>
      <w:t>ה-2015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659C"/>
    <w:rsid w:val="00137793"/>
    <w:rsid w:val="00146863"/>
    <w:rsid w:val="00175702"/>
    <w:rsid w:val="001B208A"/>
    <w:rsid w:val="001C0C7D"/>
    <w:rsid w:val="001C2FD5"/>
    <w:rsid w:val="001C5402"/>
    <w:rsid w:val="001D25BF"/>
    <w:rsid w:val="001E1B0F"/>
    <w:rsid w:val="00207791"/>
    <w:rsid w:val="00220467"/>
    <w:rsid w:val="002269F8"/>
    <w:rsid w:val="00235FEC"/>
    <w:rsid w:val="00266AD7"/>
    <w:rsid w:val="002860DA"/>
    <w:rsid w:val="002A2937"/>
    <w:rsid w:val="002B6729"/>
    <w:rsid w:val="002C2AB0"/>
    <w:rsid w:val="002D470E"/>
    <w:rsid w:val="002F6EDE"/>
    <w:rsid w:val="002F7CB9"/>
    <w:rsid w:val="0032208C"/>
    <w:rsid w:val="0032563F"/>
    <w:rsid w:val="00334B29"/>
    <w:rsid w:val="00341FDA"/>
    <w:rsid w:val="00347FE6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74979"/>
    <w:rsid w:val="004C3F37"/>
    <w:rsid w:val="004D0099"/>
    <w:rsid w:val="004D285F"/>
    <w:rsid w:val="004F3617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1C85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B2364"/>
    <w:rsid w:val="006D081A"/>
    <w:rsid w:val="006F0AA3"/>
    <w:rsid w:val="006F4373"/>
    <w:rsid w:val="007010BE"/>
    <w:rsid w:val="0070315D"/>
    <w:rsid w:val="00703EE4"/>
    <w:rsid w:val="0072170D"/>
    <w:rsid w:val="007305DB"/>
    <w:rsid w:val="007411CF"/>
    <w:rsid w:val="00750349"/>
    <w:rsid w:val="0075155F"/>
    <w:rsid w:val="00755D64"/>
    <w:rsid w:val="00764138"/>
    <w:rsid w:val="007703BF"/>
    <w:rsid w:val="007844C4"/>
    <w:rsid w:val="00786597"/>
    <w:rsid w:val="00794285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87389"/>
    <w:rsid w:val="008A00D9"/>
    <w:rsid w:val="008A1489"/>
    <w:rsid w:val="008A2D02"/>
    <w:rsid w:val="008A753C"/>
    <w:rsid w:val="008A7C1C"/>
    <w:rsid w:val="008C08CD"/>
    <w:rsid w:val="008F21BE"/>
    <w:rsid w:val="00900750"/>
    <w:rsid w:val="00901322"/>
    <w:rsid w:val="009024F4"/>
    <w:rsid w:val="00903DF0"/>
    <w:rsid w:val="009078CD"/>
    <w:rsid w:val="00917017"/>
    <w:rsid w:val="00932D3C"/>
    <w:rsid w:val="00941EEB"/>
    <w:rsid w:val="00946DDB"/>
    <w:rsid w:val="00974C69"/>
    <w:rsid w:val="0098003D"/>
    <w:rsid w:val="00982510"/>
    <w:rsid w:val="00983432"/>
    <w:rsid w:val="009C17D8"/>
    <w:rsid w:val="009D3824"/>
    <w:rsid w:val="009E3040"/>
    <w:rsid w:val="00A273BF"/>
    <w:rsid w:val="00A31797"/>
    <w:rsid w:val="00A57383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6A34"/>
    <w:rsid w:val="00B8467C"/>
    <w:rsid w:val="00B90390"/>
    <w:rsid w:val="00B92196"/>
    <w:rsid w:val="00B9282F"/>
    <w:rsid w:val="00BA4D32"/>
    <w:rsid w:val="00BB0104"/>
    <w:rsid w:val="00BD0A21"/>
    <w:rsid w:val="00BE389B"/>
    <w:rsid w:val="00BE4A73"/>
    <w:rsid w:val="00C57541"/>
    <w:rsid w:val="00C71A46"/>
    <w:rsid w:val="00C734A4"/>
    <w:rsid w:val="00C7516E"/>
    <w:rsid w:val="00C932E5"/>
    <w:rsid w:val="00C944A7"/>
    <w:rsid w:val="00CA75A7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3F9F"/>
    <w:rsid w:val="00E16078"/>
    <w:rsid w:val="00E21731"/>
    <w:rsid w:val="00E32386"/>
    <w:rsid w:val="00E35950"/>
    <w:rsid w:val="00E4394C"/>
    <w:rsid w:val="00E558B9"/>
    <w:rsid w:val="00E62747"/>
    <w:rsid w:val="00E845C5"/>
    <w:rsid w:val="00EA2B1B"/>
    <w:rsid w:val="00EA56B6"/>
    <w:rsid w:val="00EC0302"/>
    <w:rsid w:val="00ED5D24"/>
    <w:rsid w:val="00EE48D6"/>
    <w:rsid w:val="00F0279C"/>
    <w:rsid w:val="00F060FC"/>
    <w:rsid w:val="00F1754B"/>
    <w:rsid w:val="00F423B9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866BE6D-E469-42B7-90C8-1378BF78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1172</CharactersWithSpaces>
  <SharedDoc>false</SharedDoc>
  <HLinks>
    <vt:vector size="6" baseType="variant"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(שירות ללקוח) (סכום עמלה מרבי בעד שירות הניתן בידי סולק לנותן שירותי ניכיון בעסקאות בכרטיסי חיוב), תשע"ה-2015</vt:lpwstr>
  </property>
  <property fmtid="{D5CDD505-2E9C-101B-9397-08002B2CF9AE}" pid="5" name="LAWNUMBER">
    <vt:lpwstr>0225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שירות ללקוח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מערכות תשלומים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אמצעי תשלום</vt:lpwstr>
  </property>
  <property fmtid="{D5CDD505-2E9C-101B-9397-08002B2CF9AE}" pid="18" name="NOSE43">
    <vt:lpwstr>כרטיסי חיוב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9יבX2X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http://www.nevo.co.il/Law_word/law06/tak-7514.pdf;‎רשומות - תקנות כלליות#פורסם ק"ת תשע"ה מס' ‏‏7514 #מיום 26.5.2015 עמ' 1239‏</vt:lpwstr>
  </property>
</Properties>
</file>