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EA48C" w14:textId="77777777" w:rsidR="00073216" w:rsidRDefault="00073216">
      <w:pPr>
        <w:pStyle w:val="big-header"/>
        <w:ind w:left="0" w:right="1134"/>
        <w:rPr>
          <w:rFonts w:cs="FrankRuehl" w:hint="cs"/>
          <w:sz w:val="32"/>
          <w:rtl/>
        </w:rPr>
      </w:pPr>
      <w:r>
        <w:rPr>
          <w:rFonts w:cs="FrankRuehl" w:hint="cs"/>
          <w:sz w:val="32"/>
          <w:rtl/>
        </w:rPr>
        <w:t xml:space="preserve">צו הגבלת הפרסומת והשיווק של מוצרי טבק (שינוי נוסחי אזהרה), </w:t>
      </w:r>
      <w:r>
        <w:rPr>
          <w:rFonts w:cs="FrankRuehl"/>
          <w:sz w:val="32"/>
          <w:rtl/>
        </w:rPr>
        <w:br/>
      </w:r>
      <w:r>
        <w:rPr>
          <w:rFonts w:cs="FrankRuehl" w:hint="cs"/>
          <w:sz w:val="32"/>
          <w:rtl/>
        </w:rPr>
        <w:t>תשס"ג-2002</w:t>
      </w:r>
    </w:p>
    <w:p w14:paraId="347B60FB" w14:textId="77777777" w:rsidR="00DF0CD1" w:rsidRDefault="00DF0CD1" w:rsidP="00DF0CD1">
      <w:pPr>
        <w:spacing w:line="320" w:lineRule="auto"/>
        <w:jc w:val="left"/>
        <w:rPr>
          <w:rStyle w:val="default"/>
          <w:rFonts w:cs="FrankRuehl" w:hint="cs"/>
          <w:sz w:val="32"/>
          <w:rtl/>
        </w:rPr>
      </w:pPr>
    </w:p>
    <w:p w14:paraId="7C445A04" w14:textId="77777777" w:rsidR="008E1B39" w:rsidRPr="00DF0CD1" w:rsidRDefault="008E1B39" w:rsidP="00DF0CD1">
      <w:pPr>
        <w:spacing w:line="320" w:lineRule="auto"/>
        <w:jc w:val="left"/>
        <w:rPr>
          <w:rStyle w:val="default"/>
          <w:rFonts w:cs="FrankRuehl" w:hint="cs"/>
          <w:sz w:val="32"/>
          <w:rtl/>
        </w:rPr>
      </w:pPr>
    </w:p>
    <w:p w14:paraId="653E4DAD" w14:textId="77777777" w:rsidR="00DF0CD1" w:rsidRPr="00DF0CD1" w:rsidRDefault="00DF0CD1" w:rsidP="00DF0CD1">
      <w:pPr>
        <w:spacing w:line="320" w:lineRule="auto"/>
        <w:jc w:val="left"/>
        <w:rPr>
          <w:rStyle w:val="default"/>
          <w:rFonts w:cs="Miriam" w:hint="cs"/>
          <w:sz w:val="32"/>
          <w:szCs w:val="22"/>
          <w:rtl/>
        </w:rPr>
      </w:pPr>
      <w:r w:rsidRPr="00DF0CD1">
        <w:rPr>
          <w:rStyle w:val="default"/>
          <w:rFonts w:cs="Miriam"/>
          <w:sz w:val="32"/>
          <w:szCs w:val="22"/>
          <w:rtl/>
        </w:rPr>
        <w:t>בריאות</w:t>
      </w:r>
      <w:r w:rsidRPr="00DF0CD1">
        <w:rPr>
          <w:rStyle w:val="default"/>
          <w:rFonts w:cs="FrankRuehl"/>
          <w:sz w:val="32"/>
          <w:rtl/>
        </w:rPr>
        <w:t xml:space="preserve"> – עישון ומוצרי טבק – הגבלת מוצרי טבק</w:t>
      </w:r>
    </w:p>
    <w:p w14:paraId="2236DA5D" w14:textId="77777777" w:rsidR="00DF0CD1" w:rsidRPr="00DF0CD1" w:rsidRDefault="00DF0CD1">
      <w:pPr>
        <w:pStyle w:val="big-header"/>
        <w:ind w:left="0" w:right="1134"/>
        <w:rPr>
          <w:rStyle w:val="default"/>
          <w:rFonts w:cs="FrankRuehl" w:hint="cs"/>
          <w:sz w:val="32"/>
          <w:szCs w:val="32"/>
          <w:rtl/>
        </w:rPr>
      </w:pPr>
      <w:r w:rsidRPr="00DF0CD1">
        <w:rPr>
          <w:rStyle w:val="default"/>
          <w:rFonts w:cs="FrankRuehl" w:hint="cs"/>
          <w:sz w:val="32"/>
          <w:szCs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73216" w14:paraId="66A5B5A2" w14:textId="77777777">
        <w:tblPrEx>
          <w:tblCellMar>
            <w:top w:w="0" w:type="dxa"/>
            <w:bottom w:w="0" w:type="dxa"/>
          </w:tblCellMar>
        </w:tblPrEx>
        <w:trPr>
          <w:jc w:val="right"/>
        </w:trPr>
        <w:tc>
          <w:tcPr>
            <w:tcW w:w="850" w:type="dxa"/>
          </w:tcPr>
          <w:p w14:paraId="2D63E692" w14:textId="77777777" w:rsidR="00073216" w:rsidRDefault="00073216">
            <w:pPr>
              <w:spacing w:line="240" w:lineRule="auto"/>
              <w:jc w:val="left"/>
              <w:rPr>
                <w:rFonts w:hint="cs"/>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DF7625">
              <w:rPr>
                <w:noProof/>
                <w:sz w:val="24"/>
                <w:rtl/>
              </w:rPr>
              <w:t>2</w:t>
            </w:r>
            <w:r>
              <w:rPr>
                <w:sz w:val="24"/>
                <w:rtl/>
              </w:rPr>
              <w:fldChar w:fldCharType="end"/>
            </w:r>
          </w:p>
        </w:tc>
        <w:tc>
          <w:tcPr>
            <w:tcW w:w="567" w:type="dxa"/>
          </w:tcPr>
          <w:p w14:paraId="6C913F23" w14:textId="77777777" w:rsidR="00073216" w:rsidRDefault="00073216">
            <w:pPr>
              <w:spacing w:line="240" w:lineRule="auto"/>
              <w:jc w:val="left"/>
              <w:rPr>
                <w:rFonts w:hint="cs"/>
                <w:sz w:val="24"/>
              </w:rPr>
            </w:pPr>
            <w:hyperlink w:anchor="Seif0" w:tooltip="שינוי נוסח אזהרה צו תשסג 2003" w:history="1">
              <w:r>
                <w:rPr>
                  <w:rStyle w:val="Hyperlink"/>
                </w:rPr>
                <w:t>Go</w:t>
              </w:r>
            </w:hyperlink>
          </w:p>
        </w:tc>
        <w:tc>
          <w:tcPr>
            <w:tcW w:w="5669" w:type="dxa"/>
          </w:tcPr>
          <w:p w14:paraId="1B30023A" w14:textId="77777777" w:rsidR="00073216" w:rsidRDefault="00073216">
            <w:pPr>
              <w:spacing w:line="240" w:lineRule="auto"/>
              <w:jc w:val="left"/>
              <w:rPr>
                <w:rFonts w:hint="cs"/>
                <w:sz w:val="24"/>
                <w:rtl/>
              </w:rPr>
            </w:pPr>
            <w:r>
              <w:rPr>
                <w:sz w:val="24"/>
                <w:rtl/>
              </w:rPr>
              <w:t>שינוי נוסח אזהרה</w:t>
            </w:r>
          </w:p>
        </w:tc>
        <w:tc>
          <w:tcPr>
            <w:tcW w:w="1247" w:type="dxa"/>
          </w:tcPr>
          <w:p w14:paraId="1BD21CC0" w14:textId="77777777" w:rsidR="00073216" w:rsidRDefault="00073216">
            <w:pPr>
              <w:spacing w:line="240" w:lineRule="auto"/>
              <w:jc w:val="left"/>
              <w:rPr>
                <w:rFonts w:hint="cs"/>
                <w:sz w:val="24"/>
              </w:rPr>
            </w:pPr>
            <w:r>
              <w:rPr>
                <w:sz w:val="24"/>
                <w:rtl/>
              </w:rPr>
              <w:t xml:space="preserve">סעיף 1 </w:t>
            </w:r>
          </w:p>
        </w:tc>
      </w:tr>
      <w:tr w:rsidR="00073216" w14:paraId="00F6A029" w14:textId="77777777">
        <w:tblPrEx>
          <w:tblCellMar>
            <w:top w:w="0" w:type="dxa"/>
            <w:bottom w:w="0" w:type="dxa"/>
          </w:tblCellMar>
        </w:tblPrEx>
        <w:trPr>
          <w:jc w:val="right"/>
        </w:trPr>
        <w:tc>
          <w:tcPr>
            <w:tcW w:w="850" w:type="dxa"/>
          </w:tcPr>
          <w:p w14:paraId="7E35F76B" w14:textId="77777777" w:rsidR="00073216" w:rsidRDefault="00073216">
            <w:pPr>
              <w:spacing w:line="240" w:lineRule="auto"/>
              <w:jc w:val="left"/>
              <w:rPr>
                <w:rFonts w:hint="cs"/>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DF7625">
              <w:rPr>
                <w:noProof/>
                <w:sz w:val="24"/>
                <w:rtl/>
              </w:rPr>
              <w:t>3</w:t>
            </w:r>
            <w:r>
              <w:rPr>
                <w:sz w:val="24"/>
                <w:rtl/>
              </w:rPr>
              <w:fldChar w:fldCharType="end"/>
            </w:r>
          </w:p>
        </w:tc>
        <w:tc>
          <w:tcPr>
            <w:tcW w:w="567" w:type="dxa"/>
          </w:tcPr>
          <w:p w14:paraId="7761AF77" w14:textId="77777777" w:rsidR="00073216" w:rsidRDefault="00073216">
            <w:pPr>
              <w:spacing w:line="240" w:lineRule="auto"/>
              <w:jc w:val="left"/>
              <w:rPr>
                <w:rFonts w:hint="cs"/>
                <w:sz w:val="24"/>
              </w:rPr>
            </w:pPr>
            <w:hyperlink w:anchor="Seif1" w:tooltip="שינוי גודל מזערי לאותיות צו תשסג 2003" w:history="1">
              <w:r>
                <w:rPr>
                  <w:rStyle w:val="Hyperlink"/>
                </w:rPr>
                <w:t>Go</w:t>
              </w:r>
            </w:hyperlink>
          </w:p>
        </w:tc>
        <w:tc>
          <w:tcPr>
            <w:tcW w:w="5669" w:type="dxa"/>
          </w:tcPr>
          <w:p w14:paraId="79956223" w14:textId="77777777" w:rsidR="00073216" w:rsidRDefault="00073216">
            <w:pPr>
              <w:spacing w:line="240" w:lineRule="auto"/>
              <w:jc w:val="left"/>
              <w:rPr>
                <w:rFonts w:hint="cs"/>
                <w:sz w:val="24"/>
                <w:rtl/>
              </w:rPr>
            </w:pPr>
            <w:r>
              <w:rPr>
                <w:sz w:val="24"/>
                <w:rtl/>
              </w:rPr>
              <w:t>שינוי גודל מזערי לאותיות</w:t>
            </w:r>
          </w:p>
        </w:tc>
        <w:tc>
          <w:tcPr>
            <w:tcW w:w="1247" w:type="dxa"/>
          </w:tcPr>
          <w:p w14:paraId="72E2C6EE" w14:textId="77777777" w:rsidR="00073216" w:rsidRDefault="00073216">
            <w:pPr>
              <w:spacing w:line="240" w:lineRule="auto"/>
              <w:jc w:val="left"/>
              <w:rPr>
                <w:rFonts w:hint="cs"/>
                <w:sz w:val="24"/>
              </w:rPr>
            </w:pPr>
            <w:r>
              <w:rPr>
                <w:sz w:val="24"/>
                <w:rtl/>
              </w:rPr>
              <w:t xml:space="preserve">סעיף 2 </w:t>
            </w:r>
          </w:p>
        </w:tc>
      </w:tr>
      <w:tr w:rsidR="00073216" w14:paraId="351FEA6D" w14:textId="77777777">
        <w:tblPrEx>
          <w:tblCellMar>
            <w:top w:w="0" w:type="dxa"/>
            <w:bottom w:w="0" w:type="dxa"/>
          </w:tblCellMar>
        </w:tblPrEx>
        <w:trPr>
          <w:jc w:val="right"/>
        </w:trPr>
        <w:tc>
          <w:tcPr>
            <w:tcW w:w="850" w:type="dxa"/>
          </w:tcPr>
          <w:p w14:paraId="106AF693" w14:textId="77777777" w:rsidR="00073216" w:rsidRDefault="00073216">
            <w:pPr>
              <w:spacing w:line="240" w:lineRule="auto"/>
              <w:jc w:val="left"/>
              <w:rPr>
                <w:rFonts w:hint="cs"/>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DF7625">
              <w:rPr>
                <w:noProof/>
                <w:sz w:val="24"/>
                <w:rtl/>
              </w:rPr>
              <w:t>3</w:t>
            </w:r>
            <w:r>
              <w:rPr>
                <w:sz w:val="24"/>
                <w:rtl/>
              </w:rPr>
              <w:fldChar w:fldCharType="end"/>
            </w:r>
          </w:p>
        </w:tc>
        <w:tc>
          <w:tcPr>
            <w:tcW w:w="567" w:type="dxa"/>
          </w:tcPr>
          <w:p w14:paraId="72822949" w14:textId="77777777" w:rsidR="00073216" w:rsidRDefault="00073216">
            <w:pPr>
              <w:spacing w:line="240" w:lineRule="auto"/>
              <w:jc w:val="left"/>
              <w:rPr>
                <w:rFonts w:hint="cs"/>
                <w:sz w:val="24"/>
              </w:rPr>
            </w:pPr>
            <w:hyperlink w:anchor="Seif2" w:tooltip="עיצוב צו תשסג 2003 צו תשסד 2004" w:history="1">
              <w:r>
                <w:rPr>
                  <w:rStyle w:val="Hyperlink"/>
                </w:rPr>
                <w:t>Go</w:t>
              </w:r>
            </w:hyperlink>
          </w:p>
        </w:tc>
        <w:tc>
          <w:tcPr>
            <w:tcW w:w="5669" w:type="dxa"/>
          </w:tcPr>
          <w:p w14:paraId="0676D098" w14:textId="77777777" w:rsidR="00073216" w:rsidRDefault="00073216">
            <w:pPr>
              <w:spacing w:line="240" w:lineRule="auto"/>
              <w:jc w:val="left"/>
              <w:rPr>
                <w:rFonts w:hint="cs"/>
                <w:sz w:val="24"/>
                <w:rtl/>
              </w:rPr>
            </w:pPr>
            <w:r>
              <w:rPr>
                <w:sz w:val="24"/>
                <w:rtl/>
              </w:rPr>
              <w:t>עיצוב</w:t>
            </w:r>
          </w:p>
        </w:tc>
        <w:tc>
          <w:tcPr>
            <w:tcW w:w="1247" w:type="dxa"/>
          </w:tcPr>
          <w:p w14:paraId="172D04DA" w14:textId="77777777" w:rsidR="00073216" w:rsidRDefault="00073216">
            <w:pPr>
              <w:spacing w:line="240" w:lineRule="auto"/>
              <w:jc w:val="left"/>
              <w:rPr>
                <w:rFonts w:hint="cs"/>
                <w:sz w:val="24"/>
              </w:rPr>
            </w:pPr>
            <w:r>
              <w:rPr>
                <w:sz w:val="24"/>
                <w:rtl/>
              </w:rPr>
              <w:t xml:space="preserve">סעיף 3 </w:t>
            </w:r>
          </w:p>
        </w:tc>
      </w:tr>
      <w:tr w:rsidR="00073216" w14:paraId="6E112794" w14:textId="77777777">
        <w:tblPrEx>
          <w:tblCellMar>
            <w:top w:w="0" w:type="dxa"/>
            <w:bottom w:w="0" w:type="dxa"/>
          </w:tblCellMar>
        </w:tblPrEx>
        <w:trPr>
          <w:jc w:val="right"/>
        </w:trPr>
        <w:tc>
          <w:tcPr>
            <w:tcW w:w="850" w:type="dxa"/>
          </w:tcPr>
          <w:p w14:paraId="24711929" w14:textId="77777777" w:rsidR="00073216" w:rsidRDefault="00073216">
            <w:pPr>
              <w:spacing w:line="240" w:lineRule="auto"/>
              <w:jc w:val="left"/>
              <w:rPr>
                <w:rFonts w:hint="cs"/>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DF7625">
              <w:rPr>
                <w:noProof/>
                <w:sz w:val="24"/>
                <w:rtl/>
              </w:rPr>
              <w:t>3</w:t>
            </w:r>
            <w:r>
              <w:rPr>
                <w:sz w:val="24"/>
                <w:rtl/>
              </w:rPr>
              <w:fldChar w:fldCharType="end"/>
            </w:r>
          </w:p>
        </w:tc>
        <w:tc>
          <w:tcPr>
            <w:tcW w:w="567" w:type="dxa"/>
          </w:tcPr>
          <w:p w14:paraId="21DF1143" w14:textId="77777777" w:rsidR="00073216" w:rsidRDefault="00073216">
            <w:pPr>
              <w:spacing w:line="240" w:lineRule="auto"/>
              <w:jc w:val="left"/>
              <w:rPr>
                <w:rFonts w:hint="cs"/>
                <w:sz w:val="24"/>
              </w:rPr>
            </w:pPr>
            <w:hyperlink w:anchor="Seif3" w:tooltip="ייחוס האזהרה צו תשסד 2004" w:history="1">
              <w:r>
                <w:rPr>
                  <w:rStyle w:val="Hyperlink"/>
                </w:rPr>
                <w:t>Go</w:t>
              </w:r>
            </w:hyperlink>
          </w:p>
        </w:tc>
        <w:tc>
          <w:tcPr>
            <w:tcW w:w="5669" w:type="dxa"/>
          </w:tcPr>
          <w:p w14:paraId="05A6093E" w14:textId="77777777" w:rsidR="00073216" w:rsidRDefault="00073216">
            <w:pPr>
              <w:spacing w:line="240" w:lineRule="auto"/>
              <w:jc w:val="left"/>
              <w:rPr>
                <w:rFonts w:hint="cs"/>
                <w:sz w:val="24"/>
                <w:rtl/>
              </w:rPr>
            </w:pPr>
            <w:r>
              <w:rPr>
                <w:sz w:val="24"/>
                <w:rtl/>
              </w:rPr>
              <w:t>ייחוס האזהרה</w:t>
            </w:r>
          </w:p>
        </w:tc>
        <w:tc>
          <w:tcPr>
            <w:tcW w:w="1247" w:type="dxa"/>
          </w:tcPr>
          <w:p w14:paraId="4DBD3117" w14:textId="77777777" w:rsidR="00073216" w:rsidRDefault="00073216">
            <w:pPr>
              <w:spacing w:line="240" w:lineRule="auto"/>
              <w:jc w:val="left"/>
              <w:rPr>
                <w:rFonts w:hint="cs"/>
                <w:sz w:val="24"/>
              </w:rPr>
            </w:pPr>
            <w:r>
              <w:rPr>
                <w:sz w:val="24"/>
                <w:rtl/>
              </w:rPr>
              <w:t xml:space="preserve">סעיף 4 </w:t>
            </w:r>
          </w:p>
        </w:tc>
      </w:tr>
      <w:tr w:rsidR="00073216" w14:paraId="76F7CECF" w14:textId="77777777">
        <w:tblPrEx>
          <w:tblCellMar>
            <w:top w:w="0" w:type="dxa"/>
            <w:bottom w:w="0" w:type="dxa"/>
          </w:tblCellMar>
        </w:tblPrEx>
        <w:trPr>
          <w:jc w:val="right"/>
        </w:trPr>
        <w:tc>
          <w:tcPr>
            <w:tcW w:w="850" w:type="dxa"/>
          </w:tcPr>
          <w:p w14:paraId="23284C02" w14:textId="77777777" w:rsidR="00073216" w:rsidRDefault="00073216">
            <w:pPr>
              <w:spacing w:line="240" w:lineRule="auto"/>
              <w:jc w:val="left"/>
              <w:rPr>
                <w:rFonts w:hint="cs"/>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DF7625">
              <w:rPr>
                <w:noProof/>
                <w:sz w:val="24"/>
                <w:rtl/>
              </w:rPr>
              <w:t>4</w:t>
            </w:r>
            <w:r>
              <w:rPr>
                <w:sz w:val="24"/>
                <w:rtl/>
              </w:rPr>
              <w:fldChar w:fldCharType="end"/>
            </w:r>
          </w:p>
        </w:tc>
        <w:tc>
          <w:tcPr>
            <w:tcW w:w="567" w:type="dxa"/>
          </w:tcPr>
          <w:p w14:paraId="5BF8AA4A" w14:textId="77777777" w:rsidR="00073216" w:rsidRDefault="00073216">
            <w:pPr>
              <w:spacing w:line="240" w:lineRule="auto"/>
              <w:jc w:val="left"/>
              <w:rPr>
                <w:rFonts w:hint="cs"/>
                <w:sz w:val="24"/>
              </w:rPr>
            </w:pPr>
            <w:hyperlink w:anchor="Seif6" w:tooltip="מיקום האזהרה לענין סעיף 9" w:history="1">
              <w:r>
                <w:rPr>
                  <w:rStyle w:val="Hyperlink"/>
                </w:rPr>
                <w:t>Go</w:t>
              </w:r>
            </w:hyperlink>
          </w:p>
        </w:tc>
        <w:tc>
          <w:tcPr>
            <w:tcW w:w="5669" w:type="dxa"/>
          </w:tcPr>
          <w:p w14:paraId="6DA9B03F" w14:textId="77777777" w:rsidR="00073216" w:rsidRDefault="00073216">
            <w:pPr>
              <w:spacing w:line="240" w:lineRule="auto"/>
              <w:jc w:val="left"/>
              <w:rPr>
                <w:sz w:val="24"/>
                <w:rtl/>
              </w:rPr>
            </w:pPr>
            <w:r>
              <w:rPr>
                <w:sz w:val="24"/>
                <w:rtl/>
              </w:rPr>
              <w:t>מיקום האזהרה לענין סעיף 9</w:t>
            </w:r>
          </w:p>
        </w:tc>
        <w:tc>
          <w:tcPr>
            <w:tcW w:w="1247" w:type="dxa"/>
          </w:tcPr>
          <w:p w14:paraId="21DB5926" w14:textId="77777777" w:rsidR="00073216" w:rsidRDefault="00073216">
            <w:pPr>
              <w:spacing w:line="240" w:lineRule="auto"/>
              <w:jc w:val="left"/>
              <w:rPr>
                <w:rFonts w:hint="cs"/>
                <w:sz w:val="24"/>
              </w:rPr>
            </w:pPr>
            <w:r>
              <w:rPr>
                <w:sz w:val="24"/>
                <w:rtl/>
              </w:rPr>
              <w:t xml:space="preserve">סעיף 4א </w:t>
            </w:r>
          </w:p>
        </w:tc>
      </w:tr>
      <w:tr w:rsidR="00073216" w14:paraId="4FE3E606" w14:textId="77777777">
        <w:tblPrEx>
          <w:tblCellMar>
            <w:top w:w="0" w:type="dxa"/>
            <w:bottom w:w="0" w:type="dxa"/>
          </w:tblCellMar>
        </w:tblPrEx>
        <w:trPr>
          <w:jc w:val="right"/>
        </w:trPr>
        <w:tc>
          <w:tcPr>
            <w:tcW w:w="850" w:type="dxa"/>
          </w:tcPr>
          <w:p w14:paraId="1BC5CA65" w14:textId="77777777" w:rsidR="00073216" w:rsidRDefault="00073216">
            <w:pPr>
              <w:spacing w:line="240" w:lineRule="auto"/>
              <w:jc w:val="left"/>
              <w:rPr>
                <w:rFonts w:hint="cs"/>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DF7625">
              <w:rPr>
                <w:noProof/>
                <w:sz w:val="24"/>
                <w:rtl/>
              </w:rPr>
              <w:t>4</w:t>
            </w:r>
            <w:r>
              <w:rPr>
                <w:sz w:val="24"/>
                <w:rtl/>
              </w:rPr>
              <w:fldChar w:fldCharType="end"/>
            </w:r>
          </w:p>
        </w:tc>
        <w:tc>
          <w:tcPr>
            <w:tcW w:w="567" w:type="dxa"/>
          </w:tcPr>
          <w:p w14:paraId="0DF24D73" w14:textId="77777777" w:rsidR="00073216" w:rsidRDefault="00073216">
            <w:pPr>
              <w:spacing w:line="240" w:lineRule="auto"/>
              <w:jc w:val="left"/>
              <w:rPr>
                <w:rFonts w:hint="cs"/>
                <w:sz w:val="24"/>
              </w:rPr>
            </w:pPr>
            <w:hyperlink w:anchor="Seif4" w:tooltip="תחילה" w:history="1">
              <w:r>
                <w:rPr>
                  <w:rStyle w:val="Hyperlink"/>
                </w:rPr>
                <w:t>Go</w:t>
              </w:r>
            </w:hyperlink>
          </w:p>
        </w:tc>
        <w:tc>
          <w:tcPr>
            <w:tcW w:w="5669" w:type="dxa"/>
          </w:tcPr>
          <w:p w14:paraId="2391F691" w14:textId="77777777" w:rsidR="00073216" w:rsidRDefault="00073216">
            <w:pPr>
              <w:spacing w:line="240" w:lineRule="auto"/>
              <w:jc w:val="left"/>
              <w:rPr>
                <w:sz w:val="24"/>
                <w:rtl/>
              </w:rPr>
            </w:pPr>
            <w:r>
              <w:rPr>
                <w:sz w:val="24"/>
                <w:rtl/>
              </w:rPr>
              <w:t>תחילה</w:t>
            </w:r>
          </w:p>
        </w:tc>
        <w:tc>
          <w:tcPr>
            <w:tcW w:w="1247" w:type="dxa"/>
          </w:tcPr>
          <w:p w14:paraId="31ACDE96" w14:textId="77777777" w:rsidR="00073216" w:rsidRDefault="00073216">
            <w:pPr>
              <w:spacing w:line="240" w:lineRule="auto"/>
              <w:jc w:val="left"/>
              <w:rPr>
                <w:rFonts w:hint="cs"/>
                <w:sz w:val="24"/>
              </w:rPr>
            </w:pPr>
            <w:r>
              <w:rPr>
                <w:sz w:val="24"/>
                <w:rtl/>
              </w:rPr>
              <w:t xml:space="preserve">סעיף 5 </w:t>
            </w:r>
          </w:p>
        </w:tc>
      </w:tr>
      <w:tr w:rsidR="00073216" w14:paraId="325321D5" w14:textId="77777777">
        <w:tblPrEx>
          <w:tblCellMar>
            <w:top w:w="0" w:type="dxa"/>
            <w:bottom w:w="0" w:type="dxa"/>
          </w:tblCellMar>
        </w:tblPrEx>
        <w:trPr>
          <w:jc w:val="right"/>
        </w:trPr>
        <w:tc>
          <w:tcPr>
            <w:tcW w:w="850" w:type="dxa"/>
          </w:tcPr>
          <w:p w14:paraId="74FC6398" w14:textId="77777777" w:rsidR="00073216" w:rsidRDefault="00073216">
            <w:pPr>
              <w:spacing w:line="240" w:lineRule="auto"/>
              <w:jc w:val="left"/>
              <w:rPr>
                <w:rFonts w:hint="cs"/>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DF7625">
              <w:rPr>
                <w:noProof/>
                <w:sz w:val="24"/>
                <w:rtl/>
              </w:rPr>
              <w:t>4</w:t>
            </w:r>
            <w:r>
              <w:rPr>
                <w:sz w:val="24"/>
                <w:rtl/>
              </w:rPr>
              <w:fldChar w:fldCharType="end"/>
            </w:r>
          </w:p>
        </w:tc>
        <w:tc>
          <w:tcPr>
            <w:tcW w:w="567" w:type="dxa"/>
          </w:tcPr>
          <w:p w14:paraId="1185C23F" w14:textId="77777777" w:rsidR="00073216" w:rsidRDefault="00073216">
            <w:pPr>
              <w:spacing w:line="240" w:lineRule="auto"/>
              <w:jc w:val="left"/>
              <w:rPr>
                <w:rFonts w:hint="cs"/>
                <w:sz w:val="24"/>
              </w:rPr>
            </w:pPr>
            <w:hyperlink w:anchor="Seif5" w:tooltip="הוראות מעבר" w:history="1">
              <w:r>
                <w:rPr>
                  <w:rStyle w:val="Hyperlink"/>
                </w:rPr>
                <w:t>Go</w:t>
              </w:r>
            </w:hyperlink>
          </w:p>
        </w:tc>
        <w:tc>
          <w:tcPr>
            <w:tcW w:w="5669" w:type="dxa"/>
          </w:tcPr>
          <w:p w14:paraId="5379A076" w14:textId="77777777" w:rsidR="00073216" w:rsidRDefault="00073216">
            <w:pPr>
              <w:spacing w:line="240" w:lineRule="auto"/>
              <w:jc w:val="left"/>
              <w:rPr>
                <w:sz w:val="24"/>
                <w:rtl/>
              </w:rPr>
            </w:pPr>
            <w:r>
              <w:rPr>
                <w:sz w:val="24"/>
                <w:rtl/>
              </w:rPr>
              <w:t>הוראות מעבר</w:t>
            </w:r>
          </w:p>
        </w:tc>
        <w:tc>
          <w:tcPr>
            <w:tcW w:w="1247" w:type="dxa"/>
          </w:tcPr>
          <w:p w14:paraId="7C0DA3D5" w14:textId="77777777" w:rsidR="00073216" w:rsidRDefault="00073216">
            <w:pPr>
              <w:spacing w:line="240" w:lineRule="auto"/>
              <w:jc w:val="left"/>
              <w:rPr>
                <w:rFonts w:hint="cs"/>
                <w:sz w:val="24"/>
              </w:rPr>
            </w:pPr>
            <w:r>
              <w:rPr>
                <w:sz w:val="24"/>
                <w:rtl/>
              </w:rPr>
              <w:t xml:space="preserve">סעיף 6 </w:t>
            </w:r>
          </w:p>
        </w:tc>
      </w:tr>
      <w:tr w:rsidR="00073216" w14:paraId="0AA09F41" w14:textId="77777777">
        <w:tblPrEx>
          <w:tblCellMar>
            <w:top w:w="0" w:type="dxa"/>
            <w:bottom w:w="0" w:type="dxa"/>
          </w:tblCellMar>
        </w:tblPrEx>
        <w:trPr>
          <w:jc w:val="right"/>
        </w:trPr>
        <w:tc>
          <w:tcPr>
            <w:tcW w:w="850" w:type="dxa"/>
          </w:tcPr>
          <w:p w14:paraId="3A45C12B" w14:textId="77777777" w:rsidR="00073216" w:rsidRDefault="00073216">
            <w:pPr>
              <w:spacing w:line="240" w:lineRule="auto"/>
              <w:jc w:val="left"/>
              <w:rPr>
                <w:rFonts w:hint="cs"/>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DF7625">
              <w:rPr>
                <w:noProof/>
                <w:sz w:val="24"/>
                <w:rtl/>
              </w:rPr>
              <w:t>4</w:t>
            </w:r>
            <w:r>
              <w:rPr>
                <w:sz w:val="24"/>
                <w:rtl/>
              </w:rPr>
              <w:fldChar w:fldCharType="end"/>
            </w:r>
          </w:p>
        </w:tc>
        <w:tc>
          <w:tcPr>
            <w:tcW w:w="567" w:type="dxa"/>
          </w:tcPr>
          <w:p w14:paraId="211071D4" w14:textId="77777777" w:rsidR="00073216" w:rsidRDefault="00073216">
            <w:pPr>
              <w:spacing w:line="240" w:lineRule="auto"/>
              <w:jc w:val="left"/>
              <w:rPr>
                <w:rFonts w:hint="cs"/>
                <w:sz w:val="24"/>
              </w:rPr>
            </w:pPr>
            <w:hyperlink w:anchor="med0" w:tooltip="התוספת הראשונה" w:history="1">
              <w:r>
                <w:rPr>
                  <w:rStyle w:val="Hyperlink"/>
                </w:rPr>
                <w:t>Go</w:t>
              </w:r>
            </w:hyperlink>
          </w:p>
        </w:tc>
        <w:tc>
          <w:tcPr>
            <w:tcW w:w="5669" w:type="dxa"/>
          </w:tcPr>
          <w:p w14:paraId="0EEB9860" w14:textId="77777777" w:rsidR="00073216" w:rsidRDefault="00073216">
            <w:pPr>
              <w:spacing w:line="240" w:lineRule="auto"/>
              <w:jc w:val="left"/>
              <w:rPr>
                <w:rFonts w:hint="cs"/>
                <w:sz w:val="24"/>
              </w:rPr>
            </w:pPr>
            <w:r>
              <w:rPr>
                <w:sz w:val="24"/>
                <w:rtl/>
              </w:rPr>
              <w:t>התוספת הראשונה</w:t>
            </w:r>
          </w:p>
        </w:tc>
        <w:tc>
          <w:tcPr>
            <w:tcW w:w="1247" w:type="dxa"/>
          </w:tcPr>
          <w:p w14:paraId="7F4163DA" w14:textId="77777777" w:rsidR="00073216" w:rsidRDefault="00073216">
            <w:pPr>
              <w:spacing w:line="240" w:lineRule="auto"/>
              <w:jc w:val="left"/>
              <w:rPr>
                <w:rFonts w:hint="cs"/>
                <w:sz w:val="24"/>
              </w:rPr>
            </w:pPr>
          </w:p>
        </w:tc>
      </w:tr>
      <w:tr w:rsidR="00073216" w14:paraId="188312BC" w14:textId="77777777">
        <w:tblPrEx>
          <w:tblCellMar>
            <w:top w:w="0" w:type="dxa"/>
            <w:bottom w:w="0" w:type="dxa"/>
          </w:tblCellMar>
        </w:tblPrEx>
        <w:trPr>
          <w:jc w:val="right"/>
        </w:trPr>
        <w:tc>
          <w:tcPr>
            <w:tcW w:w="850" w:type="dxa"/>
          </w:tcPr>
          <w:p w14:paraId="4F0A3A3C" w14:textId="77777777" w:rsidR="00073216" w:rsidRDefault="00073216">
            <w:pPr>
              <w:spacing w:line="240" w:lineRule="auto"/>
              <w:jc w:val="left"/>
              <w:rPr>
                <w:rFonts w:hint="cs"/>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sidR="00DF7625">
              <w:rPr>
                <w:noProof/>
                <w:sz w:val="24"/>
                <w:rtl/>
              </w:rPr>
              <w:t>4</w:t>
            </w:r>
            <w:r>
              <w:rPr>
                <w:sz w:val="24"/>
                <w:rtl/>
              </w:rPr>
              <w:fldChar w:fldCharType="end"/>
            </w:r>
          </w:p>
        </w:tc>
        <w:tc>
          <w:tcPr>
            <w:tcW w:w="567" w:type="dxa"/>
          </w:tcPr>
          <w:p w14:paraId="5668DD6C" w14:textId="77777777" w:rsidR="00073216" w:rsidRDefault="00073216">
            <w:pPr>
              <w:spacing w:line="240" w:lineRule="auto"/>
              <w:jc w:val="left"/>
              <w:rPr>
                <w:rFonts w:hint="cs"/>
                <w:sz w:val="24"/>
              </w:rPr>
            </w:pPr>
            <w:hyperlink w:anchor="med1" w:tooltip="תוספת שניה" w:history="1">
              <w:r>
                <w:rPr>
                  <w:rStyle w:val="Hyperlink"/>
                </w:rPr>
                <w:t>Go</w:t>
              </w:r>
            </w:hyperlink>
          </w:p>
        </w:tc>
        <w:tc>
          <w:tcPr>
            <w:tcW w:w="5669" w:type="dxa"/>
          </w:tcPr>
          <w:p w14:paraId="100358F8" w14:textId="77777777" w:rsidR="00073216" w:rsidRDefault="00073216">
            <w:pPr>
              <w:spacing w:line="240" w:lineRule="auto"/>
              <w:jc w:val="left"/>
              <w:rPr>
                <w:rFonts w:hint="cs"/>
                <w:sz w:val="24"/>
              </w:rPr>
            </w:pPr>
            <w:r>
              <w:rPr>
                <w:sz w:val="24"/>
                <w:rtl/>
              </w:rPr>
              <w:t>תוספת שניה</w:t>
            </w:r>
          </w:p>
        </w:tc>
        <w:tc>
          <w:tcPr>
            <w:tcW w:w="1247" w:type="dxa"/>
          </w:tcPr>
          <w:p w14:paraId="6B78E8AD" w14:textId="77777777" w:rsidR="00073216" w:rsidRDefault="00073216">
            <w:pPr>
              <w:spacing w:line="240" w:lineRule="auto"/>
              <w:jc w:val="left"/>
              <w:rPr>
                <w:rFonts w:hint="cs"/>
                <w:sz w:val="24"/>
              </w:rPr>
            </w:pPr>
          </w:p>
        </w:tc>
      </w:tr>
    </w:tbl>
    <w:p w14:paraId="777280B3" w14:textId="77777777" w:rsidR="00073216" w:rsidRDefault="00073216">
      <w:pPr>
        <w:pStyle w:val="P00"/>
        <w:spacing w:before="72"/>
        <w:ind w:left="0" w:right="1134"/>
        <w:rPr>
          <w:rFonts w:cs="FrankRuehl" w:hint="cs"/>
          <w:sz w:val="26"/>
          <w:rtl/>
        </w:rPr>
      </w:pPr>
    </w:p>
    <w:p w14:paraId="7EC03B06" w14:textId="77777777" w:rsidR="00073216" w:rsidRDefault="00073216" w:rsidP="00DF7625">
      <w:pPr>
        <w:pStyle w:val="big-header"/>
        <w:ind w:left="0" w:right="1134"/>
        <w:rPr>
          <w:rStyle w:val="default"/>
          <w:rFonts w:cs="FrankRuehl" w:hint="cs"/>
          <w:rtl/>
        </w:rPr>
      </w:pPr>
      <w:r>
        <w:rPr>
          <w:rFonts w:cs="FrankRuehl"/>
          <w:sz w:val="26"/>
          <w:rtl/>
        </w:rPr>
        <w:br w:type="page"/>
      </w:r>
      <w:r w:rsidR="00DF7625">
        <w:rPr>
          <w:rFonts w:cs="FrankRuehl" w:hint="cs"/>
          <w:sz w:val="32"/>
          <w:rtl/>
          <w:lang w:eastAsia="en-US"/>
        </w:rPr>
        <w:lastRenderedPageBreak/>
        <w:pict w14:anchorId="02E8FCED">
          <v:shapetype id="_x0000_t202" coordsize="21600,21600" o:spt="202" path="m,l,21600r21600,l21600,xe">
            <v:stroke joinstyle="miter"/>
            <v:path gradientshapeok="t" o:connecttype="rect"/>
          </v:shapetype>
          <v:shape id="_x0000_s1134" type="#_x0000_t202" style="position:absolute;left:0;text-align:left;margin-left:470.25pt;margin-top:25.5pt;width:1in;height:11.2pt;z-index:251665408" filled="f" stroked="f">
            <v:textbox inset="1mm,0,1mm,0">
              <w:txbxContent>
                <w:p w14:paraId="62227FD1" w14:textId="77777777" w:rsidR="00DF7625" w:rsidRDefault="00DF7625" w:rsidP="00DF7625">
                  <w:pPr>
                    <w:spacing w:line="160" w:lineRule="exact"/>
                    <w:jc w:val="left"/>
                    <w:rPr>
                      <w:rFonts w:cs="Miriam" w:hint="cs"/>
                      <w:sz w:val="18"/>
                      <w:szCs w:val="18"/>
                      <w:rtl/>
                    </w:rPr>
                  </w:pPr>
                  <w:r>
                    <w:rPr>
                      <w:rFonts w:cs="Miriam" w:hint="cs"/>
                      <w:sz w:val="18"/>
                      <w:szCs w:val="18"/>
                      <w:rtl/>
                    </w:rPr>
                    <w:t>צו תשס"ה-2004</w:t>
                  </w:r>
                </w:p>
              </w:txbxContent>
            </v:textbox>
            <w10:anchorlock/>
          </v:shape>
        </w:pict>
      </w:r>
      <w:r>
        <w:rPr>
          <w:rFonts w:cs="FrankRuehl" w:hint="cs"/>
          <w:sz w:val="32"/>
          <w:rtl/>
        </w:rPr>
        <w:t xml:space="preserve">צו הגבלת הפרסומת והשיווק של מוצרי טבק (שינוי נוסחי אזהרה), </w:t>
      </w:r>
      <w:r>
        <w:rPr>
          <w:rFonts w:cs="FrankRuehl"/>
          <w:sz w:val="32"/>
          <w:rtl/>
        </w:rPr>
        <w:br/>
      </w:r>
      <w:r>
        <w:rPr>
          <w:rFonts w:cs="FrankRuehl" w:hint="cs"/>
          <w:sz w:val="32"/>
          <w:rtl/>
        </w:rPr>
        <w:t>תשס"ג-2002</w:t>
      </w:r>
      <w:r>
        <w:rPr>
          <w:rStyle w:val="default"/>
          <w:sz w:val="22"/>
          <w:szCs w:val="22"/>
          <w:rtl/>
        </w:rPr>
        <w:footnoteReference w:customMarkFollows="1" w:id="1"/>
        <w:t>*</w:t>
      </w:r>
    </w:p>
    <w:p w14:paraId="2FA559E1" w14:textId="77777777" w:rsidR="00CC14B2" w:rsidRPr="00BE38D3" w:rsidRDefault="00CC14B2" w:rsidP="007A7243">
      <w:pPr>
        <w:pStyle w:val="P00"/>
        <w:tabs>
          <w:tab w:val="clear" w:pos="6259"/>
        </w:tabs>
        <w:spacing w:before="0"/>
        <w:ind w:left="0" w:right="1134"/>
        <w:rPr>
          <w:rFonts w:cs="FrankRuehl" w:hint="cs"/>
          <w:vanish/>
          <w:color w:val="FF0000"/>
          <w:szCs w:val="20"/>
          <w:shd w:val="clear" w:color="auto" w:fill="FFFF99"/>
          <w:rtl/>
        </w:rPr>
      </w:pPr>
      <w:bookmarkStart w:id="0" w:name="Rov24"/>
      <w:r w:rsidRPr="00BE38D3">
        <w:rPr>
          <w:rFonts w:cs="FrankRuehl" w:hint="cs"/>
          <w:vanish/>
          <w:color w:val="FF0000"/>
          <w:szCs w:val="20"/>
          <w:shd w:val="clear" w:color="auto" w:fill="FFFF99"/>
          <w:rtl/>
        </w:rPr>
        <w:t xml:space="preserve">מיום </w:t>
      </w:r>
      <w:r w:rsidR="007A7243" w:rsidRPr="00BE38D3">
        <w:rPr>
          <w:rFonts w:cs="FrankRuehl" w:hint="cs"/>
          <w:vanish/>
          <w:color w:val="FF0000"/>
          <w:szCs w:val="20"/>
          <w:shd w:val="clear" w:color="auto" w:fill="FFFF99"/>
          <w:rtl/>
        </w:rPr>
        <w:t>1</w:t>
      </w:r>
      <w:r w:rsidRPr="00BE38D3">
        <w:rPr>
          <w:rFonts w:cs="FrankRuehl" w:hint="cs"/>
          <w:vanish/>
          <w:color w:val="FF0000"/>
          <w:szCs w:val="20"/>
          <w:shd w:val="clear" w:color="auto" w:fill="FFFF99"/>
          <w:rtl/>
        </w:rPr>
        <w:t>.</w:t>
      </w:r>
      <w:r w:rsidR="007A7243" w:rsidRPr="00BE38D3">
        <w:rPr>
          <w:rFonts w:cs="FrankRuehl" w:hint="cs"/>
          <w:vanish/>
          <w:color w:val="FF0000"/>
          <w:szCs w:val="20"/>
          <w:shd w:val="clear" w:color="auto" w:fill="FFFF99"/>
          <w:rtl/>
        </w:rPr>
        <w:t>12</w:t>
      </w:r>
      <w:r w:rsidRPr="00BE38D3">
        <w:rPr>
          <w:rFonts w:cs="FrankRuehl" w:hint="cs"/>
          <w:vanish/>
          <w:color w:val="FF0000"/>
          <w:szCs w:val="20"/>
          <w:shd w:val="clear" w:color="auto" w:fill="FFFF99"/>
          <w:rtl/>
        </w:rPr>
        <w:t>.200</w:t>
      </w:r>
      <w:r w:rsidR="007A7243" w:rsidRPr="00BE38D3">
        <w:rPr>
          <w:rFonts w:cs="FrankRuehl" w:hint="cs"/>
          <w:vanish/>
          <w:color w:val="FF0000"/>
          <w:szCs w:val="20"/>
          <w:shd w:val="clear" w:color="auto" w:fill="FFFF99"/>
          <w:rtl/>
        </w:rPr>
        <w:t>4</w:t>
      </w:r>
    </w:p>
    <w:p w14:paraId="7575DA96" w14:textId="77777777" w:rsidR="00CC14B2" w:rsidRPr="00BE38D3" w:rsidRDefault="00CC14B2" w:rsidP="00F85BAA">
      <w:pPr>
        <w:pStyle w:val="P00"/>
        <w:spacing w:before="0"/>
        <w:ind w:left="0" w:right="1134"/>
        <w:rPr>
          <w:rFonts w:cs="FrankRuehl" w:hint="cs"/>
          <w:b/>
          <w:bCs/>
          <w:vanish/>
          <w:szCs w:val="20"/>
          <w:shd w:val="clear" w:color="auto" w:fill="FFFF99"/>
          <w:rtl/>
        </w:rPr>
      </w:pPr>
      <w:r w:rsidRPr="00BE38D3">
        <w:rPr>
          <w:rFonts w:cs="FrankRuehl" w:hint="cs"/>
          <w:b/>
          <w:bCs/>
          <w:vanish/>
          <w:szCs w:val="20"/>
          <w:shd w:val="clear" w:color="auto" w:fill="FFFF99"/>
          <w:rtl/>
        </w:rPr>
        <w:t>צו תשס"</w:t>
      </w:r>
      <w:r w:rsidR="00F85BAA" w:rsidRPr="00BE38D3">
        <w:rPr>
          <w:rFonts w:cs="FrankRuehl" w:hint="cs"/>
          <w:b/>
          <w:bCs/>
          <w:vanish/>
          <w:szCs w:val="20"/>
          <w:shd w:val="clear" w:color="auto" w:fill="FFFF99"/>
          <w:rtl/>
        </w:rPr>
        <w:t>ה</w:t>
      </w:r>
      <w:r w:rsidRPr="00BE38D3">
        <w:rPr>
          <w:rFonts w:cs="FrankRuehl" w:hint="cs"/>
          <w:b/>
          <w:bCs/>
          <w:vanish/>
          <w:szCs w:val="20"/>
          <w:shd w:val="clear" w:color="auto" w:fill="FFFF99"/>
          <w:rtl/>
        </w:rPr>
        <w:t>-200</w:t>
      </w:r>
      <w:r w:rsidR="00F85BAA" w:rsidRPr="00BE38D3">
        <w:rPr>
          <w:rFonts w:cs="FrankRuehl" w:hint="cs"/>
          <w:b/>
          <w:bCs/>
          <w:vanish/>
          <w:szCs w:val="20"/>
          <w:shd w:val="clear" w:color="auto" w:fill="FFFF99"/>
          <w:rtl/>
        </w:rPr>
        <w:t>4</w:t>
      </w:r>
    </w:p>
    <w:p w14:paraId="454FA221" w14:textId="77777777" w:rsidR="00CC14B2" w:rsidRPr="00BE38D3" w:rsidRDefault="00F85BAA" w:rsidP="00F85BAA">
      <w:pPr>
        <w:pStyle w:val="P00"/>
        <w:spacing w:before="0"/>
        <w:ind w:left="0" w:right="1134"/>
        <w:rPr>
          <w:rFonts w:cs="FrankRuehl" w:hint="cs"/>
          <w:vanish/>
          <w:szCs w:val="20"/>
          <w:shd w:val="clear" w:color="auto" w:fill="FFFF99"/>
          <w:rtl/>
        </w:rPr>
      </w:pPr>
      <w:hyperlink r:id="rId6" w:history="1">
        <w:r w:rsidRPr="00BE38D3">
          <w:rPr>
            <w:rStyle w:val="Hyperlink"/>
            <w:rFonts w:cs="FrankRuehl" w:hint="cs"/>
            <w:vanish/>
            <w:szCs w:val="20"/>
            <w:shd w:val="clear" w:color="auto" w:fill="FFFF99"/>
            <w:rtl/>
          </w:rPr>
          <w:t>ק"ת תשס"ה מס' 6349</w:t>
        </w:r>
      </w:hyperlink>
      <w:r w:rsidR="00CC14B2" w:rsidRPr="00BE38D3">
        <w:rPr>
          <w:rFonts w:cs="FrankRuehl" w:hint="cs"/>
          <w:vanish/>
          <w:szCs w:val="20"/>
          <w:shd w:val="clear" w:color="auto" w:fill="FFFF99"/>
          <w:rtl/>
        </w:rPr>
        <w:t xml:space="preserve"> מיום </w:t>
      </w:r>
      <w:r w:rsidRPr="00BE38D3">
        <w:rPr>
          <w:rFonts w:cs="FrankRuehl" w:hint="cs"/>
          <w:vanish/>
          <w:szCs w:val="20"/>
          <w:shd w:val="clear" w:color="auto" w:fill="FFFF99"/>
          <w:rtl/>
        </w:rPr>
        <w:t>18</w:t>
      </w:r>
      <w:r w:rsidR="00CC14B2" w:rsidRPr="00BE38D3">
        <w:rPr>
          <w:rFonts w:cs="FrankRuehl" w:hint="cs"/>
          <w:vanish/>
          <w:szCs w:val="20"/>
          <w:shd w:val="clear" w:color="auto" w:fill="FFFF99"/>
          <w:rtl/>
        </w:rPr>
        <w:t>.</w:t>
      </w:r>
      <w:r w:rsidRPr="00BE38D3">
        <w:rPr>
          <w:rFonts w:cs="FrankRuehl" w:hint="cs"/>
          <w:vanish/>
          <w:szCs w:val="20"/>
          <w:shd w:val="clear" w:color="auto" w:fill="FFFF99"/>
          <w:rtl/>
        </w:rPr>
        <w:t>11</w:t>
      </w:r>
      <w:r w:rsidR="00CC14B2" w:rsidRPr="00BE38D3">
        <w:rPr>
          <w:rFonts w:cs="FrankRuehl" w:hint="cs"/>
          <w:vanish/>
          <w:szCs w:val="20"/>
          <w:shd w:val="clear" w:color="auto" w:fill="FFFF99"/>
          <w:rtl/>
        </w:rPr>
        <w:t>.200</w:t>
      </w:r>
      <w:r w:rsidRPr="00BE38D3">
        <w:rPr>
          <w:rFonts w:cs="FrankRuehl" w:hint="cs"/>
          <w:vanish/>
          <w:szCs w:val="20"/>
          <w:shd w:val="clear" w:color="auto" w:fill="FFFF99"/>
          <w:rtl/>
        </w:rPr>
        <w:t>4</w:t>
      </w:r>
      <w:r w:rsidR="00CC14B2" w:rsidRPr="00BE38D3">
        <w:rPr>
          <w:rFonts w:cs="FrankRuehl" w:hint="cs"/>
          <w:vanish/>
          <w:szCs w:val="20"/>
          <w:shd w:val="clear" w:color="auto" w:fill="FFFF99"/>
          <w:rtl/>
        </w:rPr>
        <w:t xml:space="preserve"> עמ' </w:t>
      </w:r>
      <w:r w:rsidRPr="00BE38D3">
        <w:rPr>
          <w:rFonts w:cs="FrankRuehl" w:hint="cs"/>
          <w:vanish/>
          <w:szCs w:val="20"/>
          <w:shd w:val="clear" w:color="auto" w:fill="FFFF99"/>
          <w:rtl/>
        </w:rPr>
        <w:t>165</w:t>
      </w:r>
    </w:p>
    <w:p w14:paraId="1B0BACB9" w14:textId="77777777" w:rsidR="00CC14B2" w:rsidRPr="00FA052E" w:rsidRDefault="005C2384" w:rsidP="008F0415">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sz w:val="2"/>
          <w:szCs w:val="2"/>
          <w:rtl/>
        </w:rPr>
      </w:pPr>
      <w:r w:rsidRPr="00BE38D3">
        <w:rPr>
          <w:rFonts w:cs="FrankRuehl" w:hint="cs"/>
          <w:vanish/>
          <w:shd w:val="clear" w:color="auto" w:fill="FFFF99"/>
          <w:rtl/>
        </w:rPr>
        <w:t xml:space="preserve">צו הגבלת הפרסומת </w:t>
      </w:r>
      <w:r w:rsidRPr="00BE38D3">
        <w:rPr>
          <w:rFonts w:cs="FrankRuehl" w:hint="cs"/>
          <w:strike/>
          <w:vanish/>
          <w:shd w:val="clear" w:color="auto" w:fill="FFFF99"/>
          <w:rtl/>
        </w:rPr>
        <w:t>למוצרי טבק לעישון</w:t>
      </w:r>
      <w:r w:rsidRPr="00BE38D3">
        <w:rPr>
          <w:rFonts w:cs="FrankRuehl" w:hint="cs"/>
          <w:vanish/>
          <w:shd w:val="clear" w:color="auto" w:fill="FFFF99"/>
          <w:rtl/>
        </w:rPr>
        <w:t xml:space="preserve"> </w:t>
      </w:r>
      <w:r w:rsidRPr="00BE38D3">
        <w:rPr>
          <w:rFonts w:cs="FrankRuehl" w:hint="cs"/>
          <w:vanish/>
          <w:u w:val="single"/>
          <w:shd w:val="clear" w:color="auto" w:fill="FFFF99"/>
          <w:rtl/>
        </w:rPr>
        <w:t>והשיווק של מוצרי טבק</w:t>
      </w:r>
      <w:r w:rsidRPr="00BE38D3">
        <w:rPr>
          <w:rFonts w:cs="FrankRuehl" w:hint="cs"/>
          <w:vanish/>
          <w:shd w:val="clear" w:color="auto" w:fill="FFFF99"/>
          <w:rtl/>
        </w:rPr>
        <w:t xml:space="preserve"> (שינוי נוסחי אזהרה), תשס"ג-2002</w:t>
      </w:r>
      <w:bookmarkEnd w:id="0"/>
    </w:p>
    <w:p w14:paraId="29EDFBCB" w14:textId="77777777" w:rsidR="00073216" w:rsidRDefault="00073216">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וקף סמכותי לפי סעיף 9(ג) לחוק הגבלת הפרסומת למוצרי טבק לעישון, התשמ"ג-1983 (להלן </w:t>
      </w:r>
      <w:r>
        <w:rPr>
          <w:rStyle w:val="default"/>
          <w:rFonts w:cs="FrankRuehl"/>
          <w:rtl/>
        </w:rPr>
        <w:t>–</w:t>
      </w:r>
      <w:r>
        <w:rPr>
          <w:rStyle w:val="default"/>
          <w:rFonts w:cs="FrankRuehl" w:hint="cs"/>
          <w:rtl/>
        </w:rPr>
        <w:t xml:space="preserve"> החוק), ובאישור ועדת הכלכלה של הכנסת, אני מצווה לאמור:</w:t>
      </w:r>
    </w:p>
    <w:p w14:paraId="29E15245" w14:textId="77777777" w:rsidR="00073216" w:rsidRDefault="00073216">
      <w:pPr>
        <w:pStyle w:val="P00"/>
        <w:spacing w:before="72"/>
        <w:ind w:left="0" w:right="1134"/>
        <w:rPr>
          <w:rStyle w:val="default"/>
          <w:rFonts w:cs="FrankRuehl" w:hint="cs"/>
          <w:rtl/>
        </w:rPr>
      </w:pPr>
      <w:bookmarkStart w:id="1" w:name="Seif0"/>
      <w:bookmarkEnd w:id="1"/>
      <w:r>
        <w:rPr>
          <w:lang w:val="he-IL"/>
        </w:rPr>
        <w:pict w14:anchorId="3F3BCC57">
          <v:rect id="_x0000_s1026" style="position:absolute;left:0;text-align:left;margin-left:464.5pt;margin-top:8.05pt;width:75.05pt;height:18pt;z-index:251650048" o:allowincell="f" filled="f" stroked="f" strokecolor="lime" strokeweight=".25pt">
            <v:textbox inset="0,0,0,0">
              <w:txbxContent>
                <w:p w14:paraId="501433FE" w14:textId="77777777" w:rsidR="00073216" w:rsidRDefault="00073216">
                  <w:pPr>
                    <w:spacing w:line="160" w:lineRule="exact"/>
                    <w:jc w:val="left"/>
                    <w:rPr>
                      <w:rFonts w:cs="Miriam" w:hint="cs"/>
                      <w:sz w:val="18"/>
                      <w:szCs w:val="18"/>
                      <w:rtl/>
                    </w:rPr>
                  </w:pPr>
                  <w:r>
                    <w:rPr>
                      <w:rFonts w:cs="Miriam" w:hint="cs"/>
                      <w:sz w:val="18"/>
                      <w:szCs w:val="18"/>
                      <w:rtl/>
                    </w:rPr>
                    <w:t>שינוי נוסח אזהרה</w:t>
                  </w:r>
                </w:p>
                <w:p w14:paraId="321B7CCD" w14:textId="77777777" w:rsidR="00073216" w:rsidRDefault="00073216">
                  <w:pPr>
                    <w:spacing w:line="160" w:lineRule="exact"/>
                    <w:jc w:val="left"/>
                    <w:rPr>
                      <w:rFonts w:cs="Miriam" w:hint="cs"/>
                      <w:noProof/>
                      <w:sz w:val="18"/>
                      <w:szCs w:val="18"/>
                      <w:rtl/>
                    </w:rPr>
                  </w:pPr>
                  <w:r>
                    <w:rPr>
                      <w:rFonts w:cs="Miriam" w:hint="cs"/>
                      <w:sz w:val="18"/>
                      <w:szCs w:val="18"/>
                      <w:rtl/>
                    </w:rPr>
                    <w:t>צו תשס"ג-2003</w:t>
                  </w:r>
                </w:p>
              </w:txbxContent>
            </v:textbox>
            <w10:anchorlock/>
          </v:rect>
        </w:pict>
      </w:r>
      <w:r>
        <w:rPr>
          <w:rStyle w:val="big-number"/>
          <w:rFonts w:cs="Miriam"/>
          <w:rtl/>
        </w:rPr>
        <w:t>1.</w:t>
      </w:r>
      <w:r>
        <w:rPr>
          <w:rStyle w:val="big-number"/>
          <w:rFonts w:cs="Miriam"/>
          <w:rtl/>
        </w:rPr>
        <w:tab/>
      </w:r>
      <w:r>
        <w:rPr>
          <w:rStyle w:val="default"/>
          <w:rFonts w:cs="FrankRuehl" w:hint="cs"/>
          <w:rtl/>
        </w:rPr>
        <w:t>במקום נוסח האזהרה הקבוע בסעיף 9(א) לחוק יבוא:</w:t>
      </w:r>
    </w:p>
    <w:p w14:paraId="441DEB65" w14:textId="77777777" w:rsidR="00073216" w:rsidRDefault="0007321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לענין סעיף 4(ב) לחוק: "סיגריות גורמות למחלות ומוות בטרם עת.";</w:t>
      </w:r>
    </w:p>
    <w:p w14:paraId="4ADC62B9" w14:textId="77777777" w:rsidR="00073216" w:rsidRDefault="00073216">
      <w:pPr>
        <w:pStyle w:val="P00"/>
        <w:spacing w:before="72"/>
        <w:ind w:left="624" w:right="1134"/>
        <w:rPr>
          <w:rStyle w:val="default"/>
          <w:rFonts w:cs="FrankRuehl" w:hint="cs"/>
          <w:rtl/>
        </w:rPr>
      </w:pPr>
      <w:r>
        <w:rPr>
          <w:rFonts w:cs="FrankRuehl"/>
          <w:rtl/>
          <w:lang w:val="he-IL"/>
        </w:rPr>
        <w:pict w14:anchorId="741B00F1">
          <v:shape id="_x0000_s1116" type="#_x0000_t202" style="position:absolute;left:0;text-align:left;margin-left:470.25pt;margin-top:6.35pt;width:1in;height:17.6pt;z-index:251656192" filled="f" stroked="f">
            <v:textbox inset="1mm,0,1mm,0">
              <w:txbxContent>
                <w:p w14:paraId="186E4C97" w14:textId="77777777" w:rsidR="00073216" w:rsidRDefault="00073216">
                  <w:pPr>
                    <w:spacing w:line="160" w:lineRule="exact"/>
                    <w:jc w:val="left"/>
                    <w:rPr>
                      <w:rFonts w:cs="Miriam" w:hint="cs"/>
                      <w:sz w:val="18"/>
                      <w:szCs w:val="18"/>
                      <w:rtl/>
                    </w:rPr>
                  </w:pPr>
                  <w:r>
                    <w:rPr>
                      <w:rFonts w:cs="Miriam" w:hint="cs"/>
                      <w:sz w:val="18"/>
                      <w:szCs w:val="18"/>
                      <w:rtl/>
                    </w:rPr>
                    <w:t>צו תשס"ד-2004</w:t>
                  </w:r>
                </w:p>
                <w:p w14:paraId="5A7CF8CC" w14:textId="77777777" w:rsidR="00073216" w:rsidRDefault="00073216">
                  <w:pPr>
                    <w:spacing w:line="160" w:lineRule="exact"/>
                    <w:jc w:val="left"/>
                    <w:rPr>
                      <w:rFonts w:cs="Miriam" w:hint="cs"/>
                      <w:sz w:val="18"/>
                      <w:szCs w:val="18"/>
                      <w:rtl/>
                    </w:rPr>
                  </w:pPr>
                  <w:r>
                    <w:rPr>
                      <w:rFonts w:cs="Miriam" w:hint="cs"/>
                      <w:sz w:val="18"/>
                      <w:szCs w:val="18"/>
                      <w:rtl/>
                    </w:rPr>
                    <w:t>צו תשס"ה-2004</w:t>
                  </w:r>
                </w:p>
              </w:txbxContent>
            </v:textbox>
            <w10:anchorlock/>
          </v:shape>
        </w:pict>
      </w:r>
      <w:r>
        <w:rPr>
          <w:rStyle w:val="default"/>
          <w:rFonts w:cs="FrankRuehl" w:hint="cs"/>
          <w:rtl/>
        </w:rPr>
        <w:t>(2)</w:t>
      </w:r>
      <w:r>
        <w:rPr>
          <w:rStyle w:val="default"/>
          <w:rFonts w:cs="FrankRuehl" w:hint="cs"/>
          <w:rtl/>
        </w:rPr>
        <w:tab/>
        <w:t xml:space="preserve">לענין סעיף 7 לחוק: אחד הנסחים ברשימה שבתוספת הראשונה (להלן </w:t>
      </w:r>
      <w:r>
        <w:rPr>
          <w:rStyle w:val="default"/>
          <w:rFonts w:cs="FrankRuehl"/>
          <w:rtl/>
        </w:rPr>
        <w:t>–</w:t>
      </w:r>
      <w:r>
        <w:rPr>
          <w:rStyle w:val="default"/>
          <w:rFonts w:cs="FrankRuehl" w:hint="cs"/>
          <w:rtl/>
        </w:rPr>
        <w:t xml:space="preserve"> הרשימה), שיוחלף מדי חודשיים בנוסח הבא אחריו ברשימה;</w:t>
      </w:r>
    </w:p>
    <w:p w14:paraId="03C435AB" w14:textId="77777777" w:rsidR="00073216" w:rsidRDefault="00073216">
      <w:pPr>
        <w:pStyle w:val="P00"/>
        <w:spacing w:before="72"/>
        <w:ind w:left="624" w:right="1134"/>
        <w:rPr>
          <w:rStyle w:val="default"/>
          <w:rFonts w:cs="FrankRuehl" w:hint="cs"/>
          <w:rtl/>
        </w:rPr>
      </w:pPr>
      <w:r>
        <w:rPr>
          <w:rFonts w:cs="FrankRuehl"/>
          <w:rtl/>
          <w:lang w:val="he-IL"/>
        </w:rPr>
        <w:pict w14:anchorId="4B001E81">
          <v:shape id="_x0000_s1117" type="#_x0000_t202" style="position:absolute;left:0;text-align:left;margin-left:470.25pt;margin-top:7.1pt;width:1in;height:11.2pt;z-index:251657216" filled="f" stroked="f">
            <v:textbox inset="1mm,0,1mm,0">
              <w:txbxContent>
                <w:p w14:paraId="44DBBE42" w14:textId="77777777" w:rsidR="00073216" w:rsidRDefault="00073216">
                  <w:pPr>
                    <w:spacing w:line="160" w:lineRule="exact"/>
                    <w:jc w:val="left"/>
                    <w:rPr>
                      <w:rFonts w:cs="Miriam" w:hint="cs"/>
                      <w:sz w:val="18"/>
                      <w:szCs w:val="18"/>
                      <w:rtl/>
                    </w:rPr>
                  </w:pPr>
                  <w:r>
                    <w:rPr>
                      <w:rFonts w:cs="Miriam" w:hint="cs"/>
                      <w:sz w:val="18"/>
                      <w:szCs w:val="18"/>
                      <w:rtl/>
                    </w:rPr>
                    <w:t>צו תשס"ד-2004</w:t>
                  </w:r>
                </w:p>
              </w:txbxContent>
            </v:textbox>
            <w10:anchorlock/>
          </v:shape>
        </w:pict>
      </w:r>
      <w:r>
        <w:rPr>
          <w:rStyle w:val="default"/>
          <w:rFonts w:cs="FrankRuehl" w:hint="cs"/>
          <w:rtl/>
        </w:rPr>
        <w:t>(3)</w:t>
      </w:r>
      <w:r>
        <w:rPr>
          <w:rStyle w:val="default"/>
          <w:rFonts w:cs="FrankRuehl" w:hint="cs"/>
          <w:rtl/>
        </w:rPr>
        <w:tab/>
        <w:t>לענין סעיף 9(א) לחוק, אחד הנוסחים בתוספת השניה; הנוסחים יוחלפו באופן שיבטיח את הופעתם הסדירה שלכל הנוסחים כשהם מחולקים באופן שווה בין חפיסות של אותו מותג; לענין פסקה זו, יראו את הנוסחים כמחולקים באופן שווה כשכל נוסח מופיע על 6.33% עד 10.33% מן האריזות של אותו מותג של אותו יצרן בתום הייצור במפעל היצרן לענין מוצר טבק המיוצר בישראל או במחסן היבואן לענין מוצר טבק מיובא;</w:t>
      </w:r>
    </w:p>
    <w:p w14:paraId="194B8829" w14:textId="77777777" w:rsidR="00073216" w:rsidRDefault="00073216">
      <w:pPr>
        <w:pStyle w:val="P00"/>
        <w:spacing w:before="72"/>
        <w:ind w:left="624" w:right="1134"/>
        <w:rPr>
          <w:rStyle w:val="default"/>
          <w:rFonts w:cs="FrankRuehl" w:hint="cs"/>
          <w:rtl/>
        </w:rPr>
      </w:pPr>
      <w:r>
        <w:rPr>
          <w:rFonts w:cs="FrankRuehl"/>
          <w:rtl/>
          <w:lang w:val="he-IL"/>
        </w:rPr>
        <w:pict w14:anchorId="5E9F0591">
          <v:shape id="_x0000_s1118" type="#_x0000_t202" style="position:absolute;left:0;text-align:left;margin-left:470.25pt;margin-top:7.1pt;width:1in;height:11.2pt;z-index:251658240" filled="f" stroked="f">
            <v:textbox inset="1mm,0,1mm,0">
              <w:txbxContent>
                <w:p w14:paraId="5F25C7CA" w14:textId="77777777" w:rsidR="00073216" w:rsidRDefault="00073216">
                  <w:pPr>
                    <w:spacing w:line="160" w:lineRule="exact"/>
                    <w:jc w:val="left"/>
                    <w:rPr>
                      <w:rFonts w:cs="Miriam" w:hint="cs"/>
                      <w:sz w:val="18"/>
                      <w:szCs w:val="18"/>
                      <w:rtl/>
                    </w:rPr>
                  </w:pPr>
                  <w:r>
                    <w:rPr>
                      <w:rFonts w:cs="Miriam" w:hint="cs"/>
                      <w:sz w:val="18"/>
                      <w:szCs w:val="18"/>
                      <w:rtl/>
                    </w:rPr>
                    <w:t>צו תשס"ד-2004</w:t>
                  </w:r>
                </w:p>
              </w:txbxContent>
            </v:textbox>
            <w10:anchorlock/>
          </v:shape>
        </w:pict>
      </w:r>
      <w:r>
        <w:rPr>
          <w:rStyle w:val="default"/>
          <w:rFonts w:cs="FrankRuehl" w:hint="cs"/>
          <w:rtl/>
        </w:rPr>
        <w:t>(4)</w:t>
      </w:r>
      <w:r>
        <w:rPr>
          <w:rStyle w:val="default"/>
          <w:rFonts w:cs="FrankRuehl" w:hint="cs"/>
          <w:rtl/>
        </w:rPr>
        <w:tab/>
        <w:t>על אף האמור בפסקה (3), אריזה חיצונית של מוצר טבק לשיווק קמעונאי שבתוכה כמות אריזות, שכל אחת מהן מסומנת לפי הוראות צו זה, תסומן באזהרה "העישון הורג".</w:t>
      </w:r>
    </w:p>
    <w:p w14:paraId="01B358BA" w14:textId="77777777" w:rsidR="00047F5C" w:rsidRPr="00BE38D3" w:rsidRDefault="00047F5C" w:rsidP="00047F5C">
      <w:pPr>
        <w:pStyle w:val="P00"/>
        <w:tabs>
          <w:tab w:val="clear" w:pos="6259"/>
        </w:tabs>
        <w:spacing w:before="0"/>
        <w:ind w:left="0" w:right="1134"/>
        <w:rPr>
          <w:rFonts w:cs="FrankRuehl" w:hint="cs"/>
          <w:vanish/>
          <w:szCs w:val="20"/>
          <w:shd w:val="clear" w:color="auto" w:fill="FFFF99"/>
          <w:rtl/>
        </w:rPr>
      </w:pPr>
      <w:bookmarkStart w:id="2" w:name="Rov25"/>
      <w:r w:rsidRPr="00BE38D3">
        <w:rPr>
          <w:rFonts w:cs="FrankRuehl" w:hint="cs"/>
          <w:vanish/>
          <w:color w:val="FF0000"/>
          <w:szCs w:val="20"/>
          <w:shd w:val="clear" w:color="auto" w:fill="FFFF99"/>
          <w:rtl/>
        </w:rPr>
        <w:t>מיום 12.10.2003</w:t>
      </w:r>
    </w:p>
    <w:p w14:paraId="585F8427" w14:textId="77777777" w:rsidR="00047F5C" w:rsidRPr="00BE38D3" w:rsidRDefault="00047F5C" w:rsidP="00047F5C">
      <w:pPr>
        <w:pStyle w:val="P00"/>
        <w:spacing w:before="0"/>
        <w:ind w:left="0" w:right="1134"/>
        <w:rPr>
          <w:rFonts w:cs="FrankRuehl" w:hint="cs"/>
          <w:b/>
          <w:bCs/>
          <w:vanish/>
          <w:szCs w:val="20"/>
          <w:shd w:val="clear" w:color="auto" w:fill="FFFF99"/>
          <w:rtl/>
        </w:rPr>
      </w:pPr>
      <w:r w:rsidRPr="00BE38D3">
        <w:rPr>
          <w:rFonts w:cs="FrankRuehl" w:hint="cs"/>
          <w:b/>
          <w:bCs/>
          <w:vanish/>
          <w:szCs w:val="20"/>
          <w:shd w:val="clear" w:color="auto" w:fill="FFFF99"/>
          <w:rtl/>
        </w:rPr>
        <w:t>צו תשס"ג-2003</w:t>
      </w:r>
    </w:p>
    <w:p w14:paraId="635DA8EE" w14:textId="77777777" w:rsidR="00047F5C" w:rsidRPr="00BE38D3" w:rsidRDefault="00047F5C" w:rsidP="00047F5C">
      <w:pPr>
        <w:pStyle w:val="P00"/>
        <w:spacing w:before="0"/>
        <w:ind w:left="0" w:right="1134"/>
        <w:rPr>
          <w:rFonts w:cs="FrankRuehl" w:hint="cs"/>
          <w:vanish/>
          <w:szCs w:val="20"/>
          <w:shd w:val="clear" w:color="auto" w:fill="FFFF99"/>
          <w:rtl/>
        </w:rPr>
      </w:pPr>
      <w:hyperlink r:id="rId7" w:history="1">
        <w:r w:rsidRPr="00BE38D3">
          <w:rPr>
            <w:rStyle w:val="Hyperlink"/>
            <w:rFonts w:cs="FrankRuehl" w:hint="cs"/>
            <w:vanish/>
            <w:szCs w:val="20"/>
            <w:shd w:val="clear" w:color="auto" w:fill="FFFF99"/>
            <w:rtl/>
          </w:rPr>
          <w:t>ק"ת תשס"ג מס' 6226</w:t>
        </w:r>
      </w:hyperlink>
      <w:r w:rsidRPr="00BE38D3">
        <w:rPr>
          <w:rFonts w:cs="FrankRuehl" w:hint="cs"/>
          <w:vanish/>
          <w:szCs w:val="20"/>
          <w:shd w:val="clear" w:color="auto" w:fill="FFFF99"/>
          <w:rtl/>
        </w:rPr>
        <w:t xml:space="preserve"> מיום 12.2.2003 עמ' 512</w:t>
      </w:r>
    </w:p>
    <w:p w14:paraId="1B269E5C" w14:textId="77777777" w:rsidR="0061617F" w:rsidRPr="00BE38D3" w:rsidRDefault="0061617F" w:rsidP="00047F5C">
      <w:pPr>
        <w:pStyle w:val="P00"/>
        <w:spacing w:before="0"/>
        <w:ind w:left="0" w:right="1134"/>
        <w:rPr>
          <w:rFonts w:cs="FrankRuehl" w:hint="cs"/>
          <w:b/>
          <w:bCs/>
          <w:vanish/>
          <w:szCs w:val="20"/>
          <w:shd w:val="clear" w:color="auto" w:fill="FFFF99"/>
          <w:rtl/>
        </w:rPr>
      </w:pPr>
      <w:r w:rsidRPr="00BE38D3">
        <w:rPr>
          <w:rFonts w:cs="FrankRuehl" w:hint="cs"/>
          <w:b/>
          <w:bCs/>
          <w:vanish/>
          <w:szCs w:val="20"/>
          <w:shd w:val="clear" w:color="auto" w:fill="FFFF99"/>
          <w:rtl/>
        </w:rPr>
        <w:t>החלפת סעיף 1</w:t>
      </w:r>
    </w:p>
    <w:p w14:paraId="3395F87A" w14:textId="77777777" w:rsidR="0061617F" w:rsidRPr="00BE38D3" w:rsidRDefault="0061617F" w:rsidP="000E30E1">
      <w:pPr>
        <w:pStyle w:val="P00"/>
        <w:ind w:left="0" w:right="1134"/>
        <w:rPr>
          <w:rFonts w:cs="FrankRuehl" w:hint="cs"/>
          <w:vanish/>
          <w:szCs w:val="20"/>
          <w:shd w:val="clear" w:color="auto" w:fill="FFFF99"/>
          <w:rtl/>
        </w:rPr>
      </w:pPr>
      <w:r w:rsidRPr="00BE38D3">
        <w:rPr>
          <w:rFonts w:cs="FrankRuehl" w:hint="cs"/>
          <w:vanish/>
          <w:szCs w:val="20"/>
          <w:shd w:val="clear" w:color="auto" w:fill="FFFF99"/>
          <w:rtl/>
        </w:rPr>
        <w:t>הנוסח הקודם:</w:t>
      </w:r>
    </w:p>
    <w:p w14:paraId="1B6A3DFC" w14:textId="77777777" w:rsidR="001B18DF" w:rsidRPr="00BE38D3" w:rsidRDefault="001B18DF" w:rsidP="000E30E1">
      <w:pPr>
        <w:pStyle w:val="P00"/>
        <w:spacing w:before="20"/>
        <w:ind w:left="0" w:right="1134"/>
        <w:rPr>
          <w:rFonts w:cs="Miriam" w:hint="cs"/>
          <w:strike/>
          <w:vanish/>
          <w:sz w:val="16"/>
          <w:szCs w:val="16"/>
          <w:shd w:val="clear" w:color="auto" w:fill="FFFF99"/>
          <w:rtl/>
        </w:rPr>
      </w:pPr>
      <w:r w:rsidRPr="00BE38D3">
        <w:rPr>
          <w:rFonts w:cs="Miriam" w:hint="cs"/>
          <w:strike/>
          <w:vanish/>
          <w:sz w:val="16"/>
          <w:szCs w:val="16"/>
          <w:shd w:val="clear" w:color="auto" w:fill="FFFF99"/>
          <w:rtl/>
        </w:rPr>
        <w:t>שינוי נוסח אזהרה</w:t>
      </w:r>
    </w:p>
    <w:p w14:paraId="55D8A1F8" w14:textId="77777777" w:rsidR="0061617F" w:rsidRPr="00BE38D3" w:rsidRDefault="0061617F" w:rsidP="000E30E1">
      <w:pPr>
        <w:pStyle w:val="P00"/>
        <w:spacing w:before="0"/>
        <w:ind w:left="0" w:right="1134"/>
        <w:rPr>
          <w:rStyle w:val="default"/>
          <w:rFonts w:cs="FrankRuehl" w:hint="cs"/>
          <w:strike/>
          <w:vanish/>
          <w:shd w:val="clear" w:color="auto" w:fill="FFFF99"/>
          <w:rtl/>
        </w:rPr>
      </w:pPr>
      <w:r w:rsidRPr="00BE38D3">
        <w:rPr>
          <w:rFonts w:cs="FrankRuehl" w:hint="cs"/>
          <w:strike/>
          <w:vanish/>
          <w:sz w:val="22"/>
          <w:szCs w:val="22"/>
          <w:shd w:val="clear" w:color="auto" w:fill="FFFF99"/>
          <w:rtl/>
        </w:rPr>
        <w:t>1.</w:t>
      </w:r>
      <w:r w:rsidRPr="00BE38D3">
        <w:rPr>
          <w:rFonts w:cs="FrankRuehl" w:hint="cs"/>
          <w:strike/>
          <w:vanish/>
          <w:sz w:val="22"/>
          <w:szCs w:val="22"/>
          <w:shd w:val="clear" w:color="auto" w:fill="FFFF99"/>
          <w:rtl/>
        </w:rPr>
        <w:tab/>
      </w:r>
      <w:r w:rsidR="001B18DF" w:rsidRPr="00BE38D3">
        <w:rPr>
          <w:rFonts w:cs="FrankRuehl" w:hint="cs"/>
          <w:strike/>
          <w:vanish/>
          <w:sz w:val="22"/>
          <w:szCs w:val="22"/>
          <w:shd w:val="clear" w:color="auto" w:fill="FFFF99"/>
          <w:rtl/>
        </w:rPr>
        <w:t xml:space="preserve">במקום נוסח האזהרה הקבוע בסעיף 9(א) לחוק, לענין סעיף 7 לחוק, יבוא אחד הנוסחים ברשימה שבתוספת (להלן </w:t>
      </w:r>
      <w:r w:rsidR="001B18DF" w:rsidRPr="00BE38D3">
        <w:rPr>
          <w:rFonts w:cs="FrankRuehl"/>
          <w:strike/>
          <w:vanish/>
          <w:sz w:val="22"/>
          <w:szCs w:val="22"/>
          <w:shd w:val="clear" w:color="auto" w:fill="FFFF99"/>
          <w:rtl/>
        </w:rPr>
        <w:t>–</w:t>
      </w:r>
      <w:r w:rsidR="001B18DF" w:rsidRPr="00BE38D3">
        <w:rPr>
          <w:rFonts w:cs="FrankRuehl" w:hint="cs"/>
          <w:strike/>
          <w:vanish/>
          <w:sz w:val="22"/>
          <w:szCs w:val="22"/>
          <w:shd w:val="clear" w:color="auto" w:fill="FFFF99"/>
          <w:rtl/>
        </w:rPr>
        <w:t xml:space="preserve"> הרשימה)</w:t>
      </w:r>
      <w:r w:rsidR="000E30E1" w:rsidRPr="00BE38D3">
        <w:rPr>
          <w:rFonts w:cs="FrankRuehl" w:hint="cs"/>
          <w:strike/>
          <w:vanish/>
          <w:sz w:val="22"/>
          <w:szCs w:val="22"/>
          <w:shd w:val="clear" w:color="auto" w:fill="FFFF99"/>
          <w:rtl/>
        </w:rPr>
        <w:t>, שיוחלף מדי 60 ימים בנוסח הבא אחריו ברשימה.</w:t>
      </w:r>
    </w:p>
    <w:p w14:paraId="72CA947C" w14:textId="77777777" w:rsidR="00FB7141" w:rsidRPr="00BE38D3" w:rsidRDefault="00FB7141" w:rsidP="000E30E1">
      <w:pPr>
        <w:pStyle w:val="P00"/>
        <w:spacing w:before="0"/>
        <w:ind w:left="0" w:right="1134"/>
        <w:rPr>
          <w:rStyle w:val="default"/>
          <w:rFonts w:cs="FrankRuehl" w:hint="cs"/>
          <w:vanish/>
          <w:sz w:val="20"/>
          <w:szCs w:val="20"/>
          <w:shd w:val="clear" w:color="auto" w:fill="FFFF99"/>
          <w:rtl/>
        </w:rPr>
      </w:pPr>
    </w:p>
    <w:p w14:paraId="60AF60BE" w14:textId="77777777" w:rsidR="004863F9" w:rsidRPr="00BE38D3" w:rsidRDefault="004863F9" w:rsidP="00E83353">
      <w:pPr>
        <w:pStyle w:val="P00"/>
        <w:tabs>
          <w:tab w:val="clear" w:pos="6259"/>
        </w:tabs>
        <w:spacing w:before="0"/>
        <w:ind w:left="624" w:right="1134"/>
        <w:rPr>
          <w:rFonts w:cs="FrankRuehl" w:hint="cs"/>
          <w:vanish/>
          <w:color w:val="FF0000"/>
          <w:szCs w:val="20"/>
          <w:shd w:val="clear" w:color="auto" w:fill="FFFF99"/>
          <w:rtl/>
        </w:rPr>
      </w:pPr>
      <w:r w:rsidRPr="00BE38D3">
        <w:rPr>
          <w:rFonts w:cs="FrankRuehl" w:hint="cs"/>
          <w:vanish/>
          <w:color w:val="FF0000"/>
          <w:szCs w:val="20"/>
          <w:shd w:val="clear" w:color="auto" w:fill="FFFF99"/>
          <w:rtl/>
        </w:rPr>
        <w:t>מיום 1.12.2004</w:t>
      </w:r>
    </w:p>
    <w:p w14:paraId="431F3110" w14:textId="77777777" w:rsidR="004863F9" w:rsidRPr="00BE38D3" w:rsidRDefault="004863F9" w:rsidP="00E83353">
      <w:pPr>
        <w:pStyle w:val="P00"/>
        <w:spacing w:before="0"/>
        <w:ind w:left="624" w:right="1134"/>
        <w:rPr>
          <w:rFonts w:cs="FrankRuehl" w:hint="cs"/>
          <w:b/>
          <w:bCs/>
          <w:vanish/>
          <w:szCs w:val="20"/>
          <w:shd w:val="clear" w:color="auto" w:fill="FFFF99"/>
          <w:rtl/>
        </w:rPr>
      </w:pPr>
      <w:r w:rsidRPr="00BE38D3">
        <w:rPr>
          <w:rFonts w:cs="FrankRuehl" w:hint="cs"/>
          <w:b/>
          <w:bCs/>
          <w:vanish/>
          <w:szCs w:val="20"/>
          <w:shd w:val="clear" w:color="auto" w:fill="FFFF99"/>
          <w:rtl/>
        </w:rPr>
        <w:t>צו תשס"</w:t>
      </w:r>
      <w:r w:rsidR="004F366B" w:rsidRPr="00BE38D3">
        <w:rPr>
          <w:rFonts w:cs="FrankRuehl" w:hint="cs"/>
          <w:b/>
          <w:bCs/>
          <w:vanish/>
          <w:szCs w:val="20"/>
          <w:shd w:val="clear" w:color="auto" w:fill="FFFF99"/>
          <w:rtl/>
        </w:rPr>
        <w:t>ד</w:t>
      </w:r>
      <w:r w:rsidRPr="00BE38D3">
        <w:rPr>
          <w:rFonts w:cs="FrankRuehl" w:hint="cs"/>
          <w:b/>
          <w:bCs/>
          <w:vanish/>
          <w:szCs w:val="20"/>
          <w:shd w:val="clear" w:color="auto" w:fill="FFFF99"/>
          <w:rtl/>
        </w:rPr>
        <w:t>-200</w:t>
      </w:r>
      <w:r w:rsidR="004F366B" w:rsidRPr="00BE38D3">
        <w:rPr>
          <w:rFonts w:cs="FrankRuehl" w:hint="cs"/>
          <w:b/>
          <w:bCs/>
          <w:vanish/>
          <w:szCs w:val="20"/>
          <w:shd w:val="clear" w:color="auto" w:fill="FFFF99"/>
          <w:rtl/>
        </w:rPr>
        <w:t>4</w:t>
      </w:r>
    </w:p>
    <w:p w14:paraId="1EAA1D10" w14:textId="77777777" w:rsidR="004863F9" w:rsidRPr="00BE38D3" w:rsidRDefault="003010F7" w:rsidP="00E83353">
      <w:pPr>
        <w:pStyle w:val="P00"/>
        <w:spacing w:before="0"/>
        <w:ind w:left="624" w:right="1134"/>
        <w:rPr>
          <w:rFonts w:cs="FrankRuehl" w:hint="cs"/>
          <w:vanish/>
          <w:szCs w:val="20"/>
          <w:shd w:val="clear" w:color="auto" w:fill="FFFF99"/>
          <w:rtl/>
        </w:rPr>
      </w:pPr>
      <w:hyperlink r:id="rId8" w:history="1">
        <w:r w:rsidRPr="00BE38D3">
          <w:rPr>
            <w:rStyle w:val="Hyperlink"/>
            <w:rFonts w:cs="FrankRuehl" w:hint="cs"/>
            <w:vanish/>
            <w:szCs w:val="20"/>
            <w:shd w:val="clear" w:color="auto" w:fill="FFFF99"/>
            <w:rtl/>
          </w:rPr>
          <w:t>ק"ת תשס"ד מס' 6302</w:t>
        </w:r>
      </w:hyperlink>
      <w:r w:rsidR="004863F9" w:rsidRPr="00BE38D3">
        <w:rPr>
          <w:rFonts w:cs="FrankRuehl" w:hint="cs"/>
          <w:vanish/>
          <w:szCs w:val="20"/>
          <w:shd w:val="clear" w:color="auto" w:fill="FFFF99"/>
          <w:rtl/>
        </w:rPr>
        <w:t xml:space="preserve"> מיום 1.4.200</w:t>
      </w:r>
      <w:r w:rsidR="00355EE8" w:rsidRPr="00BE38D3">
        <w:rPr>
          <w:rFonts w:cs="FrankRuehl" w:hint="cs"/>
          <w:vanish/>
          <w:szCs w:val="20"/>
          <w:shd w:val="clear" w:color="auto" w:fill="FFFF99"/>
          <w:rtl/>
        </w:rPr>
        <w:t>4</w:t>
      </w:r>
      <w:r w:rsidR="004863F9" w:rsidRPr="00BE38D3">
        <w:rPr>
          <w:rFonts w:cs="FrankRuehl" w:hint="cs"/>
          <w:vanish/>
          <w:szCs w:val="20"/>
          <w:shd w:val="clear" w:color="auto" w:fill="FFFF99"/>
          <w:rtl/>
        </w:rPr>
        <w:t xml:space="preserve"> עמ' </w:t>
      </w:r>
      <w:r w:rsidRPr="00BE38D3">
        <w:rPr>
          <w:rFonts w:cs="FrankRuehl" w:hint="cs"/>
          <w:vanish/>
          <w:szCs w:val="20"/>
          <w:shd w:val="clear" w:color="auto" w:fill="FFFF99"/>
          <w:rtl/>
        </w:rPr>
        <w:t>362</w:t>
      </w:r>
    </w:p>
    <w:p w14:paraId="7F29B804" w14:textId="77777777" w:rsidR="00FB7141" w:rsidRPr="00BE38D3" w:rsidRDefault="00FB7141" w:rsidP="00A864DA">
      <w:pPr>
        <w:pStyle w:val="P00"/>
        <w:ind w:left="624" w:right="1134"/>
        <w:rPr>
          <w:rStyle w:val="default"/>
          <w:rFonts w:cs="FrankRuehl" w:hint="cs"/>
          <w:vanish/>
          <w:sz w:val="22"/>
          <w:szCs w:val="22"/>
          <w:shd w:val="clear" w:color="auto" w:fill="FFFF99"/>
          <w:rtl/>
        </w:rPr>
      </w:pPr>
      <w:r w:rsidRPr="00BE38D3">
        <w:rPr>
          <w:rStyle w:val="default"/>
          <w:rFonts w:cs="FrankRuehl" w:hint="cs"/>
          <w:vanish/>
          <w:sz w:val="22"/>
          <w:szCs w:val="22"/>
          <w:shd w:val="clear" w:color="auto" w:fill="FFFF99"/>
          <w:rtl/>
        </w:rPr>
        <w:t>(2)</w:t>
      </w:r>
      <w:r w:rsidRPr="00BE38D3">
        <w:rPr>
          <w:rStyle w:val="default"/>
          <w:rFonts w:cs="FrankRuehl" w:hint="cs"/>
          <w:vanish/>
          <w:sz w:val="22"/>
          <w:szCs w:val="22"/>
          <w:shd w:val="clear" w:color="auto" w:fill="FFFF99"/>
          <w:rtl/>
        </w:rPr>
        <w:tab/>
        <w:t>לענין סעיף 7 לחוק: אחד הנ</w:t>
      </w:r>
      <w:r w:rsidR="00A604E1" w:rsidRPr="00BE38D3">
        <w:rPr>
          <w:rStyle w:val="default"/>
          <w:rFonts w:cs="FrankRuehl" w:hint="cs"/>
          <w:vanish/>
          <w:sz w:val="22"/>
          <w:szCs w:val="22"/>
          <w:shd w:val="clear" w:color="auto" w:fill="FFFF99"/>
          <w:rtl/>
        </w:rPr>
        <w:t>ו</w:t>
      </w:r>
      <w:r w:rsidRPr="00BE38D3">
        <w:rPr>
          <w:rStyle w:val="default"/>
          <w:rFonts w:cs="FrankRuehl" w:hint="cs"/>
          <w:vanish/>
          <w:sz w:val="22"/>
          <w:szCs w:val="22"/>
          <w:shd w:val="clear" w:color="auto" w:fill="FFFF99"/>
          <w:rtl/>
        </w:rPr>
        <w:t xml:space="preserve">סחים ברשימה שבתוספת </w:t>
      </w:r>
      <w:r w:rsidRPr="00BE38D3">
        <w:rPr>
          <w:rStyle w:val="default"/>
          <w:rFonts w:cs="FrankRuehl" w:hint="cs"/>
          <w:vanish/>
          <w:sz w:val="22"/>
          <w:szCs w:val="22"/>
          <w:u w:val="single"/>
          <w:shd w:val="clear" w:color="auto" w:fill="FFFF99"/>
          <w:rtl/>
        </w:rPr>
        <w:t>הראשונה</w:t>
      </w:r>
      <w:r w:rsidRPr="00BE38D3">
        <w:rPr>
          <w:rStyle w:val="default"/>
          <w:rFonts w:cs="FrankRuehl" w:hint="cs"/>
          <w:vanish/>
          <w:sz w:val="22"/>
          <w:szCs w:val="22"/>
          <w:shd w:val="clear" w:color="auto" w:fill="FFFF99"/>
          <w:rtl/>
        </w:rPr>
        <w:t xml:space="preserve"> (להלן </w:t>
      </w:r>
      <w:r w:rsidRPr="00BE38D3">
        <w:rPr>
          <w:rStyle w:val="default"/>
          <w:rFonts w:cs="FrankRuehl"/>
          <w:vanish/>
          <w:sz w:val="22"/>
          <w:szCs w:val="22"/>
          <w:shd w:val="clear" w:color="auto" w:fill="FFFF99"/>
          <w:rtl/>
        </w:rPr>
        <w:t>–</w:t>
      </w:r>
      <w:r w:rsidRPr="00BE38D3">
        <w:rPr>
          <w:rStyle w:val="default"/>
          <w:rFonts w:cs="FrankRuehl" w:hint="cs"/>
          <w:vanish/>
          <w:sz w:val="22"/>
          <w:szCs w:val="22"/>
          <w:shd w:val="clear" w:color="auto" w:fill="FFFF99"/>
          <w:rtl/>
        </w:rPr>
        <w:t xml:space="preserve"> הרשימה), שיוחלף מדי </w:t>
      </w:r>
      <w:r w:rsidR="00A604E1" w:rsidRPr="00BE38D3">
        <w:rPr>
          <w:rStyle w:val="default"/>
          <w:rFonts w:cs="FrankRuehl" w:hint="cs"/>
          <w:vanish/>
          <w:sz w:val="22"/>
          <w:szCs w:val="22"/>
          <w:shd w:val="clear" w:color="auto" w:fill="FFFF99"/>
          <w:rtl/>
        </w:rPr>
        <w:t>60 ימים</w:t>
      </w:r>
      <w:r w:rsidR="00455859" w:rsidRPr="00BE38D3">
        <w:rPr>
          <w:rStyle w:val="default"/>
          <w:rFonts w:cs="FrankRuehl" w:hint="cs"/>
          <w:vanish/>
          <w:sz w:val="22"/>
          <w:szCs w:val="22"/>
          <w:shd w:val="clear" w:color="auto" w:fill="FFFF99"/>
          <w:rtl/>
        </w:rPr>
        <w:t xml:space="preserve"> בנוסח הבא אחריו ברשימה;</w:t>
      </w:r>
    </w:p>
    <w:p w14:paraId="7E855D0C" w14:textId="77777777" w:rsidR="005A5E06" w:rsidRPr="00BE38D3" w:rsidRDefault="005A5E06" w:rsidP="005A5E06">
      <w:pPr>
        <w:pStyle w:val="P00"/>
        <w:spacing w:before="0"/>
        <w:ind w:left="624" w:right="1134"/>
        <w:rPr>
          <w:rStyle w:val="default"/>
          <w:rFonts w:cs="FrankRuehl" w:hint="cs"/>
          <w:vanish/>
          <w:sz w:val="22"/>
          <w:szCs w:val="22"/>
          <w:u w:val="single"/>
          <w:shd w:val="clear" w:color="auto" w:fill="FFFF99"/>
          <w:rtl/>
        </w:rPr>
      </w:pPr>
      <w:r w:rsidRPr="00BE38D3">
        <w:rPr>
          <w:rStyle w:val="default"/>
          <w:rFonts w:cs="FrankRuehl" w:hint="cs"/>
          <w:vanish/>
          <w:sz w:val="22"/>
          <w:szCs w:val="22"/>
          <w:u w:val="single"/>
          <w:shd w:val="clear" w:color="auto" w:fill="FFFF99"/>
          <w:rtl/>
        </w:rPr>
        <w:t>(3)</w:t>
      </w:r>
      <w:r w:rsidRPr="00BE38D3">
        <w:rPr>
          <w:rStyle w:val="default"/>
          <w:rFonts w:cs="FrankRuehl" w:hint="cs"/>
          <w:vanish/>
          <w:sz w:val="22"/>
          <w:szCs w:val="22"/>
          <w:u w:val="single"/>
          <w:shd w:val="clear" w:color="auto" w:fill="FFFF99"/>
          <w:rtl/>
        </w:rPr>
        <w:tab/>
        <w:t>לענין סעיף 9(א) לחוק, אחד הנוסחים בתוספת השניה; הנוסחים יוחלפו באופן שיבטיח את הופעתם הסדירה שלכל הנוסחים כשהם מחולקים באופן שווה בין חפיסות של אותו מותג; לענין פסקה זו, יראו את הנוסחים כמחולקים באופן שווה כשכל נוסח מופיע על 6.33% עד 10.33% מן האריזות של אותו מותג של אותו יצרן בתום הייצור במפעל היצרן לענין מוצר טבק המיוצר בישראל או במחסן היבואן לענין מוצר טבק מיובא;</w:t>
      </w:r>
    </w:p>
    <w:p w14:paraId="5D4F8F44" w14:textId="77777777" w:rsidR="004D4496" w:rsidRPr="00BE38D3" w:rsidRDefault="004D4496" w:rsidP="004D4496">
      <w:pPr>
        <w:pStyle w:val="P00"/>
        <w:spacing w:before="0"/>
        <w:ind w:left="624" w:right="1134"/>
        <w:rPr>
          <w:rStyle w:val="default"/>
          <w:rFonts w:cs="FrankRuehl" w:hint="cs"/>
          <w:vanish/>
          <w:sz w:val="22"/>
          <w:szCs w:val="22"/>
          <w:u w:val="single"/>
          <w:shd w:val="clear" w:color="auto" w:fill="FFFF99"/>
          <w:rtl/>
        </w:rPr>
      </w:pPr>
      <w:r w:rsidRPr="00BE38D3">
        <w:rPr>
          <w:rStyle w:val="default"/>
          <w:rFonts w:cs="FrankRuehl" w:hint="cs"/>
          <w:vanish/>
          <w:sz w:val="22"/>
          <w:szCs w:val="22"/>
          <w:u w:val="single"/>
          <w:shd w:val="clear" w:color="auto" w:fill="FFFF99"/>
          <w:rtl/>
        </w:rPr>
        <w:t>(4)</w:t>
      </w:r>
      <w:r w:rsidRPr="00BE38D3">
        <w:rPr>
          <w:rStyle w:val="default"/>
          <w:rFonts w:cs="FrankRuehl" w:hint="cs"/>
          <w:vanish/>
          <w:sz w:val="22"/>
          <w:szCs w:val="22"/>
          <w:u w:val="single"/>
          <w:shd w:val="clear" w:color="auto" w:fill="FFFF99"/>
          <w:rtl/>
        </w:rPr>
        <w:tab/>
        <w:t>על אף האמור בפסקה (3), אריזה חיצונית של מוצר טבק לשיווק קמעונאי שבתוכה כמות אריזות, שכל אחת מהן מסומנת לפי הוראות צו זה, תסומן באזהרה "העישון הורג".</w:t>
      </w:r>
    </w:p>
    <w:p w14:paraId="503811EC" w14:textId="77777777" w:rsidR="00AB282C" w:rsidRPr="00BE38D3" w:rsidRDefault="00AB282C" w:rsidP="004D4496">
      <w:pPr>
        <w:pStyle w:val="P00"/>
        <w:spacing w:before="0"/>
        <w:ind w:left="624" w:right="1134"/>
        <w:rPr>
          <w:rStyle w:val="default"/>
          <w:rFonts w:cs="FrankRuehl" w:hint="cs"/>
          <w:vanish/>
          <w:sz w:val="20"/>
          <w:szCs w:val="20"/>
          <w:shd w:val="clear" w:color="auto" w:fill="FFFF99"/>
          <w:rtl/>
        </w:rPr>
      </w:pPr>
    </w:p>
    <w:p w14:paraId="12146BFF" w14:textId="77777777" w:rsidR="00AB282C" w:rsidRPr="00BE38D3" w:rsidRDefault="00AB282C" w:rsidP="001C6FD2">
      <w:pPr>
        <w:pStyle w:val="P00"/>
        <w:tabs>
          <w:tab w:val="clear" w:pos="6259"/>
        </w:tabs>
        <w:spacing w:before="0"/>
        <w:ind w:left="624" w:right="1134"/>
        <w:rPr>
          <w:rFonts w:cs="FrankRuehl" w:hint="cs"/>
          <w:vanish/>
          <w:color w:val="FF0000"/>
          <w:szCs w:val="20"/>
          <w:shd w:val="clear" w:color="auto" w:fill="FFFF99"/>
          <w:rtl/>
        </w:rPr>
      </w:pPr>
      <w:r w:rsidRPr="00BE38D3">
        <w:rPr>
          <w:rFonts w:cs="FrankRuehl" w:hint="cs"/>
          <w:vanish/>
          <w:color w:val="FF0000"/>
          <w:szCs w:val="20"/>
          <w:shd w:val="clear" w:color="auto" w:fill="FFFF99"/>
          <w:rtl/>
        </w:rPr>
        <w:t>מיום 1.12.2004</w:t>
      </w:r>
    </w:p>
    <w:p w14:paraId="347FC046" w14:textId="77777777" w:rsidR="00AB282C" w:rsidRPr="00BE38D3" w:rsidRDefault="00AB282C" w:rsidP="001C6FD2">
      <w:pPr>
        <w:pStyle w:val="P00"/>
        <w:spacing w:before="0"/>
        <w:ind w:left="624" w:right="1134"/>
        <w:rPr>
          <w:rFonts w:cs="FrankRuehl" w:hint="cs"/>
          <w:b/>
          <w:bCs/>
          <w:vanish/>
          <w:szCs w:val="20"/>
          <w:shd w:val="clear" w:color="auto" w:fill="FFFF99"/>
          <w:rtl/>
        </w:rPr>
      </w:pPr>
      <w:r w:rsidRPr="00BE38D3">
        <w:rPr>
          <w:rFonts w:cs="FrankRuehl" w:hint="cs"/>
          <w:b/>
          <w:bCs/>
          <w:vanish/>
          <w:szCs w:val="20"/>
          <w:shd w:val="clear" w:color="auto" w:fill="FFFF99"/>
          <w:rtl/>
        </w:rPr>
        <w:t>צו תשס"ה-2004</w:t>
      </w:r>
    </w:p>
    <w:p w14:paraId="23FFFE78" w14:textId="77777777" w:rsidR="00AB282C" w:rsidRPr="00BE38D3" w:rsidRDefault="00AB282C" w:rsidP="001C6FD2">
      <w:pPr>
        <w:pStyle w:val="P00"/>
        <w:spacing w:before="0"/>
        <w:ind w:left="624" w:right="1134"/>
        <w:rPr>
          <w:rFonts w:cs="FrankRuehl" w:hint="cs"/>
          <w:vanish/>
          <w:szCs w:val="20"/>
          <w:shd w:val="clear" w:color="auto" w:fill="FFFF99"/>
          <w:rtl/>
        </w:rPr>
      </w:pPr>
      <w:hyperlink r:id="rId9" w:history="1">
        <w:r w:rsidRPr="00BE38D3">
          <w:rPr>
            <w:rStyle w:val="Hyperlink"/>
            <w:rFonts w:cs="FrankRuehl" w:hint="cs"/>
            <w:vanish/>
            <w:szCs w:val="20"/>
            <w:shd w:val="clear" w:color="auto" w:fill="FFFF99"/>
            <w:rtl/>
          </w:rPr>
          <w:t>ק"ת תשס"ה מס' 6349</w:t>
        </w:r>
      </w:hyperlink>
      <w:r w:rsidRPr="00BE38D3">
        <w:rPr>
          <w:rFonts w:cs="FrankRuehl" w:hint="cs"/>
          <w:vanish/>
          <w:szCs w:val="20"/>
          <w:shd w:val="clear" w:color="auto" w:fill="FFFF99"/>
          <w:rtl/>
        </w:rPr>
        <w:t xml:space="preserve"> מיום 18.11.2004 עמ' 165</w:t>
      </w:r>
    </w:p>
    <w:p w14:paraId="2ED20E8C" w14:textId="77777777" w:rsidR="00AB282C" w:rsidRPr="00FA052E" w:rsidRDefault="00AB282C" w:rsidP="00DC1636">
      <w:pPr>
        <w:pStyle w:val="P00"/>
        <w:ind w:left="624" w:right="1134"/>
        <w:rPr>
          <w:rStyle w:val="default"/>
          <w:rFonts w:cs="FrankRuehl" w:hint="cs"/>
          <w:sz w:val="2"/>
          <w:szCs w:val="2"/>
          <w:rtl/>
        </w:rPr>
      </w:pPr>
      <w:r w:rsidRPr="00BE38D3">
        <w:rPr>
          <w:rStyle w:val="default"/>
          <w:rFonts w:cs="FrankRuehl" w:hint="cs"/>
          <w:vanish/>
          <w:sz w:val="22"/>
          <w:szCs w:val="22"/>
          <w:shd w:val="clear" w:color="auto" w:fill="FFFF99"/>
          <w:rtl/>
        </w:rPr>
        <w:t>(2)</w:t>
      </w:r>
      <w:r w:rsidRPr="00BE38D3">
        <w:rPr>
          <w:rStyle w:val="default"/>
          <w:rFonts w:cs="FrankRuehl" w:hint="cs"/>
          <w:vanish/>
          <w:sz w:val="22"/>
          <w:szCs w:val="22"/>
          <w:shd w:val="clear" w:color="auto" w:fill="FFFF99"/>
          <w:rtl/>
        </w:rPr>
        <w:tab/>
        <w:t xml:space="preserve">לענין סעיף 7 לחוק: אחד הנוסחים ברשימה שבתוספת הראשונה (להלן </w:t>
      </w:r>
      <w:r w:rsidRPr="00BE38D3">
        <w:rPr>
          <w:rStyle w:val="default"/>
          <w:rFonts w:cs="FrankRuehl"/>
          <w:vanish/>
          <w:sz w:val="22"/>
          <w:szCs w:val="22"/>
          <w:shd w:val="clear" w:color="auto" w:fill="FFFF99"/>
          <w:rtl/>
        </w:rPr>
        <w:t>–</w:t>
      </w:r>
      <w:r w:rsidRPr="00BE38D3">
        <w:rPr>
          <w:rStyle w:val="default"/>
          <w:rFonts w:cs="FrankRuehl" w:hint="cs"/>
          <w:vanish/>
          <w:sz w:val="22"/>
          <w:szCs w:val="22"/>
          <w:shd w:val="clear" w:color="auto" w:fill="FFFF99"/>
          <w:rtl/>
        </w:rPr>
        <w:t xml:space="preserve"> הרשימה), שיוחלף </w:t>
      </w:r>
      <w:r w:rsidRPr="00BE38D3">
        <w:rPr>
          <w:rStyle w:val="default"/>
          <w:rFonts w:cs="FrankRuehl" w:hint="cs"/>
          <w:strike/>
          <w:vanish/>
          <w:sz w:val="22"/>
          <w:szCs w:val="22"/>
          <w:shd w:val="clear" w:color="auto" w:fill="FFFF99"/>
          <w:rtl/>
        </w:rPr>
        <w:t>מדי 60 ימים</w:t>
      </w:r>
      <w:r w:rsidRPr="00BE38D3">
        <w:rPr>
          <w:rStyle w:val="default"/>
          <w:rFonts w:cs="FrankRuehl" w:hint="cs"/>
          <w:vanish/>
          <w:sz w:val="22"/>
          <w:szCs w:val="22"/>
          <w:shd w:val="clear" w:color="auto" w:fill="FFFF99"/>
          <w:rtl/>
        </w:rPr>
        <w:t xml:space="preserve"> </w:t>
      </w:r>
      <w:r w:rsidR="00244CED" w:rsidRPr="00BE38D3">
        <w:rPr>
          <w:rStyle w:val="default"/>
          <w:rFonts w:cs="FrankRuehl" w:hint="cs"/>
          <w:vanish/>
          <w:sz w:val="22"/>
          <w:szCs w:val="22"/>
          <w:u w:val="single"/>
          <w:shd w:val="clear" w:color="auto" w:fill="FFFF99"/>
          <w:rtl/>
        </w:rPr>
        <w:t>מדי חודשיים</w:t>
      </w:r>
      <w:r w:rsidR="00244CED" w:rsidRPr="00BE38D3">
        <w:rPr>
          <w:rStyle w:val="default"/>
          <w:rFonts w:cs="FrankRuehl" w:hint="cs"/>
          <w:vanish/>
          <w:sz w:val="22"/>
          <w:szCs w:val="22"/>
          <w:shd w:val="clear" w:color="auto" w:fill="FFFF99"/>
          <w:rtl/>
        </w:rPr>
        <w:t xml:space="preserve"> </w:t>
      </w:r>
      <w:r w:rsidRPr="00BE38D3">
        <w:rPr>
          <w:rStyle w:val="default"/>
          <w:rFonts w:cs="FrankRuehl" w:hint="cs"/>
          <w:vanish/>
          <w:sz w:val="22"/>
          <w:szCs w:val="22"/>
          <w:shd w:val="clear" w:color="auto" w:fill="FFFF99"/>
          <w:rtl/>
        </w:rPr>
        <w:t>בנוסח הבא אחריו ברשימה.</w:t>
      </w:r>
      <w:bookmarkEnd w:id="2"/>
    </w:p>
    <w:p w14:paraId="4B84D93D" w14:textId="77777777" w:rsidR="00073216" w:rsidRDefault="00073216">
      <w:pPr>
        <w:pStyle w:val="P00"/>
        <w:spacing w:before="72"/>
        <w:ind w:left="0" w:right="1134"/>
        <w:rPr>
          <w:rStyle w:val="default"/>
          <w:rFonts w:cs="FrankRuehl" w:hint="cs"/>
          <w:rtl/>
        </w:rPr>
      </w:pPr>
      <w:bookmarkStart w:id="3" w:name="Seif1"/>
      <w:bookmarkEnd w:id="3"/>
      <w:r>
        <w:rPr>
          <w:lang w:val="he-IL"/>
        </w:rPr>
        <w:pict w14:anchorId="15A56930">
          <v:rect id="_x0000_s1027" style="position:absolute;left:0;text-align:left;margin-left:464.5pt;margin-top:8.05pt;width:75.05pt;height:30.3pt;z-index:251651072" o:allowincell="f" filled="f" stroked="f" strokecolor="lime" strokeweight=".25pt">
            <v:textbox inset="0,0,0,0">
              <w:txbxContent>
                <w:p w14:paraId="719D61FF" w14:textId="77777777" w:rsidR="00073216" w:rsidRDefault="00073216">
                  <w:pPr>
                    <w:spacing w:line="160" w:lineRule="exact"/>
                    <w:jc w:val="left"/>
                    <w:rPr>
                      <w:rFonts w:cs="Miriam" w:hint="cs"/>
                      <w:sz w:val="18"/>
                      <w:szCs w:val="18"/>
                      <w:rtl/>
                    </w:rPr>
                  </w:pPr>
                  <w:r>
                    <w:rPr>
                      <w:rFonts w:cs="Miriam" w:hint="cs"/>
                      <w:sz w:val="18"/>
                      <w:szCs w:val="18"/>
                      <w:rtl/>
                    </w:rPr>
                    <w:t>שינוי גודל מזערי לאותיות</w:t>
                  </w:r>
                </w:p>
                <w:p w14:paraId="3DC573B1" w14:textId="77777777" w:rsidR="00073216" w:rsidRDefault="00073216">
                  <w:pPr>
                    <w:spacing w:line="160" w:lineRule="exact"/>
                    <w:jc w:val="left"/>
                    <w:rPr>
                      <w:rFonts w:cs="Miriam" w:hint="cs"/>
                      <w:noProof/>
                      <w:sz w:val="18"/>
                      <w:szCs w:val="18"/>
                      <w:rtl/>
                    </w:rPr>
                  </w:pPr>
                  <w:r>
                    <w:rPr>
                      <w:rFonts w:cs="Miriam" w:hint="cs"/>
                      <w:sz w:val="18"/>
                      <w:szCs w:val="18"/>
                      <w:rtl/>
                    </w:rPr>
                    <w:t>צו תשס"ג-2003</w:t>
                  </w:r>
                </w:p>
              </w:txbxContent>
            </v:textbox>
            <w10:anchorlock/>
          </v:rect>
        </w:pict>
      </w:r>
      <w:r>
        <w:rPr>
          <w:rStyle w:val="big-number"/>
          <w:rFonts w:cs="Miriam"/>
          <w:rtl/>
        </w:rPr>
        <w:t>2.</w:t>
      </w:r>
      <w:r>
        <w:rPr>
          <w:rStyle w:val="big-number"/>
          <w:rFonts w:cs="Miriam"/>
          <w:rtl/>
        </w:rPr>
        <w:tab/>
      </w:r>
      <w:r>
        <w:rPr>
          <w:rStyle w:val="default"/>
          <w:rFonts w:cs="FrankRuehl" w:hint="cs"/>
          <w:rtl/>
        </w:rPr>
        <w:t>במקום גודל אותיות האזהרה הקבוע בחוק, לענין סעיפים 4(ב) ו-7 לחוק, המילה "אזהרה" תודפס באותיות גופן "חיים שמן" ושאר המילים יודפסו באותיות גופן "חיים צר", שטח האזהרה כולה יהיה 5 אחוזים לפחות משטח הפרסומת והאותיות יתפסו שטח זה למעט מסגרת דקה לבנה סביבן; באזהרות שנוסחן כולל "משרד הבריאות" יופיעו מילים אלה באותיות קטנות משאר אותיות האזהרה.</w:t>
      </w:r>
    </w:p>
    <w:p w14:paraId="428EE4D5" w14:textId="77777777" w:rsidR="0070209E" w:rsidRPr="00BE38D3" w:rsidRDefault="0070209E" w:rsidP="0070209E">
      <w:pPr>
        <w:pStyle w:val="P00"/>
        <w:tabs>
          <w:tab w:val="clear" w:pos="6259"/>
        </w:tabs>
        <w:spacing w:before="0"/>
        <w:ind w:left="0" w:right="1134"/>
        <w:rPr>
          <w:rFonts w:cs="FrankRuehl" w:hint="cs"/>
          <w:vanish/>
          <w:szCs w:val="20"/>
          <w:shd w:val="clear" w:color="auto" w:fill="FFFF99"/>
          <w:rtl/>
        </w:rPr>
      </w:pPr>
      <w:bookmarkStart w:id="4" w:name="Rov26"/>
      <w:r w:rsidRPr="00BE38D3">
        <w:rPr>
          <w:rFonts w:cs="FrankRuehl" w:hint="cs"/>
          <w:vanish/>
          <w:color w:val="FF0000"/>
          <w:szCs w:val="20"/>
          <w:shd w:val="clear" w:color="auto" w:fill="FFFF99"/>
          <w:rtl/>
        </w:rPr>
        <w:t>מיום 12.10.2003</w:t>
      </w:r>
    </w:p>
    <w:p w14:paraId="7EED99E4" w14:textId="77777777" w:rsidR="0070209E" w:rsidRPr="00BE38D3" w:rsidRDefault="0070209E" w:rsidP="0070209E">
      <w:pPr>
        <w:pStyle w:val="P00"/>
        <w:spacing w:before="0"/>
        <w:ind w:left="0" w:right="1134"/>
        <w:rPr>
          <w:rFonts w:cs="FrankRuehl" w:hint="cs"/>
          <w:b/>
          <w:bCs/>
          <w:vanish/>
          <w:szCs w:val="20"/>
          <w:shd w:val="clear" w:color="auto" w:fill="FFFF99"/>
          <w:rtl/>
        </w:rPr>
      </w:pPr>
      <w:r w:rsidRPr="00BE38D3">
        <w:rPr>
          <w:rFonts w:cs="FrankRuehl" w:hint="cs"/>
          <w:b/>
          <w:bCs/>
          <w:vanish/>
          <w:szCs w:val="20"/>
          <w:shd w:val="clear" w:color="auto" w:fill="FFFF99"/>
          <w:rtl/>
        </w:rPr>
        <w:t>צו תשס"ג-2003</w:t>
      </w:r>
    </w:p>
    <w:p w14:paraId="7C35A9D9" w14:textId="77777777" w:rsidR="0070209E" w:rsidRPr="00BE38D3" w:rsidRDefault="0070209E" w:rsidP="0070209E">
      <w:pPr>
        <w:pStyle w:val="P00"/>
        <w:spacing w:before="0"/>
        <w:ind w:left="0" w:right="1134"/>
        <w:rPr>
          <w:rFonts w:cs="FrankRuehl" w:hint="cs"/>
          <w:vanish/>
          <w:szCs w:val="20"/>
          <w:shd w:val="clear" w:color="auto" w:fill="FFFF99"/>
          <w:rtl/>
        </w:rPr>
      </w:pPr>
      <w:hyperlink r:id="rId10" w:history="1">
        <w:r w:rsidRPr="00BE38D3">
          <w:rPr>
            <w:rStyle w:val="Hyperlink"/>
            <w:rFonts w:cs="FrankRuehl" w:hint="cs"/>
            <w:vanish/>
            <w:szCs w:val="20"/>
            <w:shd w:val="clear" w:color="auto" w:fill="FFFF99"/>
            <w:rtl/>
          </w:rPr>
          <w:t>ק"ת תשס"ג מס' 6226</w:t>
        </w:r>
      </w:hyperlink>
      <w:r w:rsidRPr="00BE38D3">
        <w:rPr>
          <w:rFonts w:cs="FrankRuehl" w:hint="cs"/>
          <w:vanish/>
          <w:szCs w:val="20"/>
          <w:shd w:val="clear" w:color="auto" w:fill="FFFF99"/>
          <w:rtl/>
        </w:rPr>
        <w:t xml:space="preserve"> מיום 12.2.2003 עמ' 512</w:t>
      </w:r>
    </w:p>
    <w:p w14:paraId="31C1EAEF" w14:textId="77777777" w:rsidR="0070209E" w:rsidRPr="00FA052E" w:rsidRDefault="0070209E" w:rsidP="00DC1636">
      <w:pPr>
        <w:pStyle w:val="P00"/>
        <w:ind w:left="0" w:right="1134"/>
        <w:rPr>
          <w:rStyle w:val="default"/>
          <w:rFonts w:cs="FrankRuehl" w:hint="cs"/>
          <w:sz w:val="2"/>
          <w:szCs w:val="2"/>
          <w:rtl/>
        </w:rPr>
      </w:pPr>
      <w:r w:rsidRPr="00BE38D3">
        <w:rPr>
          <w:rStyle w:val="big-number"/>
          <w:rFonts w:cs="FrankRuehl"/>
          <w:vanish/>
          <w:sz w:val="22"/>
          <w:szCs w:val="22"/>
          <w:shd w:val="clear" w:color="auto" w:fill="FFFF99"/>
          <w:rtl/>
        </w:rPr>
        <w:t>2.</w:t>
      </w:r>
      <w:r w:rsidRPr="00BE38D3">
        <w:rPr>
          <w:rStyle w:val="big-number"/>
          <w:rFonts w:cs="FrankRuehl"/>
          <w:vanish/>
          <w:sz w:val="22"/>
          <w:szCs w:val="22"/>
          <w:shd w:val="clear" w:color="auto" w:fill="FFFF99"/>
          <w:rtl/>
        </w:rPr>
        <w:tab/>
      </w:r>
      <w:r w:rsidRPr="00BE38D3">
        <w:rPr>
          <w:rStyle w:val="default"/>
          <w:rFonts w:cs="FrankRuehl" w:hint="cs"/>
          <w:vanish/>
          <w:sz w:val="22"/>
          <w:szCs w:val="22"/>
          <w:shd w:val="clear" w:color="auto" w:fill="FFFF99"/>
          <w:rtl/>
        </w:rPr>
        <w:t xml:space="preserve">במקום גודל אותיות האזהרה הקבוע בחוק, לענין </w:t>
      </w:r>
      <w:r w:rsidR="00A32E1A" w:rsidRPr="00BE38D3">
        <w:rPr>
          <w:rStyle w:val="default"/>
          <w:rFonts w:cs="FrankRuehl" w:hint="cs"/>
          <w:strike/>
          <w:vanish/>
          <w:sz w:val="22"/>
          <w:szCs w:val="22"/>
          <w:shd w:val="clear" w:color="auto" w:fill="FFFF99"/>
          <w:rtl/>
        </w:rPr>
        <w:t>סעיף 7</w:t>
      </w:r>
      <w:r w:rsidR="00A32E1A" w:rsidRPr="00BE38D3">
        <w:rPr>
          <w:rStyle w:val="default"/>
          <w:rFonts w:cs="FrankRuehl" w:hint="cs"/>
          <w:vanish/>
          <w:sz w:val="22"/>
          <w:szCs w:val="22"/>
          <w:shd w:val="clear" w:color="auto" w:fill="FFFF99"/>
          <w:rtl/>
        </w:rPr>
        <w:t xml:space="preserve"> </w:t>
      </w:r>
      <w:r w:rsidRPr="00BE38D3">
        <w:rPr>
          <w:rStyle w:val="default"/>
          <w:rFonts w:cs="FrankRuehl" w:hint="cs"/>
          <w:vanish/>
          <w:sz w:val="22"/>
          <w:szCs w:val="22"/>
          <w:u w:val="single"/>
          <w:shd w:val="clear" w:color="auto" w:fill="FFFF99"/>
          <w:rtl/>
        </w:rPr>
        <w:t>סעיפים 4(ב) ו-7 לחוק</w:t>
      </w:r>
      <w:r w:rsidRPr="00BE38D3">
        <w:rPr>
          <w:rStyle w:val="default"/>
          <w:rFonts w:cs="FrankRuehl" w:hint="cs"/>
          <w:vanish/>
          <w:sz w:val="22"/>
          <w:szCs w:val="22"/>
          <w:shd w:val="clear" w:color="auto" w:fill="FFFF99"/>
          <w:rtl/>
        </w:rPr>
        <w:t>, המילה "אזהרה" תודפס באותיות גופן "חיים שמן" ושאר המילים יודפסו באותיות גופן "חיים צר", שטח האזהרה כולה יהיה 5 אחוזים לפחות משטח הפרסומת והאותיות יתפסו שטח זה למעט מסגרת דקה לבנה סביבן; באזהרות שנוסחן כולל "משרד הבריאות" יופיעו מילים אלה באותיות קטנות משאר אותיות האזהרה.</w:t>
      </w:r>
      <w:bookmarkEnd w:id="4"/>
    </w:p>
    <w:p w14:paraId="775EAB76" w14:textId="77777777" w:rsidR="00073216" w:rsidRDefault="00073216">
      <w:pPr>
        <w:pStyle w:val="P00"/>
        <w:spacing w:before="72"/>
        <w:ind w:left="0" w:right="1134"/>
        <w:rPr>
          <w:rStyle w:val="default"/>
          <w:rFonts w:cs="FrankRuehl" w:hint="cs"/>
          <w:rtl/>
        </w:rPr>
      </w:pPr>
      <w:bookmarkStart w:id="5" w:name="Seif2"/>
      <w:bookmarkEnd w:id="5"/>
      <w:r>
        <w:rPr>
          <w:lang w:val="he-IL"/>
        </w:rPr>
        <w:pict w14:anchorId="05C1244B">
          <v:rect id="_x0000_s1047" style="position:absolute;left:0;text-align:left;margin-left:464.5pt;margin-top:8.05pt;width:75.05pt;height:28.15pt;z-index:251652096" o:allowincell="f" filled="f" stroked="f" strokecolor="lime" strokeweight=".25pt">
            <v:textbox style="mso-next-textbox:#_x0000_s1047" inset="0,0,0,0">
              <w:txbxContent>
                <w:p w14:paraId="604147C5" w14:textId="77777777" w:rsidR="00073216" w:rsidRDefault="00073216">
                  <w:pPr>
                    <w:spacing w:line="160" w:lineRule="exact"/>
                    <w:jc w:val="left"/>
                    <w:rPr>
                      <w:rFonts w:cs="Miriam" w:hint="cs"/>
                      <w:sz w:val="18"/>
                      <w:szCs w:val="18"/>
                      <w:rtl/>
                    </w:rPr>
                  </w:pPr>
                  <w:r>
                    <w:rPr>
                      <w:rFonts w:cs="Miriam" w:hint="cs"/>
                      <w:sz w:val="18"/>
                      <w:szCs w:val="18"/>
                      <w:rtl/>
                    </w:rPr>
                    <w:t>עיצוב</w:t>
                  </w:r>
                </w:p>
                <w:p w14:paraId="436B4049" w14:textId="77777777" w:rsidR="00073216" w:rsidRDefault="00073216">
                  <w:pPr>
                    <w:spacing w:line="160" w:lineRule="exact"/>
                    <w:jc w:val="left"/>
                    <w:rPr>
                      <w:rFonts w:cs="Miriam" w:hint="cs"/>
                      <w:sz w:val="18"/>
                      <w:szCs w:val="18"/>
                      <w:rtl/>
                    </w:rPr>
                  </w:pPr>
                  <w:r>
                    <w:rPr>
                      <w:rFonts w:cs="Miriam" w:hint="cs"/>
                      <w:sz w:val="18"/>
                      <w:szCs w:val="18"/>
                      <w:rtl/>
                    </w:rPr>
                    <w:t>צו תשס"ג-2003</w:t>
                  </w:r>
                </w:p>
                <w:p w14:paraId="048E03B2" w14:textId="77777777" w:rsidR="00073216" w:rsidRDefault="00073216">
                  <w:pPr>
                    <w:spacing w:line="160" w:lineRule="exact"/>
                    <w:jc w:val="left"/>
                    <w:rPr>
                      <w:rFonts w:cs="Miriam" w:hint="cs"/>
                      <w:noProof/>
                      <w:sz w:val="18"/>
                      <w:szCs w:val="18"/>
                      <w:rtl/>
                    </w:rPr>
                  </w:pPr>
                  <w:r>
                    <w:rPr>
                      <w:rFonts w:cs="Miriam" w:hint="cs"/>
                      <w:sz w:val="18"/>
                      <w:szCs w:val="18"/>
                      <w:rtl/>
                    </w:rPr>
                    <w:t>צו תשס"ד-2004</w:t>
                  </w:r>
                </w:p>
              </w:txbxContent>
            </v:textbox>
            <w10:anchorlock/>
          </v:rect>
        </w:pict>
      </w:r>
      <w:r>
        <w:rPr>
          <w:rStyle w:val="big-number"/>
          <w:rFonts w:cs="Miriam"/>
          <w:rtl/>
        </w:rPr>
        <w:t>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האזהרה לענין סעיפים 4(ב) ו-7 לחוק תודפס בשורה אחת, באותיות שחורות על רקע לבן התחום במסגרת שחורה שעוביה כעובי האותיות באזהרה בגופן "חיים שמן".</w:t>
      </w:r>
    </w:p>
    <w:p w14:paraId="05E4C981" w14:textId="77777777" w:rsidR="00073216" w:rsidRDefault="00073216">
      <w:pPr>
        <w:pStyle w:val="P00"/>
        <w:spacing w:before="72"/>
        <w:ind w:left="0" w:right="1134"/>
        <w:rPr>
          <w:rStyle w:val="default"/>
          <w:rFonts w:cs="FrankRuehl" w:hint="cs"/>
          <w:rtl/>
        </w:rPr>
      </w:pPr>
      <w:r>
        <w:rPr>
          <w:rFonts w:cs="FrankRuehl"/>
          <w:rtl/>
          <w:lang w:val="he-IL"/>
        </w:rPr>
        <w:pict w14:anchorId="5D99FA28">
          <v:shape id="_x0000_s1119" type="#_x0000_t202" style="position:absolute;left:0;text-align:left;margin-left:470.25pt;margin-top:5.65pt;width:1in;height:11.2pt;z-index:251659264" filled="f" stroked="f">
            <v:textbox inset="1mm,0,1mm,0">
              <w:txbxContent>
                <w:p w14:paraId="7729CAD6" w14:textId="77777777" w:rsidR="00073216" w:rsidRDefault="00073216">
                  <w:pPr>
                    <w:spacing w:line="160" w:lineRule="exact"/>
                    <w:jc w:val="left"/>
                    <w:rPr>
                      <w:rFonts w:cs="Miriam" w:hint="cs"/>
                      <w:sz w:val="18"/>
                      <w:szCs w:val="18"/>
                      <w:rtl/>
                    </w:rPr>
                  </w:pPr>
                  <w:r>
                    <w:rPr>
                      <w:rFonts w:cs="Miriam" w:hint="cs"/>
                      <w:sz w:val="18"/>
                      <w:szCs w:val="18"/>
                      <w:rtl/>
                    </w:rPr>
                    <w:t>צו תשס"ד-2004</w:t>
                  </w:r>
                </w:p>
              </w:txbxContent>
            </v:textbox>
            <w10:anchorlock/>
          </v:shape>
        </w:pict>
      </w:r>
      <w:r>
        <w:rPr>
          <w:rStyle w:val="default"/>
          <w:rFonts w:cs="FrankRuehl" w:hint="cs"/>
          <w:rtl/>
        </w:rPr>
        <w:tab/>
        <w:t>(ב)</w:t>
      </w:r>
      <w:r>
        <w:rPr>
          <w:rStyle w:val="default"/>
          <w:rFonts w:cs="FrankRuehl" w:hint="cs"/>
          <w:rtl/>
        </w:rPr>
        <w:tab/>
        <w:t xml:space="preserve">אזהרה לענין סעיף 9(א) לחוק </w:t>
      </w:r>
      <w:r>
        <w:rPr>
          <w:rStyle w:val="default"/>
          <w:rFonts w:cs="FrankRuehl"/>
          <w:rtl/>
        </w:rPr>
        <w:t>–</w:t>
      </w:r>
    </w:p>
    <w:p w14:paraId="35130240" w14:textId="77777777" w:rsidR="00073216" w:rsidRDefault="0007321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תעוצב כמפורט בתוספת השניה, לרבות היחסים (הפרופורציות), ואולם רשאי יבואן או יצרן להשתמש בגוון אדום שונה מהגוון האדום שבתוספת האמורה, אם הציג את הגוון שבו הוא מבקש להשתמש בפני המנהל, כהגדרתו בסעיף 6, והמנהל לא הודיע על התנגדותו לכך בתוך 30 ימים מיום שהוצג לפניו;</w:t>
      </w:r>
    </w:p>
    <w:p w14:paraId="354A276B" w14:textId="77777777" w:rsidR="00073216" w:rsidRDefault="0007321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שטחה יהיה בגודל 30% משטחו של כל אחד משני צדיה העיקריים של אריזת מוצ</w:t>
      </w:r>
      <w:r w:rsidR="00505182">
        <w:rPr>
          <w:rStyle w:val="default"/>
          <w:rFonts w:cs="FrankRuehl" w:hint="cs"/>
          <w:rtl/>
        </w:rPr>
        <w:t>ר</w:t>
      </w:r>
      <w:r>
        <w:rPr>
          <w:rStyle w:val="default"/>
          <w:rFonts w:cs="FrankRuehl" w:hint="cs"/>
          <w:rtl/>
        </w:rPr>
        <w:t xml:space="preserve"> הטבק.</w:t>
      </w:r>
    </w:p>
    <w:p w14:paraId="78D7095C" w14:textId="77777777" w:rsidR="00073216" w:rsidRDefault="00073216">
      <w:pPr>
        <w:pStyle w:val="P00"/>
        <w:spacing w:before="72"/>
        <w:ind w:left="0" w:right="1134"/>
        <w:rPr>
          <w:rStyle w:val="default"/>
          <w:rFonts w:cs="FrankRuehl" w:hint="cs"/>
          <w:rtl/>
        </w:rPr>
      </w:pPr>
      <w:r>
        <w:rPr>
          <w:rFonts w:cs="FrankRuehl"/>
          <w:rtl/>
          <w:lang w:val="he-IL"/>
        </w:rPr>
        <w:pict w14:anchorId="771EB11C">
          <v:shape id="_x0000_s1124" type="#_x0000_t202" style="position:absolute;left:0;text-align:left;margin-left:470.25pt;margin-top:7.1pt;width:1in;height:10.9pt;z-index:251663360" filled="f" stroked="f">
            <v:textbox inset="1mm,0,1mm,0">
              <w:txbxContent>
                <w:p w14:paraId="4A0AE80B" w14:textId="77777777" w:rsidR="00073216" w:rsidRDefault="00073216">
                  <w:pPr>
                    <w:spacing w:line="160" w:lineRule="exact"/>
                    <w:jc w:val="left"/>
                    <w:rPr>
                      <w:rFonts w:cs="Miriam" w:hint="cs"/>
                      <w:sz w:val="18"/>
                      <w:szCs w:val="18"/>
                      <w:rtl/>
                    </w:rPr>
                  </w:pPr>
                  <w:r>
                    <w:rPr>
                      <w:rFonts w:cs="Miriam" w:hint="cs"/>
                      <w:sz w:val="18"/>
                      <w:szCs w:val="18"/>
                      <w:rtl/>
                    </w:rPr>
                    <w:t>צו תשס"ה-2004</w:t>
                  </w:r>
                </w:p>
              </w:txbxContent>
            </v:textbox>
            <w10:anchorlock/>
          </v:shape>
        </w:pict>
      </w:r>
      <w:r>
        <w:rPr>
          <w:rStyle w:val="default"/>
          <w:rFonts w:cs="FrankRuehl" w:hint="cs"/>
          <w:rtl/>
        </w:rPr>
        <w:tab/>
        <w:t>(ג)</w:t>
      </w:r>
      <w:r>
        <w:rPr>
          <w:rStyle w:val="default"/>
          <w:rFonts w:cs="FrankRuehl" w:hint="cs"/>
          <w:rtl/>
        </w:rPr>
        <w:tab/>
        <w:t>על אף האמור בסעיף קטן (ב), רשאי יבואן או יצרן להתאים את האזהרה למידות האריזה, במקום התאמת האזהרה לפרופורציות המופיעות בפרט 1(א) בתוספת השניה, ובלבד שהמנהל אישר מראש כי מתקיימים באזהרה תנאים אלה:</w:t>
      </w:r>
    </w:p>
    <w:p w14:paraId="6C8F184A" w14:textId="77777777" w:rsidR="00073216" w:rsidRDefault="0007321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גודל שטח </w:t>
      </w:r>
      <w:r w:rsidR="00505182">
        <w:rPr>
          <w:rStyle w:val="default"/>
          <w:rFonts w:cs="FrankRuehl" w:hint="cs"/>
          <w:rtl/>
        </w:rPr>
        <w:t>אזהרה</w:t>
      </w:r>
      <w:r>
        <w:rPr>
          <w:rStyle w:val="default"/>
          <w:rFonts w:cs="FrankRuehl" w:hint="cs"/>
          <w:rtl/>
        </w:rPr>
        <w:t xml:space="preserve"> יהיה 32% משטחו של כל אחד משני צדיה העיקריים של האריזה;</w:t>
      </w:r>
    </w:p>
    <w:p w14:paraId="48A3B11D" w14:textId="77777777" w:rsidR="00073216" w:rsidRDefault="00073216">
      <w:pPr>
        <w:pStyle w:val="P00"/>
        <w:spacing w:before="72"/>
        <w:ind w:left="1021" w:right="1134"/>
        <w:rPr>
          <w:rStyle w:val="default"/>
          <w:rFonts w:cs="FrankRuehl" w:hint="cs"/>
          <w:rtl/>
        </w:rPr>
      </w:pPr>
      <w:r>
        <w:rPr>
          <w:rStyle w:val="default"/>
          <w:rFonts w:cs="FrankRuehl" w:hint="cs"/>
          <w:rtl/>
        </w:rPr>
        <w:lastRenderedPageBreak/>
        <w:t>(2)</w:t>
      </w:r>
      <w:r>
        <w:rPr>
          <w:rStyle w:val="default"/>
          <w:rFonts w:cs="FrankRuehl" w:hint="cs"/>
          <w:rtl/>
        </w:rPr>
        <w:tab/>
        <w:t>גודל האותיות והסימן שבמסגרת בפרט 1(א) לתוספת השניה יותאם לגובה המסגרת, תוך שמירת היחסים הפנימיים בין האותיות בינן ובין עצמן, ובין הסימן.</w:t>
      </w:r>
    </w:p>
    <w:p w14:paraId="4ACE8478" w14:textId="77777777" w:rsidR="00F45EFB" w:rsidRPr="00BE38D3" w:rsidRDefault="00F45EFB" w:rsidP="00F45EFB">
      <w:pPr>
        <w:pStyle w:val="P00"/>
        <w:tabs>
          <w:tab w:val="clear" w:pos="6259"/>
        </w:tabs>
        <w:spacing w:before="0"/>
        <w:ind w:left="0" w:right="1134"/>
        <w:rPr>
          <w:rFonts w:cs="FrankRuehl" w:hint="cs"/>
          <w:vanish/>
          <w:szCs w:val="20"/>
          <w:shd w:val="clear" w:color="auto" w:fill="FFFF99"/>
          <w:rtl/>
        </w:rPr>
      </w:pPr>
      <w:bookmarkStart w:id="6" w:name="Rov27"/>
      <w:r w:rsidRPr="00BE38D3">
        <w:rPr>
          <w:rFonts w:cs="FrankRuehl" w:hint="cs"/>
          <w:vanish/>
          <w:color w:val="FF0000"/>
          <w:szCs w:val="20"/>
          <w:shd w:val="clear" w:color="auto" w:fill="FFFF99"/>
          <w:rtl/>
        </w:rPr>
        <w:t>מיום 12.10.2003</w:t>
      </w:r>
    </w:p>
    <w:p w14:paraId="6FBCCEC0" w14:textId="77777777" w:rsidR="00F45EFB" w:rsidRPr="00BE38D3" w:rsidRDefault="00F45EFB" w:rsidP="00F45EFB">
      <w:pPr>
        <w:pStyle w:val="P00"/>
        <w:spacing w:before="0"/>
        <w:ind w:left="0" w:right="1134"/>
        <w:rPr>
          <w:rFonts w:cs="FrankRuehl" w:hint="cs"/>
          <w:b/>
          <w:bCs/>
          <w:vanish/>
          <w:szCs w:val="20"/>
          <w:shd w:val="clear" w:color="auto" w:fill="FFFF99"/>
          <w:rtl/>
        </w:rPr>
      </w:pPr>
      <w:r w:rsidRPr="00BE38D3">
        <w:rPr>
          <w:rFonts w:cs="FrankRuehl" w:hint="cs"/>
          <w:b/>
          <w:bCs/>
          <w:vanish/>
          <w:szCs w:val="20"/>
          <w:shd w:val="clear" w:color="auto" w:fill="FFFF99"/>
          <w:rtl/>
        </w:rPr>
        <w:t>צו תשס"ג-2003</w:t>
      </w:r>
    </w:p>
    <w:p w14:paraId="39548FD1" w14:textId="77777777" w:rsidR="00F45EFB" w:rsidRPr="00BE38D3" w:rsidRDefault="00F45EFB" w:rsidP="00F45EFB">
      <w:pPr>
        <w:pStyle w:val="P00"/>
        <w:spacing w:before="0"/>
        <w:ind w:left="0" w:right="1134"/>
        <w:rPr>
          <w:rFonts w:cs="FrankRuehl" w:hint="cs"/>
          <w:vanish/>
          <w:szCs w:val="20"/>
          <w:shd w:val="clear" w:color="auto" w:fill="FFFF99"/>
          <w:rtl/>
        </w:rPr>
      </w:pPr>
      <w:hyperlink r:id="rId11" w:history="1">
        <w:r w:rsidRPr="00BE38D3">
          <w:rPr>
            <w:rStyle w:val="Hyperlink"/>
            <w:rFonts w:cs="FrankRuehl" w:hint="cs"/>
            <w:vanish/>
            <w:szCs w:val="20"/>
            <w:shd w:val="clear" w:color="auto" w:fill="FFFF99"/>
            <w:rtl/>
          </w:rPr>
          <w:t>ק"ת תשס"ג מס' 6226</w:t>
        </w:r>
      </w:hyperlink>
      <w:r w:rsidRPr="00BE38D3">
        <w:rPr>
          <w:rFonts w:cs="FrankRuehl" w:hint="cs"/>
          <w:vanish/>
          <w:szCs w:val="20"/>
          <w:shd w:val="clear" w:color="auto" w:fill="FFFF99"/>
          <w:rtl/>
        </w:rPr>
        <w:t xml:space="preserve"> מיום 12.2.2003 עמ' 512</w:t>
      </w:r>
    </w:p>
    <w:p w14:paraId="7C1E0656" w14:textId="77777777" w:rsidR="00F45EFB" w:rsidRPr="00BE38D3" w:rsidRDefault="00F45EFB" w:rsidP="00F45EFB">
      <w:pPr>
        <w:pStyle w:val="P00"/>
        <w:ind w:left="0" w:right="1134"/>
        <w:rPr>
          <w:rStyle w:val="default"/>
          <w:rFonts w:cs="FrankRuehl" w:hint="cs"/>
          <w:vanish/>
          <w:sz w:val="20"/>
          <w:szCs w:val="20"/>
          <w:shd w:val="clear" w:color="auto" w:fill="FFFF99"/>
          <w:rtl/>
        </w:rPr>
      </w:pPr>
      <w:r w:rsidRPr="00BE38D3">
        <w:rPr>
          <w:rFonts w:cs="FrankRuehl" w:hint="cs"/>
          <w:vanish/>
          <w:szCs w:val="20"/>
          <w:shd w:val="clear" w:color="auto" w:fill="FFFF99"/>
          <w:rtl/>
        </w:rPr>
        <w:t>3.</w:t>
      </w:r>
      <w:r w:rsidRPr="00BE38D3">
        <w:rPr>
          <w:rFonts w:cs="FrankRuehl" w:hint="cs"/>
          <w:vanish/>
          <w:szCs w:val="20"/>
          <w:shd w:val="clear" w:color="auto" w:fill="FFFF99"/>
          <w:rtl/>
        </w:rPr>
        <w:tab/>
      </w:r>
      <w:r w:rsidRPr="00BE38D3">
        <w:rPr>
          <w:rStyle w:val="default"/>
          <w:rFonts w:cs="FrankRuehl" w:hint="cs"/>
          <w:vanish/>
          <w:sz w:val="22"/>
          <w:szCs w:val="22"/>
          <w:shd w:val="clear" w:color="auto" w:fill="FFFF99"/>
          <w:rtl/>
        </w:rPr>
        <w:t xml:space="preserve">האזהרה לענין </w:t>
      </w:r>
      <w:r w:rsidRPr="00BE38D3">
        <w:rPr>
          <w:rStyle w:val="default"/>
          <w:rFonts w:cs="FrankRuehl" w:hint="cs"/>
          <w:strike/>
          <w:vanish/>
          <w:sz w:val="22"/>
          <w:szCs w:val="22"/>
          <w:shd w:val="clear" w:color="auto" w:fill="FFFF99"/>
          <w:rtl/>
        </w:rPr>
        <w:t>סעיף 7</w:t>
      </w:r>
      <w:r w:rsidRPr="00BE38D3">
        <w:rPr>
          <w:rStyle w:val="default"/>
          <w:rFonts w:cs="FrankRuehl" w:hint="cs"/>
          <w:vanish/>
          <w:sz w:val="22"/>
          <w:szCs w:val="22"/>
          <w:shd w:val="clear" w:color="auto" w:fill="FFFF99"/>
          <w:rtl/>
        </w:rPr>
        <w:t xml:space="preserve"> </w:t>
      </w:r>
      <w:r w:rsidRPr="00BE38D3">
        <w:rPr>
          <w:rStyle w:val="default"/>
          <w:rFonts w:cs="FrankRuehl" w:hint="cs"/>
          <w:vanish/>
          <w:sz w:val="22"/>
          <w:szCs w:val="22"/>
          <w:u w:val="single"/>
          <w:shd w:val="clear" w:color="auto" w:fill="FFFF99"/>
          <w:rtl/>
        </w:rPr>
        <w:t>סעיפים 4(ב) ו-7 לחוק</w:t>
      </w:r>
      <w:r w:rsidRPr="00BE38D3">
        <w:rPr>
          <w:rStyle w:val="default"/>
          <w:rFonts w:cs="FrankRuehl" w:hint="cs"/>
          <w:vanish/>
          <w:sz w:val="22"/>
          <w:szCs w:val="22"/>
          <w:shd w:val="clear" w:color="auto" w:fill="FFFF99"/>
          <w:rtl/>
        </w:rPr>
        <w:t xml:space="preserve"> לחוק תודפס בשורה אחת, באותיות שחורות על רקע לבן התחום במסגרת שחורה שעוביה כעובי האותיות באזהרה בגופן "חיים שמן".</w:t>
      </w:r>
    </w:p>
    <w:p w14:paraId="26E60109" w14:textId="77777777" w:rsidR="00F45EFB" w:rsidRPr="00BE38D3" w:rsidRDefault="00F45EFB" w:rsidP="00F45EFB">
      <w:pPr>
        <w:pStyle w:val="P00"/>
        <w:spacing w:before="0"/>
        <w:ind w:left="0" w:right="1134"/>
        <w:rPr>
          <w:rStyle w:val="big-number"/>
          <w:rFonts w:cs="FrankRuehl" w:hint="cs"/>
          <w:vanish/>
          <w:sz w:val="20"/>
          <w:szCs w:val="20"/>
          <w:shd w:val="clear" w:color="auto" w:fill="FFFF99"/>
          <w:rtl/>
        </w:rPr>
      </w:pPr>
    </w:p>
    <w:p w14:paraId="60C29068" w14:textId="77777777" w:rsidR="00F45EFB" w:rsidRPr="00BE38D3" w:rsidRDefault="00F45EFB" w:rsidP="00F45EFB">
      <w:pPr>
        <w:pStyle w:val="P00"/>
        <w:tabs>
          <w:tab w:val="clear" w:pos="6259"/>
        </w:tabs>
        <w:spacing w:before="0"/>
        <w:ind w:left="0" w:right="1134"/>
        <w:rPr>
          <w:rFonts w:cs="FrankRuehl" w:hint="cs"/>
          <w:vanish/>
          <w:color w:val="FF0000"/>
          <w:szCs w:val="20"/>
          <w:shd w:val="clear" w:color="auto" w:fill="FFFF99"/>
          <w:rtl/>
        </w:rPr>
      </w:pPr>
      <w:r w:rsidRPr="00BE38D3">
        <w:rPr>
          <w:rFonts w:cs="FrankRuehl" w:hint="cs"/>
          <w:vanish/>
          <w:color w:val="FF0000"/>
          <w:szCs w:val="20"/>
          <w:shd w:val="clear" w:color="auto" w:fill="FFFF99"/>
          <w:rtl/>
        </w:rPr>
        <w:t>מיום 1.12.2004</w:t>
      </w:r>
    </w:p>
    <w:p w14:paraId="232AD354" w14:textId="77777777" w:rsidR="00F45EFB" w:rsidRPr="00BE38D3" w:rsidRDefault="00F45EFB" w:rsidP="00F45EFB">
      <w:pPr>
        <w:pStyle w:val="P00"/>
        <w:spacing w:before="0"/>
        <w:ind w:left="0" w:right="1134"/>
        <w:rPr>
          <w:rFonts w:cs="FrankRuehl" w:hint="cs"/>
          <w:b/>
          <w:bCs/>
          <w:vanish/>
          <w:szCs w:val="20"/>
          <w:shd w:val="clear" w:color="auto" w:fill="FFFF99"/>
          <w:rtl/>
        </w:rPr>
      </w:pPr>
      <w:r w:rsidRPr="00BE38D3">
        <w:rPr>
          <w:rFonts w:cs="FrankRuehl" w:hint="cs"/>
          <w:b/>
          <w:bCs/>
          <w:vanish/>
          <w:szCs w:val="20"/>
          <w:shd w:val="clear" w:color="auto" w:fill="FFFF99"/>
          <w:rtl/>
        </w:rPr>
        <w:t>צו תשס"ד-2004</w:t>
      </w:r>
    </w:p>
    <w:p w14:paraId="3CFA066C" w14:textId="77777777" w:rsidR="00F45EFB" w:rsidRPr="00BE38D3" w:rsidRDefault="00F45EFB" w:rsidP="00F45EFB">
      <w:pPr>
        <w:pStyle w:val="P00"/>
        <w:spacing w:before="0"/>
        <w:ind w:left="0" w:right="1134"/>
        <w:rPr>
          <w:rFonts w:cs="FrankRuehl" w:hint="cs"/>
          <w:vanish/>
          <w:szCs w:val="20"/>
          <w:shd w:val="clear" w:color="auto" w:fill="FFFF99"/>
          <w:rtl/>
        </w:rPr>
      </w:pPr>
      <w:hyperlink r:id="rId12" w:history="1">
        <w:r w:rsidRPr="00BE38D3">
          <w:rPr>
            <w:rStyle w:val="Hyperlink"/>
            <w:rFonts w:cs="FrankRuehl" w:hint="cs"/>
            <w:vanish/>
            <w:szCs w:val="20"/>
            <w:shd w:val="clear" w:color="auto" w:fill="FFFF99"/>
            <w:rtl/>
          </w:rPr>
          <w:t>ק"ת תשס"ד מס' 6302</w:t>
        </w:r>
      </w:hyperlink>
      <w:r w:rsidRPr="00BE38D3">
        <w:rPr>
          <w:rFonts w:cs="FrankRuehl" w:hint="cs"/>
          <w:vanish/>
          <w:szCs w:val="20"/>
          <w:shd w:val="clear" w:color="auto" w:fill="FFFF99"/>
          <w:rtl/>
        </w:rPr>
        <w:t xml:space="preserve"> מיום 1.4.2004 עמ' 362</w:t>
      </w:r>
    </w:p>
    <w:p w14:paraId="5ED52CF5" w14:textId="77777777" w:rsidR="00F45EFB" w:rsidRPr="00BE38D3" w:rsidRDefault="00F45EFB" w:rsidP="00F45EFB">
      <w:pPr>
        <w:pStyle w:val="P00"/>
        <w:ind w:left="0" w:right="1134"/>
        <w:rPr>
          <w:rStyle w:val="default"/>
          <w:rFonts w:cs="FrankRuehl" w:hint="cs"/>
          <w:vanish/>
          <w:sz w:val="22"/>
          <w:szCs w:val="22"/>
          <w:shd w:val="clear" w:color="auto" w:fill="FFFF99"/>
          <w:rtl/>
        </w:rPr>
      </w:pPr>
      <w:r w:rsidRPr="00BE38D3">
        <w:rPr>
          <w:rFonts w:cs="FrankRuehl" w:hint="cs"/>
          <w:vanish/>
          <w:szCs w:val="20"/>
          <w:shd w:val="clear" w:color="auto" w:fill="FFFF99"/>
          <w:rtl/>
        </w:rPr>
        <w:t>3.</w:t>
      </w:r>
      <w:r w:rsidRPr="00BE38D3">
        <w:rPr>
          <w:rFonts w:cs="FrankRuehl" w:hint="cs"/>
          <w:vanish/>
          <w:szCs w:val="20"/>
          <w:shd w:val="clear" w:color="auto" w:fill="FFFF99"/>
          <w:rtl/>
        </w:rPr>
        <w:tab/>
      </w:r>
      <w:r w:rsidRPr="00BE38D3">
        <w:rPr>
          <w:rFonts w:cs="FrankRuehl" w:hint="cs"/>
          <w:vanish/>
          <w:szCs w:val="20"/>
          <w:u w:val="single"/>
          <w:shd w:val="clear" w:color="auto" w:fill="FFFF99"/>
          <w:rtl/>
        </w:rPr>
        <w:t>(א)</w:t>
      </w:r>
      <w:r w:rsidRPr="00BE38D3">
        <w:rPr>
          <w:rFonts w:cs="FrankRuehl" w:hint="cs"/>
          <w:vanish/>
          <w:szCs w:val="20"/>
          <w:shd w:val="clear" w:color="auto" w:fill="FFFF99"/>
          <w:rtl/>
        </w:rPr>
        <w:tab/>
      </w:r>
      <w:r w:rsidRPr="00BE38D3">
        <w:rPr>
          <w:rStyle w:val="default"/>
          <w:rFonts w:cs="FrankRuehl" w:hint="cs"/>
          <w:vanish/>
          <w:sz w:val="22"/>
          <w:szCs w:val="22"/>
          <w:shd w:val="clear" w:color="auto" w:fill="FFFF99"/>
          <w:rtl/>
        </w:rPr>
        <w:t>האזהרה לענין סעיפים 4(ב) ו-7 לחוק לחוק תודפס בשורה אחת, באותיות שחורות על רקע לבן התחום במסגרת שחורה שעוביה כעובי האותיות באזהרה בגופן "חיים שמן".</w:t>
      </w:r>
    </w:p>
    <w:p w14:paraId="332A9709" w14:textId="77777777" w:rsidR="00F45EFB" w:rsidRPr="00BE38D3" w:rsidRDefault="00F45EFB" w:rsidP="00F45EFB">
      <w:pPr>
        <w:pStyle w:val="P00"/>
        <w:spacing w:before="0"/>
        <w:ind w:left="0" w:right="1134"/>
        <w:rPr>
          <w:rStyle w:val="default"/>
          <w:rFonts w:cs="FrankRuehl" w:hint="cs"/>
          <w:vanish/>
          <w:sz w:val="22"/>
          <w:szCs w:val="22"/>
          <w:u w:val="single"/>
          <w:shd w:val="clear" w:color="auto" w:fill="FFFF99"/>
          <w:rtl/>
        </w:rPr>
      </w:pPr>
      <w:r w:rsidRPr="00BE38D3">
        <w:rPr>
          <w:rStyle w:val="default"/>
          <w:rFonts w:cs="FrankRuehl" w:hint="cs"/>
          <w:vanish/>
          <w:sz w:val="22"/>
          <w:szCs w:val="22"/>
          <w:shd w:val="clear" w:color="auto" w:fill="FFFF99"/>
          <w:rtl/>
        </w:rPr>
        <w:tab/>
      </w:r>
      <w:r w:rsidRPr="00BE38D3">
        <w:rPr>
          <w:rStyle w:val="default"/>
          <w:rFonts w:cs="FrankRuehl" w:hint="cs"/>
          <w:vanish/>
          <w:sz w:val="22"/>
          <w:szCs w:val="22"/>
          <w:u w:val="single"/>
          <w:shd w:val="clear" w:color="auto" w:fill="FFFF99"/>
          <w:rtl/>
        </w:rPr>
        <w:t>(ב)</w:t>
      </w:r>
      <w:r w:rsidRPr="00BE38D3">
        <w:rPr>
          <w:rStyle w:val="default"/>
          <w:rFonts w:cs="FrankRuehl" w:hint="cs"/>
          <w:vanish/>
          <w:sz w:val="22"/>
          <w:szCs w:val="22"/>
          <w:u w:val="single"/>
          <w:shd w:val="clear" w:color="auto" w:fill="FFFF99"/>
          <w:rtl/>
        </w:rPr>
        <w:tab/>
        <w:t xml:space="preserve">אזהרה לענין סעיף 9(א) לחוק </w:t>
      </w:r>
      <w:r w:rsidRPr="00BE38D3">
        <w:rPr>
          <w:rStyle w:val="default"/>
          <w:rFonts w:cs="FrankRuehl"/>
          <w:vanish/>
          <w:sz w:val="22"/>
          <w:szCs w:val="22"/>
          <w:u w:val="single"/>
          <w:shd w:val="clear" w:color="auto" w:fill="FFFF99"/>
          <w:rtl/>
        </w:rPr>
        <w:t>–</w:t>
      </w:r>
    </w:p>
    <w:p w14:paraId="03F0FA8E" w14:textId="77777777" w:rsidR="00F45EFB" w:rsidRPr="00BE38D3" w:rsidRDefault="00F45EFB" w:rsidP="00F45EFB">
      <w:pPr>
        <w:pStyle w:val="P00"/>
        <w:spacing w:before="0"/>
        <w:ind w:left="1021" w:right="1134"/>
        <w:rPr>
          <w:rStyle w:val="default"/>
          <w:rFonts w:cs="FrankRuehl" w:hint="cs"/>
          <w:vanish/>
          <w:sz w:val="22"/>
          <w:szCs w:val="22"/>
          <w:u w:val="single"/>
          <w:shd w:val="clear" w:color="auto" w:fill="FFFF99"/>
          <w:rtl/>
        </w:rPr>
      </w:pPr>
      <w:r w:rsidRPr="00BE38D3">
        <w:rPr>
          <w:rStyle w:val="default"/>
          <w:rFonts w:cs="FrankRuehl" w:hint="cs"/>
          <w:vanish/>
          <w:sz w:val="22"/>
          <w:szCs w:val="22"/>
          <w:u w:val="single"/>
          <w:shd w:val="clear" w:color="auto" w:fill="FFFF99"/>
          <w:rtl/>
        </w:rPr>
        <w:t>(1)</w:t>
      </w:r>
      <w:r w:rsidRPr="00BE38D3">
        <w:rPr>
          <w:rStyle w:val="default"/>
          <w:rFonts w:cs="FrankRuehl" w:hint="cs"/>
          <w:vanish/>
          <w:sz w:val="22"/>
          <w:szCs w:val="22"/>
          <w:u w:val="single"/>
          <w:shd w:val="clear" w:color="auto" w:fill="FFFF99"/>
          <w:rtl/>
        </w:rPr>
        <w:tab/>
        <w:t>תעוצב כמפורט בתוספת השניה, לרבות היחסים (הפרופורציות), ואולם רשאי יבואן או יצרן להשתמש בגוון אדום שונה מהגוון האדום שבתוספת האמורה, אם הציג את הגוון שבו הוא מבקש להשתמש בפני המנהל, כהגדרתו בסעיף 6, והמנהל לא הודיע על התנגדותו לכך בתוך 30 ימים מיום שהוצג לפניו;</w:t>
      </w:r>
    </w:p>
    <w:p w14:paraId="4EC8DB99" w14:textId="77777777" w:rsidR="00F45EFB" w:rsidRPr="00BE38D3" w:rsidRDefault="00F45EFB" w:rsidP="00F45EFB">
      <w:pPr>
        <w:pStyle w:val="P00"/>
        <w:spacing w:before="0"/>
        <w:ind w:left="1021" w:right="1134"/>
        <w:rPr>
          <w:rStyle w:val="default"/>
          <w:rFonts w:cs="FrankRuehl" w:hint="cs"/>
          <w:vanish/>
          <w:sz w:val="22"/>
          <w:szCs w:val="22"/>
          <w:u w:val="single"/>
          <w:shd w:val="clear" w:color="auto" w:fill="FFFF99"/>
          <w:rtl/>
        </w:rPr>
      </w:pPr>
      <w:r w:rsidRPr="00BE38D3">
        <w:rPr>
          <w:rStyle w:val="default"/>
          <w:rFonts w:cs="FrankRuehl" w:hint="cs"/>
          <w:vanish/>
          <w:sz w:val="22"/>
          <w:szCs w:val="22"/>
          <w:u w:val="single"/>
          <w:shd w:val="clear" w:color="auto" w:fill="FFFF99"/>
          <w:rtl/>
        </w:rPr>
        <w:t>(2)</w:t>
      </w:r>
      <w:r w:rsidRPr="00BE38D3">
        <w:rPr>
          <w:rStyle w:val="default"/>
          <w:rFonts w:cs="FrankRuehl" w:hint="cs"/>
          <w:vanish/>
          <w:sz w:val="22"/>
          <w:szCs w:val="22"/>
          <w:u w:val="single"/>
          <w:shd w:val="clear" w:color="auto" w:fill="FFFF99"/>
          <w:rtl/>
        </w:rPr>
        <w:tab/>
        <w:t>שטחה יהיה בגודל 30% משטחו של כל אחד משני צדיה העיקריים של אריזת מוצ</w:t>
      </w:r>
      <w:r w:rsidR="00505182" w:rsidRPr="00BE38D3">
        <w:rPr>
          <w:rStyle w:val="default"/>
          <w:rFonts w:cs="FrankRuehl" w:hint="cs"/>
          <w:vanish/>
          <w:sz w:val="22"/>
          <w:szCs w:val="22"/>
          <w:u w:val="single"/>
          <w:shd w:val="clear" w:color="auto" w:fill="FFFF99"/>
          <w:rtl/>
        </w:rPr>
        <w:t>ר</w:t>
      </w:r>
      <w:r w:rsidRPr="00BE38D3">
        <w:rPr>
          <w:rStyle w:val="default"/>
          <w:rFonts w:cs="FrankRuehl" w:hint="cs"/>
          <w:vanish/>
          <w:sz w:val="22"/>
          <w:szCs w:val="22"/>
          <w:u w:val="single"/>
          <w:shd w:val="clear" w:color="auto" w:fill="FFFF99"/>
          <w:rtl/>
        </w:rPr>
        <w:t xml:space="preserve"> הטבק.</w:t>
      </w:r>
    </w:p>
    <w:p w14:paraId="0A9D5766" w14:textId="77777777" w:rsidR="00F45EFB" w:rsidRPr="00BE38D3" w:rsidRDefault="00F45EFB" w:rsidP="00F45EFB">
      <w:pPr>
        <w:pStyle w:val="P00"/>
        <w:ind w:left="0" w:right="1134"/>
        <w:rPr>
          <w:rStyle w:val="default"/>
          <w:rFonts w:cs="FrankRuehl" w:hint="cs"/>
          <w:vanish/>
          <w:sz w:val="20"/>
          <w:szCs w:val="20"/>
          <w:shd w:val="clear" w:color="auto" w:fill="FFFF99"/>
          <w:rtl/>
        </w:rPr>
      </w:pPr>
    </w:p>
    <w:p w14:paraId="512E9D39" w14:textId="77777777" w:rsidR="00F45EFB" w:rsidRPr="00BE38D3" w:rsidRDefault="00F45EFB" w:rsidP="00F45EFB">
      <w:pPr>
        <w:pStyle w:val="P00"/>
        <w:tabs>
          <w:tab w:val="clear" w:pos="6259"/>
        </w:tabs>
        <w:spacing w:before="0"/>
        <w:ind w:left="0" w:right="1134"/>
        <w:rPr>
          <w:rFonts w:cs="FrankRuehl" w:hint="cs"/>
          <w:vanish/>
          <w:color w:val="FF0000"/>
          <w:szCs w:val="20"/>
          <w:shd w:val="clear" w:color="auto" w:fill="FFFF99"/>
          <w:rtl/>
        </w:rPr>
      </w:pPr>
      <w:r w:rsidRPr="00BE38D3">
        <w:rPr>
          <w:rFonts w:cs="FrankRuehl" w:hint="cs"/>
          <w:vanish/>
          <w:color w:val="FF0000"/>
          <w:szCs w:val="20"/>
          <w:shd w:val="clear" w:color="auto" w:fill="FFFF99"/>
          <w:rtl/>
        </w:rPr>
        <w:t>מיום 1.12.2004</w:t>
      </w:r>
    </w:p>
    <w:p w14:paraId="04528441" w14:textId="77777777" w:rsidR="00F45EFB" w:rsidRPr="00BE38D3" w:rsidRDefault="00F45EFB" w:rsidP="00F45EFB">
      <w:pPr>
        <w:pStyle w:val="P00"/>
        <w:spacing w:before="0"/>
        <w:ind w:left="0" w:right="1134"/>
        <w:rPr>
          <w:rFonts w:cs="FrankRuehl" w:hint="cs"/>
          <w:b/>
          <w:bCs/>
          <w:vanish/>
          <w:szCs w:val="20"/>
          <w:shd w:val="clear" w:color="auto" w:fill="FFFF99"/>
          <w:rtl/>
        </w:rPr>
      </w:pPr>
      <w:r w:rsidRPr="00BE38D3">
        <w:rPr>
          <w:rFonts w:cs="FrankRuehl" w:hint="cs"/>
          <w:b/>
          <w:bCs/>
          <w:vanish/>
          <w:szCs w:val="20"/>
          <w:shd w:val="clear" w:color="auto" w:fill="FFFF99"/>
          <w:rtl/>
        </w:rPr>
        <w:t>צו תשס"ה-2004</w:t>
      </w:r>
    </w:p>
    <w:p w14:paraId="6CA85E58" w14:textId="77777777" w:rsidR="00F45EFB" w:rsidRPr="00BE38D3" w:rsidRDefault="00F45EFB" w:rsidP="00F45EFB">
      <w:pPr>
        <w:pStyle w:val="P00"/>
        <w:spacing w:before="0"/>
        <w:ind w:left="0" w:right="1134"/>
        <w:rPr>
          <w:rFonts w:cs="FrankRuehl" w:hint="cs"/>
          <w:vanish/>
          <w:szCs w:val="20"/>
          <w:shd w:val="clear" w:color="auto" w:fill="FFFF99"/>
          <w:rtl/>
        </w:rPr>
      </w:pPr>
      <w:hyperlink r:id="rId13" w:history="1">
        <w:r w:rsidRPr="00BE38D3">
          <w:rPr>
            <w:rStyle w:val="Hyperlink"/>
            <w:rFonts w:cs="FrankRuehl" w:hint="cs"/>
            <w:vanish/>
            <w:szCs w:val="20"/>
            <w:shd w:val="clear" w:color="auto" w:fill="FFFF99"/>
            <w:rtl/>
          </w:rPr>
          <w:t>ק"ת תשס"ה מס' 6349</w:t>
        </w:r>
      </w:hyperlink>
      <w:r w:rsidRPr="00BE38D3">
        <w:rPr>
          <w:rFonts w:cs="FrankRuehl" w:hint="cs"/>
          <w:vanish/>
          <w:szCs w:val="20"/>
          <w:shd w:val="clear" w:color="auto" w:fill="FFFF99"/>
          <w:rtl/>
        </w:rPr>
        <w:t xml:space="preserve"> מיום 18.11.2004 עמ' 166</w:t>
      </w:r>
    </w:p>
    <w:p w14:paraId="123840AB" w14:textId="77777777" w:rsidR="00F45EFB" w:rsidRPr="00FA052E" w:rsidRDefault="00F45EFB" w:rsidP="00F45EFB">
      <w:pPr>
        <w:pStyle w:val="P00"/>
        <w:spacing w:before="0"/>
        <w:ind w:left="0" w:right="1134"/>
        <w:rPr>
          <w:rStyle w:val="big-number"/>
          <w:rFonts w:cs="FrankRuehl" w:hint="cs"/>
          <w:sz w:val="2"/>
          <w:szCs w:val="2"/>
          <w:highlight w:val="yellow"/>
          <w:rtl/>
        </w:rPr>
      </w:pPr>
      <w:r w:rsidRPr="00BE38D3">
        <w:rPr>
          <w:rFonts w:cs="FrankRuehl" w:hint="cs"/>
          <w:b/>
          <w:bCs/>
          <w:vanish/>
          <w:szCs w:val="20"/>
          <w:shd w:val="clear" w:color="auto" w:fill="FFFF99"/>
          <w:rtl/>
        </w:rPr>
        <w:t>הוספת סעיף קטן 3(ג)</w:t>
      </w:r>
      <w:bookmarkEnd w:id="6"/>
    </w:p>
    <w:p w14:paraId="1315ACC7" w14:textId="77777777" w:rsidR="00F45EFB" w:rsidRDefault="00F45EFB" w:rsidP="00F45EFB">
      <w:pPr>
        <w:pStyle w:val="P00"/>
        <w:spacing w:before="72"/>
        <w:ind w:left="0" w:right="1134"/>
        <w:rPr>
          <w:rStyle w:val="default"/>
          <w:rFonts w:cs="FrankRuehl" w:hint="cs"/>
          <w:rtl/>
        </w:rPr>
      </w:pPr>
    </w:p>
    <w:p w14:paraId="4191FACD" w14:textId="77777777" w:rsidR="00073216" w:rsidRDefault="00073216">
      <w:pPr>
        <w:pStyle w:val="P00"/>
        <w:spacing w:before="72"/>
        <w:ind w:left="0" w:right="1134"/>
        <w:rPr>
          <w:rStyle w:val="default"/>
          <w:rFonts w:cs="FrankRuehl" w:hint="cs"/>
          <w:rtl/>
        </w:rPr>
      </w:pPr>
      <w:bookmarkStart w:id="7" w:name="Seif3"/>
      <w:bookmarkEnd w:id="7"/>
      <w:r>
        <w:rPr>
          <w:lang w:val="he-IL"/>
        </w:rPr>
        <w:pict w14:anchorId="6F7D848B">
          <v:rect id="_x0000_s1051" style="position:absolute;left:0;text-align:left;margin-left:464.5pt;margin-top:8.05pt;width:75.05pt;height:20pt;z-index:251653120" o:allowincell="f" filled="f" stroked="f" strokecolor="lime" strokeweight=".25pt">
            <v:textbox style="mso-next-textbox:#_x0000_s1051" inset="0,0,0,0">
              <w:txbxContent>
                <w:p w14:paraId="5BF8675F" w14:textId="77777777" w:rsidR="00073216" w:rsidRDefault="00073216">
                  <w:pPr>
                    <w:spacing w:line="160" w:lineRule="exact"/>
                    <w:jc w:val="left"/>
                    <w:rPr>
                      <w:rFonts w:cs="Miriam" w:hint="cs"/>
                      <w:sz w:val="18"/>
                      <w:szCs w:val="18"/>
                      <w:rtl/>
                    </w:rPr>
                  </w:pPr>
                  <w:r>
                    <w:rPr>
                      <w:rFonts w:cs="Miriam" w:hint="cs"/>
                      <w:sz w:val="18"/>
                      <w:szCs w:val="18"/>
                      <w:rtl/>
                    </w:rPr>
                    <w:t>ייחוס האזהרה</w:t>
                  </w:r>
                </w:p>
                <w:p w14:paraId="63A29CFF" w14:textId="77777777" w:rsidR="00073216" w:rsidRDefault="00073216">
                  <w:pPr>
                    <w:spacing w:line="160" w:lineRule="exact"/>
                    <w:jc w:val="left"/>
                    <w:rPr>
                      <w:rFonts w:cs="Miriam" w:hint="cs"/>
                      <w:noProof/>
                      <w:sz w:val="18"/>
                      <w:szCs w:val="18"/>
                      <w:rtl/>
                    </w:rPr>
                  </w:pPr>
                  <w:r>
                    <w:rPr>
                      <w:rFonts w:cs="Miriam" w:hint="cs"/>
                      <w:sz w:val="18"/>
                      <w:szCs w:val="18"/>
                      <w:rtl/>
                    </w:rPr>
                    <w:t>צו תשס"ד-2004</w:t>
                  </w:r>
                </w:p>
              </w:txbxContent>
            </v:textbox>
            <w10:anchorlock/>
          </v:rect>
        </w:pict>
      </w:r>
      <w:r>
        <w:rPr>
          <w:rStyle w:val="big-number"/>
          <w:rFonts w:cs="Miriam"/>
          <w:rtl/>
        </w:rPr>
        <w:t>4.</w:t>
      </w:r>
      <w:r>
        <w:rPr>
          <w:rStyle w:val="big-number"/>
          <w:rFonts w:cs="Miriam"/>
          <w:rtl/>
        </w:rPr>
        <w:tab/>
      </w:r>
      <w:r>
        <w:rPr>
          <w:rStyle w:val="default"/>
          <w:rFonts w:cs="FrankRuehl" w:hint="cs"/>
          <w:rtl/>
        </w:rPr>
        <w:t>לענין אזהרה שברשימה או בתוספת השניה, שאין בה המילים "משרד הבריאות", רשאי המפרסם לכלול בפרסומת, מחוץ לשטח הממוסגר, את המילים "פרסום אזהרה זו מתחייב על פי חוק".</w:t>
      </w:r>
    </w:p>
    <w:p w14:paraId="184F6045" w14:textId="77777777" w:rsidR="00273A10" w:rsidRPr="00BE38D3" w:rsidRDefault="00273A10" w:rsidP="00273A10">
      <w:pPr>
        <w:pStyle w:val="P00"/>
        <w:tabs>
          <w:tab w:val="clear" w:pos="6259"/>
        </w:tabs>
        <w:spacing w:before="0"/>
        <w:ind w:left="0" w:right="1134"/>
        <w:rPr>
          <w:rFonts w:cs="FrankRuehl" w:hint="cs"/>
          <w:vanish/>
          <w:color w:val="FF0000"/>
          <w:szCs w:val="20"/>
          <w:shd w:val="clear" w:color="auto" w:fill="FFFF99"/>
          <w:rtl/>
        </w:rPr>
      </w:pPr>
      <w:bookmarkStart w:id="8" w:name="Rov28"/>
      <w:r w:rsidRPr="00BE38D3">
        <w:rPr>
          <w:rFonts w:cs="FrankRuehl" w:hint="cs"/>
          <w:vanish/>
          <w:color w:val="FF0000"/>
          <w:szCs w:val="20"/>
          <w:shd w:val="clear" w:color="auto" w:fill="FFFF99"/>
          <w:rtl/>
        </w:rPr>
        <w:t>מיום 1.12.2004</w:t>
      </w:r>
    </w:p>
    <w:p w14:paraId="382CE9B8" w14:textId="77777777" w:rsidR="00273A10" w:rsidRPr="00BE38D3" w:rsidRDefault="00273A10" w:rsidP="00273A10">
      <w:pPr>
        <w:pStyle w:val="P00"/>
        <w:spacing w:before="0"/>
        <w:ind w:left="0" w:right="1134"/>
        <w:rPr>
          <w:rFonts w:cs="FrankRuehl" w:hint="cs"/>
          <w:b/>
          <w:bCs/>
          <w:vanish/>
          <w:szCs w:val="20"/>
          <w:shd w:val="clear" w:color="auto" w:fill="FFFF99"/>
          <w:rtl/>
        </w:rPr>
      </w:pPr>
      <w:r w:rsidRPr="00BE38D3">
        <w:rPr>
          <w:rFonts w:cs="FrankRuehl" w:hint="cs"/>
          <w:b/>
          <w:bCs/>
          <w:vanish/>
          <w:szCs w:val="20"/>
          <w:shd w:val="clear" w:color="auto" w:fill="FFFF99"/>
          <w:rtl/>
        </w:rPr>
        <w:t>צו תשס"ד-2004</w:t>
      </w:r>
    </w:p>
    <w:p w14:paraId="2E0F0998" w14:textId="77777777" w:rsidR="00273A10" w:rsidRPr="00BE38D3" w:rsidRDefault="00273A10" w:rsidP="00273A10">
      <w:pPr>
        <w:pStyle w:val="P00"/>
        <w:spacing w:before="0"/>
        <w:ind w:left="0" w:right="1134"/>
        <w:rPr>
          <w:rFonts w:cs="FrankRuehl" w:hint="cs"/>
          <w:vanish/>
          <w:szCs w:val="20"/>
          <w:shd w:val="clear" w:color="auto" w:fill="FFFF99"/>
          <w:rtl/>
        </w:rPr>
      </w:pPr>
      <w:hyperlink r:id="rId14" w:history="1">
        <w:r w:rsidRPr="00BE38D3">
          <w:rPr>
            <w:rStyle w:val="Hyperlink"/>
            <w:rFonts w:cs="FrankRuehl" w:hint="cs"/>
            <w:vanish/>
            <w:szCs w:val="20"/>
            <w:shd w:val="clear" w:color="auto" w:fill="FFFF99"/>
            <w:rtl/>
          </w:rPr>
          <w:t>ק"ת תשס"ד מס' 6302</w:t>
        </w:r>
      </w:hyperlink>
      <w:r w:rsidRPr="00BE38D3">
        <w:rPr>
          <w:rFonts w:cs="FrankRuehl" w:hint="cs"/>
          <w:vanish/>
          <w:szCs w:val="20"/>
          <w:shd w:val="clear" w:color="auto" w:fill="FFFF99"/>
          <w:rtl/>
        </w:rPr>
        <w:t xml:space="preserve"> מיום 1.4.2004 עמ' 362</w:t>
      </w:r>
    </w:p>
    <w:p w14:paraId="11EFC637" w14:textId="77777777" w:rsidR="00273A10" w:rsidRPr="00FA052E" w:rsidRDefault="00273A10" w:rsidP="0014156A">
      <w:pPr>
        <w:pStyle w:val="P00"/>
        <w:ind w:left="0" w:right="1134"/>
        <w:rPr>
          <w:rStyle w:val="default"/>
          <w:rFonts w:cs="FrankRuehl" w:hint="cs"/>
          <w:sz w:val="2"/>
          <w:szCs w:val="2"/>
          <w:rtl/>
        </w:rPr>
      </w:pPr>
      <w:r w:rsidRPr="00BE38D3">
        <w:rPr>
          <w:rStyle w:val="big-number"/>
          <w:rFonts w:cs="FrankRuehl"/>
          <w:vanish/>
          <w:sz w:val="22"/>
          <w:szCs w:val="22"/>
          <w:shd w:val="clear" w:color="auto" w:fill="FFFF99"/>
          <w:rtl/>
        </w:rPr>
        <w:t>4.</w:t>
      </w:r>
      <w:r w:rsidRPr="00BE38D3">
        <w:rPr>
          <w:rStyle w:val="big-number"/>
          <w:rFonts w:cs="FrankRuehl"/>
          <w:vanish/>
          <w:sz w:val="22"/>
          <w:szCs w:val="22"/>
          <w:shd w:val="clear" w:color="auto" w:fill="FFFF99"/>
          <w:rtl/>
        </w:rPr>
        <w:tab/>
      </w:r>
      <w:r w:rsidRPr="00BE38D3">
        <w:rPr>
          <w:rStyle w:val="default"/>
          <w:rFonts w:cs="FrankRuehl" w:hint="cs"/>
          <w:vanish/>
          <w:sz w:val="22"/>
          <w:szCs w:val="22"/>
          <w:shd w:val="clear" w:color="auto" w:fill="FFFF99"/>
          <w:rtl/>
        </w:rPr>
        <w:t>לענין אזהרה</w:t>
      </w:r>
      <w:r w:rsidR="001133A5" w:rsidRPr="00BE38D3">
        <w:rPr>
          <w:rStyle w:val="default"/>
          <w:rFonts w:cs="FrankRuehl" w:hint="cs"/>
          <w:vanish/>
          <w:sz w:val="22"/>
          <w:szCs w:val="22"/>
          <w:shd w:val="clear" w:color="auto" w:fill="FFFF99"/>
          <w:rtl/>
        </w:rPr>
        <w:t xml:space="preserve"> </w:t>
      </w:r>
      <w:r w:rsidR="001133A5" w:rsidRPr="00BE38D3">
        <w:rPr>
          <w:rStyle w:val="default"/>
          <w:rFonts w:cs="FrankRuehl" w:hint="cs"/>
          <w:strike/>
          <w:vanish/>
          <w:sz w:val="22"/>
          <w:szCs w:val="22"/>
          <w:shd w:val="clear" w:color="auto" w:fill="FFFF99"/>
          <w:rtl/>
        </w:rPr>
        <w:t>שברשימה</w:t>
      </w:r>
      <w:r w:rsidRPr="00BE38D3">
        <w:rPr>
          <w:rStyle w:val="default"/>
          <w:rFonts w:cs="FrankRuehl" w:hint="cs"/>
          <w:vanish/>
          <w:sz w:val="22"/>
          <w:szCs w:val="22"/>
          <w:shd w:val="clear" w:color="auto" w:fill="FFFF99"/>
          <w:rtl/>
        </w:rPr>
        <w:t xml:space="preserve"> </w:t>
      </w:r>
      <w:r w:rsidRPr="00BE38D3">
        <w:rPr>
          <w:rStyle w:val="default"/>
          <w:rFonts w:cs="FrankRuehl" w:hint="cs"/>
          <w:vanish/>
          <w:sz w:val="22"/>
          <w:szCs w:val="22"/>
          <w:u w:val="single"/>
          <w:shd w:val="clear" w:color="auto" w:fill="FFFF99"/>
          <w:rtl/>
        </w:rPr>
        <w:t>שברשימה או בתוספת השניה</w:t>
      </w:r>
      <w:r w:rsidRPr="00BE38D3">
        <w:rPr>
          <w:rStyle w:val="default"/>
          <w:rFonts w:cs="FrankRuehl" w:hint="cs"/>
          <w:vanish/>
          <w:sz w:val="22"/>
          <w:szCs w:val="22"/>
          <w:shd w:val="clear" w:color="auto" w:fill="FFFF99"/>
          <w:rtl/>
        </w:rPr>
        <w:t>, שאין בה המילים "משרד הבריאות", רשאי המפרסם לכלול בפרסומת, מחוץ לשטח הממוסגר, את המילים "פרסום אזהרה זו מתחייב על פי חוק".</w:t>
      </w:r>
      <w:bookmarkEnd w:id="8"/>
    </w:p>
    <w:p w14:paraId="3693F616" w14:textId="77777777" w:rsidR="00073216" w:rsidRDefault="00073216">
      <w:pPr>
        <w:pStyle w:val="P00"/>
        <w:spacing w:before="72"/>
        <w:ind w:left="0" w:right="1134"/>
        <w:rPr>
          <w:rStyle w:val="default"/>
          <w:rFonts w:cs="FrankRuehl" w:hint="cs"/>
          <w:rtl/>
        </w:rPr>
      </w:pPr>
      <w:bookmarkStart w:id="9" w:name="Seif6"/>
      <w:bookmarkEnd w:id="9"/>
      <w:r>
        <w:rPr>
          <w:rFonts w:cs="Miriam"/>
          <w:szCs w:val="32"/>
          <w:rtl/>
          <w:lang w:val="he-IL"/>
        </w:rPr>
        <w:pict w14:anchorId="3D52AEA0">
          <v:shape id="_x0000_s1120" type="#_x0000_t202" style="position:absolute;left:0;text-align:left;margin-left:462pt;margin-top:6.75pt;width:80.25pt;height:28pt;z-index:251660288" filled="f" stroked="f">
            <v:textbox inset="1mm,0,1mm,0">
              <w:txbxContent>
                <w:p w14:paraId="41903031" w14:textId="77777777" w:rsidR="00073216" w:rsidRDefault="00073216">
                  <w:pPr>
                    <w:spacing w:line="160" w:lineRule="exact"/>
                    <w:jc w:val="left"/>
                    <w:rPr>
                      <w:rFonts w:cs="Miriam" w:hint="cs"/>
                      <w:sz w:val="18"/>
                      <w:szCs w:val="18"/>
                      <w:rtl/>
                    </w:rPr>
                  </w:pPr>
                  <w:r>
                    <w:rPr>
                      <w:rFonts w:cs="Miriam" w:hint="cs"/>
                      <w:sz w:val="18"/>
                      <w:szCs w:val="18"/>
                      <w:rtl/>
                    </w:rPr>
                    <w:t>מיקום האזהרה לענין סעיף 9(א) לחוק</w:t>
                  </w:r>
                </w:p>
                <w:p w14:paraId="5395AD54" w14:textId="77777777" w:rsidR="00073216" w:rsidRDefault="00073216">
                  <w:pPr>
                    <w:spacing w:line="160" w:lineRule="exact"/>
                    <w:jc w:val="left"/>
                    <w:rPr>
                      <w:rFonts w:cs="Miriam" w:hint="cs"/>
                      <w:sz w:val="18"/>
                      <w:szCs w:val="18"/>
                      <w:rtl/>
                    </w:rPr>
                  </w:pPr>
                  <w:r>
                    <w:rPr>
                      <w:rFonts w:cs="Miriam" w:hint="cs"/>
                      <w:sz w:val="18"/>
                      <w:szCs w:val="18"/>
                      <w:rtl/>
                    </w:rPr>
                    <w:t>צו תשס"ד-2004</w:t>
                  </w:r>
                </w:p>
              </w:txbxContent>
            </v:textbox>
            <w10:anchorlock/>
          </v:shape>
        </w:pict>
      </w:r>
      <w:r>
        <w:rPr>
          <w:rStyle w:val="default"/>
          <w:rFonts w:cs="Miriam" w:hint="cs"/>
          <w:sz w:val="32"/>
          <w:szCs w:val="32"/>
          <w:rtl/>
        </w:rPr>
        <w:t>4</w:t>
      </w:r>
      <w:r>
        <w:rPr>
          <w:rStyle w:val="default"/>
          <w:rFonts w:cs="FrankRuehl" w:hint="cs"/>
          <w:rtl/>
        </w:rPr>
        <w:t>א.</w:t>
      </w:r>
      <w:r>
        <w:rPr>
          <w:rStyle w:val="default"/>
          <w:rFonts w:cs="FrankRuehl" w:hint="cs"/>
          <w:rtl/>
        </w:rPr>
        <w:tab/>
        <w:t>אזהרה לענין סעיף 9(א) לחוק תופיע על החלק התחתון של החזית ועל הצד האחורי של חפיסת סיגריות וכל אריזה אחרת של מוצרי טבק לעישון לשיווק קמעוני, כשבחזית האזהרה תהיה בעברית ובצד האחורי תהיה בערבית.</w:t>
      </w:r>
    </w:p>
    <w:p w14:paraId="6554761E" w14:textId="77777777" w:rsidR="006A6031" w:rsidRPr="00BE38D3" w:rsidRDefault="006A6031" w:rsidP="006A6031">
      <w:pPr>
        <w:pStyle w:val="P00"/>
        <w:tabs>
          <w:tab w:val="clear" w:pos="6259"/>
        </w:tabs>
        <w:spacing w:before="0"/>
        <w:ind w:left="0" w:right="1134"/>
        <w:rPr>
          <w:rFonts w:cs="FrankRuehl" w:hint="cs"/>
          <w:vanish/>
          <w:color w:val="FF0000"/>
          <w:szCs w:val="20"/>
          <w:shd w:val="clear" w:color="auto" w:fill="FFFF99"/>
          <w:rtl/>
        </w:rPr>
      </w:pPr>
      <w:bookmarkStart w:id="10" w:name="Rov29"/>
      <w:r w:rsidRPr="00BE38D3">
        <w:rPr>
          <w:rFonts w:cs="FrankRuehl" w:hint="cs"/>
          <w:vanish/>
          <w:color w:val="FF0000"/>
          <w:szCs w:val="20"/>
          <w:shd w:val="clear" w:color="auto" w:fill="FFFF99"/>
          <w:rtl/>
        </w:rPr>
        <w:t>מיום 1.12.2004</w:t>
      </w:r>
    </w:p>
    <w:p w14:paraId="74444BB7" w14:textId="77777777" w:rsidR="006A6031" w:rsidRPr="00BE38D3" w:rsidRDefault="006A6031" w:rsidP="006A6031">
      <w:pPr>
        <w:pStyle w:val="P00"/>
        <w:spacing w:before="0"/>
        <w:ind w:left="0" w:right="1134"/>
        <w:rPr>
          <w:rFonts w:cs="FrankRuehl" w:hint="cs"/>
          <w:b/>
          <w:bCs/>
          <w:vanish/>
          <w:szCs w:val="20"/>
          <w:shd w:val="clear" w:color="auto" w:fill="FFFF99"/>
          <w:rtl/>
        </w:rPr>
      </w:pPr>
      <w:r w:rsidRPr="00BE38D3">
        <w:rPr>
          <w:rFonts w:cs="FrankRuehl" w:hint="cs"/>
          <w:b/>
          <w:bCs/>
          <w:vanish/>
          <w:szCs w:val="20"/>
          <w:shd w:val="clear" w:color="auto" w:fill="FFFF99"/>
          <w:rtl/>
        </w:rPr>
        <w:t>צו תשס"ד-2004</w:t>
      </w:r>
    </w:p>
    <w:p w14:paraId="7B199E1E" w14:textId="77777777" w:rsidR="006A6031" w:rsidRPr="00BE38D3" w:rsidRDefault="006A6031" w:rsidP="006A6031">
      <w:pPr>
        <w:pStyle w:val="P00"/>
        <w:spacing w:before="0"/>
        <w:ind w:left="0" w:right="1134"/>
        <w:rPr>
          <w:rFonts w:cs="FrankRuehl" w:hint="cs"/>
          <w:vanish/>
          <w:szCs w:val="20"/>
          <w:shd w:val="clear" w:color="auto" w:fill="FFFF99"/>
          <w:rtl/>
        </w:rPr>
      </w:pPr>
      <w:hyperlink r:id="rId15" w:history="1">
        <w:r w:rsidRPr="00BE38D3">
          <w:rPr>
            <w:rStyle w:val="Hyperlink"/>
            <w:rFonts w:cs="FrankRuehl" w:hint="cs"/>
            <w:vanish/>
            <w:szCs w:val="20"/>
            <w:shd w:val="clear" w:color="auto" w:fill="FFFF99"/>
            <w:rtl/>
          </w:rPr>
          <w:t>ק"ת תשס"ד מס' 6302</w:t>
        </w:r>
      </w:hyperlink>
      <w:r w:rsidRPr="00BE38D3">
        <w:rPr>
          <w:rFonts w:cs="FrankRuehl" w:hint="cs"/>
          <w:vanish/>
          <w:szCs w:val="20"/>
          <w:shd w:val="clear" w:color="auto" w:fill="FFFF99"/>
          <w:rtl/>
        </w:rPr>
        <w:t xml:space="preserve"> מיום 1.4.2004 עמ' 362</w:t>
      </w:r>
    </w:p>
    <w:p w14:paraId="20D3E1CE" w14:textId="77777777" w:rsidR="006A6031" w:rsidRPr="00FA052E" w:rsidRDefault="006A6031" w:rsidP="00FA052E">
      <w:pPr>
        <w:pStyle w:val="P00"/>
        <w:spacing w:before="0"/>
        <w:ind w:left="0" w:right="1134"/>
        <w:rPr>
          <w:rFonts w:cs="FrankRuehl" w:hint="cs"/>
          <w:b/>
          <w:bCs/>
          <w:sz w:val="2"/>
          <w:szCs w:val="2"/>
          <w:rtl/>
        </w:rPr>
      </w:pPr>
      <w:r w:rsidRPr="00BE38D3">
        <w:rPr>
          <w:rFonts w:cs="FrankRuehl" w:hint="cs"/>
          <w:b/>
          <w:bCs/>
          <w:vanish/>
          <w:szCs w:val="20"/>
          <w:shd w:val="clear" w:color="auto" w:fill="FFFF99"/>
          <w:rtl/>
        </w:rPr>
        <w:t>הוספת סעיף 4א</w:t>
      </w:r>
      <w:bookmarkEnd w:id="10"/>
    </w:p>
    <w:p w14:paraId="7B8A6DE1" w14:textId="77777777" w:rsidR="00073216" w:rsidRDefault="00073216">
      <w:pPr>
        <w:pStyle w:val="P00"/>
        <w:spacing w:before="72"/>
        <w:ind w:left="0" w:right="1134"/>
        <w:rPr>
          <w:rStyle w:val="default"/>
          <w:rFonts w:cs="FrankRuehl" w:hint="cs"/>
          <w:rtl/>
        </w:rPr>
      </w:pPr>
      <w:bookmarkStart w:id="11" w:name="Seif4"/>
      <w:bookmarkEnd w:id="11"/>
      <w:r>
        <w:rPr>
          <w:lang w:val="he-IL"/>
        </w:rPr>
        <w:pict w14:anchorId="2801F9C8">
          <v:rect id="_x0000_s1052" style="position:absolute;left:0;text-align:left;margin-left:464.5pt;margin-top:8.05pt;width:75.05pt;height:10pt;z-index:251654144" o:allowincell="f" filled="f" stroked="f" strokecolor="lime" strokeweight=".25pt">
            <v:textbox inset="0,0,0,0">
              <w:txbxContent>
                <w:p w14:paraId="6EEB1195" w14:textId="77777777" w:rsidR="00073216" w:rsidRDefault="00073216">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rtl/>
        </w:rPr>
        <w:t>5.</w:t>
      </w:r>
      <w:r>
        <w:rPr>
          <w:rStyle w:val="big-number"/>
          <w:rFonts w:cs="Miriam"/>
          <w:rtl/>
        </w:rPr>
        <w:tab/>
      </w:r>
      <w:r>
        <w:rPr>
          <w:rStyle w:val="default"/>
          <w:rFonts w:cs="FrankRuehl" w:hint="cs"/>
          <w:rtl/>
        </w:rPr>
        <w:t>תחילתו של צו זה 45 ימים מיום פרסומו.</w:t>
      </w:r>
    </w:p>
    <w:p w14:paraId="08A64CF9" w14:textId="77777777" w:rsidR="00073216" w:rsidRDefault="00073216">
      <w:pPr>
        <w:pStyle w:val="P00"/>
        <w:spacing w:before="72"/>
        <w:ind w:left="0" w:right="1134"/>
        <w:rPr>
          <w:rStyle w:val="default"/>
          <w:rFonts w:cs="FrankRuehl"/>
          <w:rtl/>
        </w:rPr>
      </w:pPr>
      <w:bookmarkStart w:id="12" w:name="Seif5"/>
      <w:bookmarkEnd w:id="12"/>
      <w:r>
        <w:rPr>
          <w:lang w:val="he-IL"/>
        </w:rPr>
        <w:pict w14:anchorId="6ED83656">
          <v:rect id="_x0000_s1053" style="position:absolute;left:0;text-align:left;margin-left:464.5pt;margin-top:8.05pt;width:75.05pt;height:11.15pt;z-index:251655168" o:allowincell="f" filled="f" stroked="f" strokecolor="lime" strokeweight=".25pt">
            <v:textbox inset="0,0,0,0">
              <w:txbxContent>
                <w:p w14:paraId="02097F28" w14:textId="77777777" w:rsidR="00073216" w:rsidRDefault="00073216">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rtl/>
        </w:rPr>
        <w:t>6.</w:t>
      </w:r>
      <w:r>
        <w:rPr>
          <w:rStyle w:val="big-number"/>
          <w:rFonts w:cs="Miriam"/>
          <w:rtl/>
        </w:rPr>
        <w:tab/>
      </w:r>
      <w:r>
        <w:rPr>
          <w:rStyle w:val="default"/>
          <w:rFonts w:cs="FrankRuehl" w:hint="cs"/>
          <w:rtl/>
        </w:rPr>
        <w:t xml:space="preserve">יבואן או יצרן של מוצרי טבק יודיע למנהל הכללי של משרד הבריאות או מי שהוא הסמיכו לענין זה (להלן </w:t>
      </w:r>
      <w:r>
        <w:rPr>
          <w:rStyle w:val="default"/>
          <w:rFonts w:cs="FrankRuehl"/>
          <w:rtl/>
        </w:rPr>
        <w:t>–</w:t>
      </w:r>
      <w:r>
        <w:rPr>
          <w:rStyle w:val="default"/>
          <w:rFonts w:cs="FrankRuehl" w:hint="cs"/>
          <w:rtl/>
        </w:rPr>
        <w:t xml:space="preserve"> המנהל) את שמו של כל מותג מוצר טבק שהוא מפרסם; בתוך שבועיים מקבלת ההודעה כאמור, יחליט המנהל לגבי כל מותג מהו נוסח האזהרה הראשון שלו לענין סעיף 1, והוא יוחלף בתדירות הקבועה בו. </w:t>
      </w:r>
    </w:p>
    <w:p w14:paraId="6EE3A639" w14:textId="77777777" w:rsidR="00073216" w:rsidRDefault="00073216">
      <w:pPr>
        <w:pStyle w:val="P00"/>
        <w:spacing w:before="72"/>
        <w:ind w:left="0" w:right="1134"/>
        <w:rPr>
          <w:rStyle w:val="default"/>
          <w:rFonts w:cs="FrankRuehl" w:hint="cs"/>
          <w:rtl/>
        </w:rPr>
      </w:pPr>
    </w:p>
    <w:p w14:paraId="2E6CDAA2" w14:textId="77777777" w:rsidR="00073216" w:rsidRPr="00F45EFB" w:rsidRDefault="00073216">
      <w:pPr>
        <w:pStyle w:val="medium2-header"/>
        <w:keepLines w:val="0"/>
        <w:spacing w:before="72"/>
        <w:ind w:left="0" w:right="1134"/>
        <w:rPr>
          <w:rFonts w:cs="FrankRuehl" w:hint="cs"/>
          <w:noProof/>
          <w:sz w:val="26"/>
          <w:szCs w:val="26"/>
          <w:rtl/>
        </w:rPr>
      </w:pPr>
      <w:bookmarkStart w:id="13" w:name="med0"/>
      <w:bookmarkEnd w:id="13"/>
      <w:r w:rsidRPr="00F45EFB">
        <w:rPr>
          <w:rFonts w:cs="FrankRuehl"/>
          <w:noProof/>
          <w:sz w:val="26"/>
          <w:szCs w:val="26"/>
          <w:rtl/>
          <w:lang w:val="he-IL"/>
        </w:rPr>
        <w:pict w14:anchorId="77A9626C">
          <v:shape id="_x0000_s1121" type="#_x0000_t202" style="position:absolute;left:0;text-align:left;margin-left:470.25pt;margin-top:4.7pt;width:1in;height:11.2pt;z-index:251661312" filled="f" stroked="f">
            <v:textbox inset="1mm,0,1mm,0">
              <w:txbxContent>
                <w:p w14:paraId="139E295D" w14:textId="77777777" w:rsidR="00073216" w:rsidRDefault="00073216">
                  <w:pPr>
                    <w:spacing w:line="160" w:lineRule="exact"/>
                    <w:jc w:val="left"/>
                    <w:rPr>
                      <w:rFonts w:cs="Miriam" w:hint="cs"/>
                      <w:sz w:val="18"/>
                      <w:szCs w:val="18"/>
                      <w:rtl/>
                    </w:rPr>
                  </w:pPr>
                  <w:r>
                    <w:rPr>
                      <w:rFonts w:cs="Miriam" w:hint="cs"/>
                      <w:sz w:val="18"/>
                      <w:szCs w:val="18"/>
                      <w:rtl/>
                    </w:rPr>
                    <w:t>צו תשס"ד-2004</w:t>
                  </w:r>
                </w:p>
              </w:txbxContent>
            </v:textbox>
            <w10:anchorlock/>
          </v:shape>
        </w:pict>
      </w:r>
      <w:r w:rsidRPr="00F45EFB">
        <w:rPr>
          <w:rFonts w:cs="FrankRuehl" w:hint="cs"/>
          <w:noProof/>
          <w:sz w:val="26"/>
          <w:szCs w:val="26"/>
          <w:rtl/>
        </w:rPr>
        <w:t>ה</w:t>
      </w:r>
      <w:r w:rsidRPr="00F45EFB">
        <w:rPr>
          <w:rFonts w:cs="FrankRuehl"/>
          <w:noProof/>
          <w:sz w:val="26"/>
          <w:szCs w:val="26"/>
          <w:rtl/>
        </w:rPr>
        <w:t>תו</w:t>
      </w:r>
      <w:r w:rsidRPr="00F45EFB">
        <w:rPr>
          <w:rFonts w:cs="FrankRuehl" w:hint="cs"/>
          <w:noProof/>
          <w:sz w:val="26"/>
          <w:szCs w:val="26"/>
          <w:rtl/>
        </w:rPr>
        <w:t>ספת הראשונה</w:t>
      </w:r>
    </w:p>
    <w:p w14:paraId="210C517E" w14:textId="77777777" w:rsidR="00073216" w:rsidRDefault="00073216">
      <w:pPr>
        <w:pStyle w:val="medium-header"/>
        <w:keepNext w:val="0"/>
        <w:keepLines w:val="0"/>
        <w:ind w:left="0" w:right="1134"/>
        <w:rPr>
          <w:rFonts w:cs="FrankRuehl" w:hint="cs"/>
          <w:sz w:val="24"/>
          <w:szCs w:val="24"/>
          <w:rtl/>
        </w:rPr>
      </w:pPr>
      <w:r>
        <w:rPr>
          <w:rFonts w:cs="FrankRuehl"/>
          <w:sz w:val="24"/>
          <w:szCs w:val="24"/>
          <w:rtl/>
        </w:rPr>
        <w:t>(</w:t>
      </w:r>
      <w:r>
        <w:rPr>
          <w:rFonts w:cs="FrankRuehl" w:hint="cs"/>
          <w:sz w:val="24"/>
          <w:szCs w:val="24"/>
          <w:rtl/>
        </w:rPr>
        <w:t>סעיף 1)</w:t>
      </w:r>
    </w:p>
    <w:p w14:paraId="709F240A" w14:textId="77777777" w:rsidR="00F45EFB" w:rsidRPr="00BE38D3" w:rsidRDefault="00F45EFB" w:rsidP="00F45EFB">
      <w:pPr>
        <w:pStyle w:val="P00"/>
        <w:tabs>
          <w:tab w:val="clear" w:pos="6259"/>
        </w:tabs>
        <w:spacing w:before="0"/>
        <w:ind w:left="0" w:right="1134"/>
        <w:rPr>
          <w:rFonts w:cs="FrankRuehl" w:hint="cs"/>
          <w:vanish/>
          <w:color w:val="FF0000"/>
          <w:szCs w:val="20"/>
          <w:shd w:val="clear" w:color="auto" w:fill="FFFF99"/>
          <w:rtl/>
        </w:rPr>
      </w:pPr>
      <w:bookmarkStart w:id="14" w:name="Rov17"/>
      <w:r w:rsidRPr="00BE38D3">
        <w:rPr>
          <w:rFonts w:cs="FrankRuehl" w:hint="cs"/>
          <w:vanish/>
          <w:color w:val="FF0000"/>
          <w:szCs w:val="20"/>
          <w:shd w:val="clear" w:color="auto" w:fill="FFFF99"/>
          <w:rtl/>
        </w:rPr>
        <w:t>מיום 1.12.2004</w:t>
      </w:r>
    </w:p>
    <w:p w14:paraId="24368899" w14:textId="77777777" w:rsidR="00F45EFB" w:rsidRPr="00BE38D3" w:rsidRDefault="00F45EFB" w:rsidP="00F45EFB">
      <w:pPr>
        <w:pStyle w:val="P00"/>
        <w:spacing w:before="0"/>
        <w:ind w:left="0" w:right="1134"/>
        <w:rPr>
          <w:rFonts w:cs="FrankRuehl" w:hint="cs"/>
          <w:b/>
          <w:bCs/>
          <w:vanish/>
          <w:szCs w:val="20"/>
          <w:shd w:val="clear" w:color="auto" w:fill="FFFF99"/>
          <w:rtl/>
        </w:rPr>
      </w:pPr>
      <w:r w:rsidRPr="00BE38D3">
        <w:rPr>
          <w:rFonts w:cs="FrankRuehl" w:hint="cs"/>
          <w:b/>
          <w:bCs/>
          <w:vanish/>
          <w:szCs w:val="20"/>
          <w:shd w:val="clear" w:color="auto" w:fill="FFFF99"/>
          <w:rtl/>
        </w:rPr>
        <w:t>צו תשס"ד-2004</w:t>
      </w:r>
    </w:p>
    <w:p w14:paraId="5B231DE3" w14:textId="77777777" w:rsidR="00F45EFB" w:rsidRPr="00BE38D3" w:rsidRDefault="00F45EFB" w:rsidP="00F45EFB">
      <w:pPr>
        <w:pStyle w:val="P00"/>
        <w:spacing w:before="0"/>
        <w:ind w:left="0" w:right="1134"/>
        <w:rPr>
          <w:rFonts w:cs="FrankRuehl" w:hint="cs"/>
          <w:vanish/>
          <w:szCs w:val="20"/>
          <w:shd w:val="clear" w:color="auto" w:fill="FFFF99"/>
          <w:rtl/>
        </w:rPr>
      </w:pPr>
      <w:hyperlink r:id="rId16" w:history="1">
        <w:r w:rsidRPr="00BE38D3">
          <w:rPr>
            <w:rStyle w:val="Hyperlink"/>
            <w:rFonts w:cs="FrankRuehl" w:hint="cs"/>
            <w:vanish/>
            <w:szCs w:val="20"/>
            <w:shd w:val="clear" w:color="auto" w:fill="FFFF99"/>
            <w:rtl/>
          </w:rPr>
          <w:t>ק"ת תשס"ד מס' 6302</w:t>
        </w:r>
      </w:hyperlink>
      <w:r w:rsidRPr="00BE38D3">
        <w:rPr>
          <w:rFonts w:cs="FrankRuehl" w:hint="cs"/>
          <w:vanish/>
          <w:szCs w:val="20"/>
          <w:shd w:val="clear" w:color="auto" w:fill="FFFF99"/>
          <w:rtl/>
        </w:rPr>
        <w:t xml:space="preserve"> מיום 1.4.2004 עמ' 362</w:t>
      </w:r>
    </w:p>
    <w:p w14:paraId="6D3E722B" w14:textId="77777777" w:rsidR="00F45EFB" w:rsidRPr="00F45EFB" w:rsidRDefault="00F45EFB" w:rsidP="00F45EFB">
      <w:pPr>
        <w:pStyle w:val="P00"/>
        <w:ind w:left="0" w:right="1134"/>
        <w:rPr>
          <w:rFonts w:cs="FrankRuehl" w:hint="cs"/>
          <w:sz w:val="2"/>
          <w:szCs w:val="2"/>
          <w:u w:val="single"/>
          <w:shd w:val="clear" w:color="auto" w:fill="FFFF99"/>
          <w:rtl/>
        </w:rPr>
      </w:pPr>
      <w:r w:rsidRPr="00BE38D3">
        <w:rPr>
          <w:rFonts w:cs="FrankRuehl" w:hint="cs"/>
          <w:vanish/>
          <w:sz w:val="22"/>
          <w:szCs w:val="22"/>
          <w:shd w:val="clear" w:color="auto" w:fill="FFFF99"/>
          <w:rtl/>
        </w:rPr>
        <w:t>ה</w:t>
      </w:r>
      <w:r w:rsidRPr="00BE38D3">
        <w:rPr>
          <w:rFonts w:cs="FrankRuehl"/>
          <w:vanish/>
          <w:sz w:val="22"/>
          <w:szCs w:val="22"/>
          <w:shd w:val="clear" w:color="auto" w:fill="FFFF99"/>
          <w:rtl/>
        </w:rPr>
        <w:t>תו</w:t>
      </w:r>
      <w:r w:rsidRPr="00BE38D3">
        <w:rPr>
          <w:rFonts w:cs="FrankRuehl" w:hint="cs"/>
          <w:vanish/>
          <w:sz w:val="22"/>
          <w:szCs w:val="22"/>
          <w:shd w:val="clear" w:color="auto" w:fill="FFFF99"/>
          <w:rtl/>
        </w:rPr>
        <w:t xml:space="preserve">ספת </w:t>
      </w:r>
      <w:r w:rsidRPr="00BE38D3">
        <w:rPr>
          <w:rFonts w:cs="FrankRuehl" w:hint="cs"/>
          <w:vanish/>
          <w:sz w:val="22"/>
          <w:szCs w:val="22"/>
          <w:u w:val="single"/>
          <w:shd w:val="clear" w:color="auto" w:fill="FFFF99"/>
          <w:rtl/>
        </w:rPr>
        <w:t>הראשונה</w:t>
      </w:r>
      <w:bookmarkEnd w:id="14"/>
    </w:p>
    <w:p w14:paraId="0FAEBA42" w14:textId="77777777" w:rsidR="00073216" w:rsidRDefault="008E1B39">
      <w:pPr>
        <w:pStyle w:val="P00"/>
        <w:spacing w:before="72"/>
        <w:ind w:left="0" w:right="1134"/>
        <w:rPr>
          <w:rStyle w:val="default"/>
          <w:rFonts w:cs="FrankRuehl" w:hint="cs"/>
          <w:rtl/>
        </w:rPr>
      </w:pPr>
      <w:r>
        <w:rPr>
          <w:rStyle w:val="default"/>
          <w:rFonts w:cs="FrankRuehl" w:hint="cs"/>
          <w:rtl/>
        </w:rPr>
        <w:t>רשימת האזהרות</w:t>
      </w:r>
    </w:p>
    <w:p w14:paraId="3D2C3956" w14:textId="77777777" w:rsidR="008E1B39" w:rsidRDefault="008E1B39">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מחקרים רפואיים קובעים כי עשן הסיגריות פוגע בבריאות ילדיך.</w:t>
      </w:r>
    </w:p>
    <w:p w14:paraId="64A07D65" w14:textId="77777777" w:rsidR="008E1B39" w:rsidRPr="008E1B39" w:rsidRDefault="008E1B39" w:rsidP="008E1B39">
      <w:pPr>
        <w:pStyle w:val="P00"/>
        <w:spacing w:before="72"/>
        <w:ind w:left="624" w:right="1134"/>
        <w:rPr>
          <w:rStyle w:val="default"/>
          <w:rFonts w:cs="FrankRuehl" w:hint="cs"/>
          <w:szCs w:val="20"/>
          <w:rtl/>
        </w:rPr>
      </w:pPr>
      <w:r w:rsidRPr="008E1B39">
        <w:rPr>
          <w:rStyle w:val="default"/>
          <w:rFonts w:cs="FrankRuehl"/>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4pt;height:26.4pt">
            <v:imagedata r:id="rId17" o:title=""/>
          </v:shape>
        </w:pict>
      </w:r>
    </w:p>
    <w:p w14:paraId="7BF76DC5" w14:textId="77777777" w:rsidR="008E1B39" w:rsidRDefault="008E1B39">
      <w:pPr>
        <w:pStyle w:val="P00"/>
        <w:spacing w:before="72"/>
        <w:ind w:left="0" w:right="1134"/>
        <w:rPr>
          <w:rStyle w:val="default"/>
          <w:rFonts w:cs="FrankRuehl" w:hint="cs"/>
          <w:rtl/>
        </w:rPr>
      </w:pPr>
    </w:p>
    <w:p w14:paraId="5E3B15DA" w14:textId="77777777" w:rsidR="008E1B39" w:rsidRDefault="008E1B39">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הסיגריות פוגעות בכושר הגופני שלך.</w:t>
      </w:r>
    </w:p>
    <w:p w14:paraId="1BC22CA1" w14:textId="77777777" w:rsidR="008E1B39" w:rsidRPr="008E1B39" w:rsidRDefault="008E1B39" w:rsidP="008E1B39">
      <w:pPr>
        <w:pStyle w:val="P00"/>
        <w:tabs>
          <w:tab w:val="clear" w:pos="1021"/>
          <w:tab w:val="clear" w:pos="1474"/>
          <w:tab w:val="clear" w:pos="1928"/>
          <w:tab w:val="clear" w:pos="2381"/>
          <w:tab w:val="clear" w:pos="2835"/>
          <w:tab w:val="clear" w:pos="6259"/>
          <w:tab w:val="left" w:pos="3402"/>
        </w:tabs>
        <w:spacing w:before="72"/>
        <w:ind w:left="624" w:right="1134"/>
        <w:rPr>
          <w:rStyle w:val="default"/>
          <w:rFonts w:cs="FrankRuehl" w:hint="cs"/>
          <w:sz w:val="22"/>
          <w:szCs w:val="22"/>
          <w:rtl/>
        </w:rPr>
      </w:pPr>
      <w:r w:rsidRPr="008E1B39">
        <w:rPr>
          <w:rStyle w:val="default"/>
          <w:rFonts w:cs="FrankRuehl" w:hint="cs"/>
          <w:sz w:val="22"/>
          <w:szCs w:val="22"/>
          <w:rtl/>
        </w:rPr>
        <w:tab/>
        <w:t>משרד הבריאות</w:t>
      </w:r>
    </w:p>
    <w:p w14:paraId="0336ED91" w14:textId="77777777" w:rsidR="008E1B39" w:rsidRPr="008E1B39" w:rsidRDefault="008E1B39" w:rsidP="008E1B39">
      <w:pPr>
        <w:pStyle w:val="P00"/>
        <w:spacing w:before="72"/>
        <w:ind w:left="624" w:right="1134"/>
        <w:rPr>
          <w:rStyle w:val="default"/>
          <w:rFonts w:cs="FrankRuehl" w:hint="cs"/>
          <w:szCs w:val="20"/>
          <w:rtl/>
        </w:rPr>
      </w:pPr>
      <w:r w:rsidRPr="008E1B39">
        <w:rPr>
          <w:rStyle w:val="default"/>
          <w:rFonts w:cs="FrankRuehl"/>
          <w:rtl/>
        </w:rPr>
        <w:pict>
          <v:shape id="_x0000_i1026" type="#_x0000_t75" style="width:260.4pt;height:38.4pt">
            <v:imagedata r:id="rId18" o:title=""/>
          </v:shape>
        </w:pict>
      </w:r>
    </w:p>
    <w:p w14:paraId="6D447551" w14:textId="77777777" w:rsidR="008E1B39" w:rsidRDefault="008E1B39">
      <w:pPr>
        <w:pStyle w:val="P00"/>
        <w:spacing w:before="72"/>
        <w:ind w:left="0" w:right="1134"/>
        <w:rPr>
          <w:rStyle w:val="default"/>
          <w:rFonts w:cs="FrankRuehl" w:hint="cs"/>
          <w:rtl/>
        </w:rPr>
      </w:pPr>
    </w:p>
    <w:p w14:paraId="7655939E" w14:textId="77777777" w:rsidR="008E1B39" w:rsidRDefault="008E1B39">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כל סיגריה מכניסה 43 חומרים מסרטנים לגופך.</w:t>
      </w:r>
    </w:p>
    <w:p w14:paraId="4C0D1A98" w14:textId="77777777" w:rsidR="008E1B39" w:rsidRPr="008E1B39" w:rsidRDefault="008E1B39" w:rsidP="008E1B39">
      <w:pPr>
        <w:pStyle w:val="P00"/>
        <w:tabs>
          <w:tab w:val="clear" w:pos="1021"/>
          <w:tab w:val="clear" w:pos="1474"/>
          <w:tab w:val="clear" w:pos="1928"/>
          <w:tab w:val="clear" w:pos="2381"/>
          <w:tab w:val="clear" w:pos="2835"/>
          <w:tab w:val="clear" w:pos="6259"/>
          <w:tab w:val="left" w:pos="3969"/>
        </w:tabs>
        <w:spacing w:before="72"/>
        <w:ind w:left="624" w:right="1134"/>
        <w:rPr>
          <w:rStyle w:val="default"/>
          <w:rFonts w:cs="FrankRuehl" w:hint="cs"/>
          <w:sz w:val="22"/>
          <w:szCs w:val="22"/>
          <w:rtl/>
        </w:rPr>
      </w:pPr>
      <w:r w:rsidRPr="008E1B39">
        <w:rPr>
          <w:rStyle w:val="default"/>
          <w:rFonts w:cs="FrankRuehl" w:hint="cs"/>
          <w:sz w:val="22"/>
          <w:szCs w:val="22"/>
          <w:rtl/>
        </w:rPr>
        <w:tab/>
        <w:t>משרד הבריאות</w:t>
      </w:r>
    </w:p>
    <w:p w14:paraId="2DC21F59" w14:textId="77777777" w:rsidR="008E1B39" w:rsidRPr="008E1B39" w:rsidRDefault="008E1B39" w:rsidP="008E1B39">
      <w:pPr>
        <w:pStyle w:val="P00"/>
        <w:spacing w:before="72"/>
        <w:ind w:left="624" w:right="1134"/>
        <w:rPr>
          <w:rStyle w:val="default"/>
          <w:rFonts w:cs="FrankRuehl" w:hint="cs"/>
          <w:szCs w:val="20"/>
          <w:rtl/>
        </w:rPr>
      </w:pPr>
      <w:r w:rsidRPr="008E1B39">
        <w:rPr>
          <w:rStyle w:val="default"/>
          <w:rFonts w:cs="FrankRuehl"/>
        </w:rPr>
        <w:pict>
          <v:shape id="_x0000_i1027" type="#_x0000_t75" style="width:356.7pt;height:45.3pt">
            <v:imagedata r:id="rId19" o:title=""/>
          </v:shape>
        </w:pict>
      </w:r>
    </w:p>
    <w:p w14:paraId="0B3962EA" w14:textId="77777777" w:rsidR="008E1B39" w:rsidRDefault="008E1B39">
      <w:pPr>
        <w:pStyle w:val="P00"/>
        <w:spacing w:before="72"/>
        <w:ind w:left="0" w:right="1134"/>
        <w:rPr>
          <w:rStyle w:val="default"/>
          <w:rFonts w:cs="FrankRuehl" w:hint="cs"/>
          <w:rtl/>
        </w:rPr>
      </w:pPr>
    </w:p>
    <w:p w14:paraId="33946CB9" w14:textId="77777777" w:rsidR="008E1B39" w:rsidRDefault="008E1B39">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סיגריות גורמות למחלות ולמוות בטרם עת.</w:t>
      </w:r>
    </w:p>
    <w:p w14:paraId="601BB425" w14:textId="77777777" w:rsidR="008E1B39" w:rsidRPr="008E1B39" w:rsidRDefault="008E1B39" w:rsidP="008E1B39">
      <w:pPr>
        <w:pStyle w:val="P00"/>
        <w:spacing w:before="72"/>
        <w:ind w:left="624" w:right="1134"/>
        <w:rPr>
          <w:rStyle w:val="default"/>
          <w:rFonts w:cs="FrankRuehl" w:hint="cs"/>
          <w:szCs w:val="20"/>
          <w:rtl/>
        </w:rPr>
      </w:pPr>
      <w:r w:rsidRPr="008E1B39">
        <w:rPr>
          <w:rStyle w:val="default"/>
          <w:rFonts w:cs="FrankRuehl"/>
          <w:rtl/>
        </w:rPr>
        <w:pict>
          <v:shape id="_x0000_i1028" type="#_x0000_t75" style="width:272.4pt;height:30pt">
            <v:imagedata r:id="rId20" o:title=""/>
          </v:shape>
        </w:pict>
      </w:r>
    </w:p>
    <w:p w14:paraId="21DADF76" w14:textId="77777777" w:rsidR="008E1B39" w:rsidRDefault="008E1B39">
      <w:pPr>
        <w:pStyle w:val="P00"/>
        <w:spacing w:before="72"/>
        <w:ind w:left="0" w:right="1134"/>
        <w:rPr>
          <w:rStyle w:val="default"/>
          <w:rFonts w:cs="FrankRuehl" w:hint="cs"/>
          <w:rtl/>
        </w:rPr>
      </w:pPr>
    </w:p>
    <w:p w14:paraId="64BB7A8C" w14:textId="77777777" w:rsidR="008E1B39" w:rsidRDefault="008E1B39">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מחקרים רפואיים קובעים כי עישון בזמן הריון מסכן את העובר שלך.</w:t>
      </w:r>
    </w:p>
    <w:p w14:paraId="07592E0C" w14:textId="77777777" w:rsidR="008E1B39" w:rsidRPr="008E1B39" w:rsidRDefault="008E1B39" w:rsidP="008E1B39">
      <w:pPr>
        <w:pStyle w:val="P00"/>
        <w:spacing w:before="72"/>
        <w:ind w:left="624" w:right="1134"/>
        <w:rPr>
          <w:rStyle w:val="default"/>
          <w:rFonts w:cs="FrankRuehl" w:hint="cs"/>
          <w:szCs w:val="20"/>
          <w:rtl/>
        </w:rPr>
      </w:pPr>
      <w:r w:rsidRPr="008E1B39">
        <w:rPr>
          <w:rStyle w:val="default"/>
          <w:rFonts w:cs="FrankRuehl"/>
          <w:rtl/>
        </w:rPr>
        <w:pict>
          <v:shape id="_x0000_i1029" type="#_x0000_t75" style="width:350.4pt;height:29.4pt">
            <v:imagedata r:id="rId21" o:title=""/>
          </v:shape>
        </w:pict>
      </w:r>
    </w:p>
    <w:p w14:paraId="03482607" w14:textId="77777777" w:rsidR="008E1B39" w:rsidRDefault="008E1B39">
      <w:pPr>
        <w:pStyle w:val="P00"/>
        <w:spacing w:before="72"/>
        <w:ind w:left="0" w:right="1134"/>
        <w:rPr>
          <w:rStyle w:val="default"/>
          <w:rFonts w:cs="FrankRuehl" w:hint="cs"/>
          <w:rtl/>
        </w:rPr>
      </w:pPr>
    </w:p>
    <w:p w14:paraId="01E79FB5" w14:textId="77777777" w:rsidR="008E1B39" w:rsidRDefault="008E1B39">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מחקרים רפואיים קובעים כי עישון גורם לאימפוטנציה.</w:t>
      </w:r>
    </w:p>
    <w:p w14:paraId="2DE688F9" w14:textId="77777777" w:rsidR="008E1B39" w:rsidRPr="008E1B39" w:rsidRDefault="008E1B39" w:rsidP="008E1B39">
      <w:pPr>
        <w:pStyle w:val="P00"/>
        <w:spacing w:before="72"/>
        <w:ind w:left="624" w:right="1134"/>
        <w:rPr>
          <w:rStyle w:val="default"/>
          <w:rFonts w:cs="FrankRuehl" w:hint="cs"/>
          <w:szCs w:val="20"/>
          <w:rtl/>
        </w:rPr>
      </w:pPr>
      <w:r w:rsidRPr="008E1B39">
        <w:rPr>
          <w:rStyle w:val="default"/>
          <w:rFonts w:cs="FrankRuehl"/>
          <w:rtl/>
        </w:rPr>
        <w:pict>
          <v:shape id="_x0000_i1030" type="#_x0000_t75" style="width:305.4pt;height:30pt">
            <v:imagedata r:id="rId22" o:title=""/>
          </v:shape>
        </w:pict>
      </w:r>
    </w:p>
    <w:p w14:paraId="00217500" w14:textId="77777777" w:rsidR="008E1B39" w:rsidRDefault="008E1B39">
      <w:pPr>
        <w:pStyle w:val="P00"/>
        <w:spacing w:before="72"/>
        <w:ind w:left="0" w:right="1134"/>
        <w:rPr>
          <w:rStyle w:val="default"/>
          <w:rFonts w:cs="FrankRuehl" w:hint="cs"/>
          <w:rtl/>
        </w:rPr>
      </w:pPr>
    </w:p>
    <w:p w14:paraId="1E9223D8" w14:textId="77777777" w:rsidR="008E1B39" w:rsidRDefault="008E1B39">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מחקרים רפואיים קובעים כי הסיגריות גורמות להתמכרות.</w:t>
      </w:r>
    </w:p>
    <w:p w14:paraId="6775DAB4" w14:textId="77777777" w:rsidR="008E1B39" w:rsidRPr="008E1B39" w:rsidRDefault="008E1B39" w:rsidP="008E1B39">
      <w:pPr>
        <w:pStyle w:val="P00"/>
        <w:spacing w:before="72"/>
        <w:ind w:left="624" w:right="1134"/>
        <w:rPr>
          <w:rStyle w:val="default"/>
          <w:rFonts w:cs="FrankRuehl" w:hint="cs"/>
          <w:szCs w:val="20"/>
          <w:rtl/>
        </w:rPr>
      </w:pPr>
      <w:r w:rsidRPr="008E1B39">
        <w:rPr>
          <w:rStyle w:val="default"/>
          <w:rFonts w:cs="FrankRuehl"/>
          <w:rtl/>
        </w:rPr>
        <w:pict>
          <v:shape id="_x0000_i1031" type="#_x0000_t75" style="width:275.4pt;height:30.9pt">
            <v:imagedata r:id="rId23" o:title=""/>
          </v:shape>
        </w:pict>
      </w:r>
    </w:p>
    <w:p w14:paraId="2F540D53" w14:textId="77777777" w:rsidR="008E1B39" w:rsidRDefault="008E1B39">
      <w:pPr>
        <w:pStyle w:val="P00"/>
        <w:spacing w:before="72"/>
        <w:ind w:left="0" w:right="1134"/>
        <w:rPr>
          <w:rStyle w:val="default"/>
          <w:rFonts w:cs="FrankRuehl" w:hint="cs"/>
          <w:rtl/>
        </w:rPr>
      </w:pPr>
    </w:p>
    <w:p w14:paraId="468FEC23" w14:textId="77777777" w:rsidR="008E1B39" w:rsidRDefault="008E1B39">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העישון שלך פוגע בקרובים אליך.</w:t>
      </w:r>
    </w:p>
    <w:p w14:paraId="1A62E364" w14:textId="77777777" w:rsidR="008E1B39" w:rsidRPr="008E1B39" w:rsidRDefault="008E1B39" w:rsidP="008E1B39">
      <w:pPr>
        <w:pStyle w:val="P00"/>
        <w:tabs>
          <w:tab w:val="clear" w:pos="1021"/>
          <w:tab w:val="clear" w:pos="1474"/>
          <w:tab w:val="clear" w:pos="1928"/>
          <w:tab w:val="clear" w:pos="2381"/>
          <w:tab w:val="clear" w:pos="6259"/>
        </w:tabs>
        <w:spacing w:before="72"/>
        <w:ind w:left="624" w:right="1134"/>
        <w:rPr>
          <w:rStyle w:val="default"/>
          <w:rFonts w:cs="FrankRuehl" w:hint="cs"/>
          <w:sz w:val="22"/>
          <w:szCs w:val="22"/>
          <w:rtl/>
        </w:rPr>
      </w:pPr>
      <w:r w:rsidRPr="008E1B39">
        <w:rPr>
          <w:rStyle w:val="default"/>
          <w:rFonts w:cs="FrankRuehl" w:hint="cs"/>
          <w:sz w:val="22"/>
          <w:szCs w:val="22"/>
          <w:rtl/>
        </w:rPr>
        <w:tab/>
        <w:t>משרד הבריאות</w:t>
      </w:r>
    </w:p>
    <w:p w14:paraId="5EBA43A6" w14:textId="77777777" w:rsidR="008E1B39" w:rsidRPr="008E1B39" w:rsidRDefault="008E1B39" w:rsidP="008E1B39">
      <w:pPr>
        <w:pStyle w:val="P00"/>
        <w:spacing w:before="72"/>
        <w:ind w:left="624" w:right="1134"/>
        <w:rPr>
          <w:rStyle w:val="default"/>
          <w:rFonts w:cs="FrankRuehl" w:hint="cs"/>
          <w:szCs w:val="20"/>
          <w:rtl/>
        </w:rPr>
      </w:pPr>
      <w:r w:rsidRPr="008E1B39">
        <w:rPr>
          <w:rStyle w:val="default"/>
          <w:rFonts w:cs="FrankRuehl"/>
          <w:rtl/>
        </w:rPr>
        <w:pict>
          <v:shape id="_x0000_i1032" type="#_x0000_t75" style="width:284.4pt;height:36.9pt">
            <v:imagedata r:id="rId24" o:title=""/>
          </v:shape>
        </w:pict>
      </w:r>
    </w:p>
    <w:p w14:paraId="2AC22CB8" w14:textId="77777777" w:rsidR="008E1B39" w:rsidRDefault="008E1B39">
      <w:pPr>
        <w:pStyle w:val="P00"/>
        <w:spacing w:before="72"/>
        <w:ind w:left="0" w:right="1134"/>
        <w:rPr>
          <w:rStyle w:val="default"/>
          <w:rFonts w:cs="FrankRuehl" w:hint="cs"/>
          <w:rtl/>
        </w:rPr>
      </w:pPr>
    </w:p>
    <w:p w14:paraId="763A5A85" w14:textId="77777777" w:rsidR="008E1B39" w:rsidRDefault="008E1B39">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עישון גורם להזדקנות מוקדמת של עור הפנים.</w:t>
      </w:r>
    </w:p>
    <w:p w14:paraId="37AF8BB1" w14:textId="77777777" w:rsidR="008E1B39" w:rsidRPr="008E1B39" w:rsidRDefault="008E1B39" w:rsidP="008E1B39">
      <w:pPr>
        <w:pStyle w:val="P00"/>
        <w:tabs>
          <w:tab w:val="clear" w:pos="1021"/>
          <w:tab w:val="clear" w:pos="1474"/>
          <w:tab w:val="clear" w:pos="1928"/>
          <w:tab w:val="clear" w:pos="2381"/>
          <w:tab w:val="clear" w:pos="2835"/>
          <w:tab w:val="clear" w:pos="6259"/>
          <w:tab w:val="left" w:pos="3969"/>
        </w:tabs>
        <w:spacing w:before="72"/>
        <w:ind w:left="624" w:right="1134"/>
        <w:rPr>
          <w:rStyle w:val="default"/>
          <w:rFonts w:cs="FrankRuehl" w:hint="cs"/>
          <w:sz w:val="22"/>
          <w:szCs w:val="22"/>
          <w:rtl/>
        </w:rPr>
      </w:pPr>
      <w:r w:rsidRPr="008E1B39">
        <w:rPr>
          <w:rStyle w:val="default"/>
          <w:rFonts w:cs="FrankRuehl" w:hint="cs"/>
          <w:sz w:val="22"/>
          <w:szCs w:val="22"/>
          <w:rtl/>
        </w:rPr>
        <w:tab/>
        <w:t>משרד הבריאות</w:t>
      </w:r>
    </w:p>
    <w:p w14:paraId="648EC404" w14:textId="77777777" w:rsidR="008E1B39" w:rsidRPr="008E1B39" w:rsidRDefault="008E1B39" w:rsidP="008E1B39">
      <w:pPr>
        <w:pStyle w:val="P00"/>
        <w:spacing w:before="72"/>
        <w:ind w:left="624" w:right="1134"/>
        <w:rPr>
          <w:rStyle w:val="default"/>
          <w:rFonts w:cs="FrankRuehl" w:hint="cs"/>
          <w:szCs w:val="20"/>
          <w:rtl/>
        </w:rPr>
      </w:pPr>
      <w:r w:rsidRPr="008E1B39">
        <w:rPr>
          <w:rStyle w:val="default"/>
          <w:rFonts w:cs="FrankRuehl"/>
          <w:rtl/>
        </w:rPr>
        <w:pict>
          <v:shape id="_x0000_i1033" type="#_x0000_t75" style="width:278.4pt;height:42pt">
            <v:imagedata r:id="rId25" o:title=""/>
          </v:shape>
        </w:pict>
      </w:r>
    </w:p>
    <w:p w14:paraId="5402A891" w14:textId="77777777" w:rsidR="008E1B39" w:rsidRDefault="008E1B39">
      <w:pPr>
        <w:pStyle w:val="P00"/>
        <w:spacing w:before="72"/>
        <w:ind w:left="0" w:right="1134"/>
        <w:rPr>
          <w:rStyle w:val="default"/>
          <w:rFonts w:cs="FrankRuehl" w:hint="cs"/>
          <w:rtl/>
        </w:rPr>
      </w:pPr>
    </w:p>
    <w:p w14:paraId="050997B9" w14:textId="77777777" w:rsidR="008E1B39" w:rsidRDefault="008E1B39">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t>מחקרים רפואיים קובעים כי ילדים להורים מעשנים סובלים יותר מאסטמה.</w:t>
      </w:r>
    </w:p>
    <w:p w14:paraId="5C0E4DE7" w14:textId="77777777" w:rsidR="008E1B39" w:rsidRPr="008E1B39" w:rsidRDefault="008E1B39" w:rsidP="008E1B39">
      <w:pPr>
        <w:pStyle w:val="P00"/>
        <w:spacing w:before="72"/>
        <w:ind w:left="624" w:right="1134"/>
        <w:rPr>
          <w:rStyle w:val="default"/>
          <w:rFonts w:cs="FrankRuehl" w:hint="cs"/>
          <w:szCs w:val="20"/>
          <w:rtl/>
        </w:rPr>
      </w:pPr>
      <w:r w:rsidRPr="008E1B39">
        <w:rPr>
          <w:rStyle w:val="default"/>
          <w:rFonts w:cs="FrankRuehl"/>
        </w:rPr>
        <w:pict>
          <v:shape id="_x0000_i1034" type="#_x0000_t75" style="width:357pt;height:25.2pt">
            <v:imagedata r:id="rId26" o:title=""/>
          </v:shape>
        </w:pict>
      </w:r>
    </w:p>
    <w:p w14:paraId="2BCF6B83" w14:textId="77777777" w:rsidR="008E1B39" w:rsidRDefault="008E1B39">
      <w:pPr>
        <w:pStyle w:val="P00"/>
        <w:spacing w:before="72"/>
        <w:ind w:left="0" w:right="1134"/>
        <w:rPr>
          <w:rStyle w:val="default"/>
          <w:rFonts w:cs="FrankRuehl" w:hint="cs"/>
          <w:rtl/>
        </w:rPr>
      </w:pPr>
    </w:p>
    <w:p w14:paraId="4F5C5D33" w14:textId="77777777" w:rsidR="008E1B39" w:rsidRDefault="008E1B39">
      <w:pPr>
        <w:pStyle w:val="P00"/>
        <w:spacing w:before="72"/>
        <w:ind w:left="0" w:right="1134"/>
        <w:rPr>
          <w:rStyle w:val="default"/>
          <w:rFonts w:cs="FrankRuehl" w:hint="cs"/>
          <w:rtl/>
        </w:rPr>
      </w:pPr>
      <w:r>
        <w:rPr>
          <w:rStyle w:val="default"/>
          <w:rFonts w:cs="FrankRuehl" w:hint="cs"/>
          <w:rtl/>
        </w:rPr>
        <w:t>11.</w:t>
      </w:r>
      <w:r>
        <w:rPr>
          <w:rStyle w:val="default"/>
          <w:rFonts w:cs="FrankRuehl" w:hint="cs"/>
          <w:rtl/>
        </w:rPr>
        <w:tab/>
        <w:t>מחקרים רפואיים קובעים כי 85% מכלל מקרי סרטן הריאות נגרמים עקב עישון.</w:t>
      </w:r>
    </w:p>
    <w:p w14:paraId="25705ADA" w14:textId="77777777" w:rsidR="008E1B39" w:rsidRPr="008E1B39" w:rsidRDefault="008E1B39" w:rsidP="008E1B39">
      <w:pPr>
        <w:pStyle w:val="P00"/>
        <w:spacing w:before="72"/>
        <w:ind w:left="624" w:right="1134"/>
        <w:rPr>
          <w:rStyle w:val="default"/>
          <w:rFonts w:cs="FrankRuehl" w:hint="cs"/>
          <w:szCs w:val="20"/>
          <w:rtl/>
        </w:rPr>
      </w:pPr>
      <w:r w:rsidRPr="008E1B39">
        <w:rPr>
          <w:rStyle w:val="default"/>
          <w:rFonts w:cs="FrankRuehl"/>
        </w:rPr>
        <w:pict>
          <v:shape id="_x0000_i1035" type="#_x0000_t75" style="width:364.8pt;height:23.4pt">
            <v:imagedata r:id="rId27" o:title=""/>
          </v:shape>
        </w:pict>
      </w:r>
    </w:p>
    <w:p w14:paraId="625A1132" w14:textId="77777777" w:rsidR="008E1B39" w:rsidRDefault="008E1B39">
      <w:pPr>
        <w:pStyle w:val="P00"/>
        <w:spacing w:before="72"/>
        <w:ind w:left="0" w:right="1134"/>
        <w:rPr>
          <w:rStyle w:val="default"/>
          <w:rFonts w:cs="FrankRuehl" w:hint="cs"/>
          <w:rtl/>
        </w:rPr>
      </w:pPr>
    </w:p>
    <w:p w14:paraId="34528741" w14:textId="77777777" w:rsidR="008E1B39" w:rsidRDefault="008E1B39">
      <w:pPr>
        <w:pStyle w:val="P00"/>
        <w:spacing w:before="72"/>
        <w:ind w:left="0" w:right="1134"/>
        <w:rPr>
          <w:rStyle w:val="default"/>
          <w:rFonts w:cs="FrankRuehl" w:hint="cs"/>
          <w:rtl/>
        </w:rPr>
      </w:pPr>
      <w:r>
        <w:rPr>
          <w:rStyle w:val="default"/>
          <w:rFonts w:cs="FrankRuehl" w:hint="cs"/>
          <w:rtl/>
        </w:rPr>
        <w:t>12.</w:t>
      </w:r>
      <w:r>
        <w:rPr>
          <w:rStyle w:val="default"/>
          <w:rFonts w:cs="FrankRuehl" w:hint="cs"/>
          <w:rtl/>
        </w:rPr>
        <w:tab/>
        <w:t>סיגריות גורמות לשבץ מוחי ולמחלות לב.</w:t>
      </w:r>
    </w:p>
    <w:p w14:paraId="5D1B8527" w14:textId="77777777" w:rsidR="008E1B39" w:rsidRPr="008E1B39" w:rsidRDefault="008E1B39" w:rsidP="008E1B39">
      <w:pPr>
        <w:pStyle w:val="P00"/>
        <w:tabs>
          <w:tab w:val="clear" w:pos="1021"/>
          <w:tab w:val="clear" w:pos="1474"/>
          <w:tab w:val="clear" w:pos="1928"/>
          <w:tab w:val="clear" w:pos="2381"/>
          <w:tab w:val="clear" w:pos="2835"/>
          <w:tab w:val="clear" w:pos="6259"/>
          <w:tab w:val="left" w:pos="3402"/>
        </w:tabs>
        <w:spacing w:before="72"/>
        <w:ind w:left="624" w:right="1134"/>
        <w:rPr>
          <w:rStyle w:val="default"/>
          <w:rFonts w:cs="FrankRuehl" w:hint="cs"/>
          <w:sz w:val="22"/>
          <w:szCs w:val="22"/>
          <w:rtl/>
        </w:rPr>
      </w:pPr>
      <w:r>
        <w:rPr>
          <w:rStyle w:val="default"/>
          <w:rFonts w:cs="FrankRuehl" w:hint="cs"/>
          <w:sz w:val="22"/>
          <w:szCs w:val="22"/>
          <w:rtl/>
        </w:rPr>
        <w:tab/>
      </w:r>
      <w:r w:rsidRPr="008E1B39">
        <w:rPr>
          <w:rStyle w:val="default"/>
          <w:rFonts w:cs="FrankRuehl" w:hint="cs"/>
          <w:sz w:val="22"/>
          <w:szCs w:val="22"/>
          <w:rtl/>
        </w:rPr>
        <w:t>משרד הבריאות</w:t>
      </w:r>
    </w:p>
    <w:p w14:paraId="03D02062" w14:textId="77777777" w:rsidR="008E1B39" w:rsidRPr="00881647" w:rsidRDefault="00881647" w:rsidP="008E1B39">
      <w:pPr>
        <w:pStyle w:val="P00"/>
        <w:spacing w:before="72"/>
        <w:ind w:left="624" w:right="1134"/>
        <w:rPr>
          <w:rStyle w:val="default"/>
          <w:rFonts w:cs="FrankRuehl" w:hint="cs"/>
          <w:szCs w:val="20"/>
          <w:rtl/>
        </w:rPr>
      </w:pPr>
      <w:r w:rsidRPr="00881647">
        <w:rPr>
          <w:rStyle w:val="default"/>
          <w:rFonts w:cs="FrankRuehl"/>
        </w:rPr>
        <w:pict>
          <v:shape id="_x0000_i1036" type="#_x0000_t75" style="width:356.4pt;height:38.7pt">
            <v:imagedata r:id="rId28" o:title=""/>
          </v:shape>
        </w:pict>
      </w:r>
    </w:p>
    <w:p w14:paraId="627702B3" w14:textId="77777777" w:rsidR="008E1B39" w:rsidRDefault="008E1B39">
      <w:pPr>
        <w:pStyle w:val="P00"/>
        <w:spacing w:before="72"/>
        <w:ind w:left="0" w:right="1134"/>
        <w:rPr>
          <w:rStyle w:val="default"/>
          <w:rFonts w:cs="FrankRuehl" w:hint="cs"/>
          <w:rtl/>
        </w:rPr>
      </w:pPr>
    </w:p>
    <w:p w14:paraId="0AAF8896" w14:textId="77777777" w:rsidR="008E1B39" w:rsidRDefault="008E1B39">
      <w:pPr>
        <w:pStyle w:val="P00"/>
        <w:spacing w:before="72"/>
        <w:ind w:left="0" w:right="1134"/>
        <w:rPr>
          <w:rStyle w:val="default"/>
          <w:rFonts w:cs="FrankRuehl" w:hint="cs"/>
          <w:rtl/>
        </w:rPr>
      </w:pPr>
      <w:r>
        <w:rPr>
          <w:rStyle w:val="default"/>
          <w:rFonts w:cs="FrankRuehl" w:hint="cs"/>
          <w:rtl/>
        </w:rPr>
        <w:t>13.</w:t>
      </w:r>
      <w:r>
        <w:rPr>
          <w:rStyle w:val="default"/>
          <w:rFonts w:cs="FrankRuehl" w:hint="cs"/>
          <w:rtl/>
        </w:rPr>
        <w:tab/>
        <w:t>מחקרים רפואיים קובעים כי 75% מהתקפי הלב עד גיל 45 הם בקרב מעשנים.</w:t>
      </w:r>
    </w:p>
    <w:p w14:paraId="0B17AA21" w14:textId="77777777" w:rsidR="008E1B39" w:rsidRPr="00881647" w:rsidRDefault="00881647" w:rsidP="008E1B39">
      <w:pPr>
        <w:pStyle w:val="P00"/>
        <w:spacing w:before="72"/>
        <w:ind w:left="624" w:right="1134"/>
        <w:rPr>
          <w:rStyle w:val="default"/>
          <w:rFonts w:cs="FrankRuehl" w:hint="cs"/>
          <w:szCs w:val="20"/>
          <w:rtl/>
        </w:rPr>
      </w:pPr>
      <w:r w:rsidRPr="00881647">
        <w:rPr>
          <w:rStyle w:val="default"/>
          <w:rFonts w:cs="FrankRuehl"/>
        </w:rPr>
        <w:pict>
          <v:shape id="_x0000_i1037" type="#_x0000_t75" style="width:356.4pt;height:46.5pt">
            <v:imagedata r:id="rId29" o:title=""/>
          </v:shape>
        </w:pict>
      </w:r>
    </w:p>
    <w:p w14:paraId="25E659FB" w14:textId="77777777" w:rsidR="008E1B39" w:rsidRDefault="008E1B39">
      <w:pPr>
        <w:pStyle w:val="P00"/>
        <w:spacing w:before="72"/>
        <w:ind w:left="0" w:right="1134"/>
        <w:rPr>
          <w:rStyle w:val="default"/>
          <w:rFonts w:cs="FrankRuehl" w:hint="cs"/>
          <w:rtl/>
        </w:rPr>
      </w:pPr>
    </w:p>
    <w:p w14:paraId="1116A92F" w14:textId="77777777" w:rsidR="00073216" w:rsidRPr="00F45EFB" w:rsidRDefault="00073216">
      <w:pPr>
        <w:pStyle w:val="medium2-header"/>
        <w:keepLines w:val="0"/>
        <w:spacing w:before="72"/>
        <w:ind w:left="0" w:right="1134"/>
        <w:rPr>
          <w:rFonts w:cs="FrankRuehl" w:hint="cs"/>
          <w:noProof/>
          <w:sz w:val="26"/>
          <w:szCs w:val="26"/>
          <w:rtl/>
        </w:rPr>
      </w:pPr>
      <w:bookmarkStart w:id="15" w:name="med1"/>
      <w:bookmarkEnd w:id="15"/>
      <w:r w:rsidRPr="00F45EFB">
        <w:rPr>
          <w:rFonts w:cs="FrankRuehl"/>
          <w:noProof/>
          <w:sz w:val="26"/>
          <w:szCs w:val="26"/>
          <w:rtl/>
          <w:lang w:val="he-IL"/>
        </w:rPr>
        <w:pict w14:anchorId="3831B9B4">
          <v:shape id="_x0000_s1122" type="#_x0000_t202" style="position:absolute;left:0;text-align:left;margin-left:470.25pt;margin-top:3.85pt;width:1in;height:11.2pt;z-index:251662336" filled="f" stroked="f">
            <v:textbox inset="1mm,0,1mm,0">
              <w:txbxContent>
                <w:p w14:paraId="299A4D53" w14:textId="77777777" w:rsidR="00073216" w:rsidRDefault="00073216">
                  <w:pPr>
                    <w:spacing w:line="160" w:lineRule="exact"/>
                    <w:jc w:val="left"/>
                    <w:rPr>
                      <w:rFonts w:cs="Miriam" w:hint="cs"/>
                      <w:sz w:val="18"/>
                      <w:szCs w:val="18"/>
                      <w:rtl/>
                    </w:rPr>
                  </w:pPr>
                  <w:r>
                    <w:rPr>
                      <w:rFonts w:cs="Miriam" w:hint="cs"/>
                      <w:sz w:val="18"/>
                      <w:szCs w:val="18"/>
                      <w:rtl/>
                    </w:rPr>
                    <w:t>צו תשס"ד-2004</w:t>
                  </w:r>
                </w:p>
              </w:txbxContent>
            </v:textbox>
            <w10:anchorlock/>
          </v:shape>
        </w:pict>
      </w:r>
      <w:r w:rsidRPr="00F45EFB">
        <w:rPr>
          <w:rFonts w:cs="FrankRuehl" w:hint="cs"/>
          <w:noProof/>
          <w:sz w:val="26"/>
          <w:szCs w:val="26"/>
          <w:rtl/>
        </w:rPr>
        <w:t>תוספת שניה</w:t>
      </w:r>
    </w:p>
    <w:p w14:paraId="2D652FFD" w14:textId="77777777" w:rsidR="00073216" w:rsidRDefault="00073216">
      <w:pPr>
        <w:pStyle w:val="medium-header"/>
        <w:keepNext w:val="0"/>
        <w:keepLines w:val="0"/>
        <w:ind w:left="0" w:right="1134"/>
        <w:rPr>
          <w:rFonts w:cs="FrankRuehl" w:hint="cs"/>
          <w:sz w:val="24"/>
          <w:szCs w:val="24"/>
          <w:rtl/>
        </w:rPr>
      </w:pPr>
      <w:r>
        <w:rPr>
          <w:rFonts w:cs="FrankRuehl" w:hint="cs"/>
          <w:sz w:val="24"/>
          <w:szCs w:val="24"/>
          <w:rtl/>
        </w:rPr>
        <w:t>(סעיפים 1(3) ו-3(ב))</w:t>
      </w:r>
    </w:p>
    <w:p w14:paraId="1DEED46E" w14:textId="77777777" w:rsidR="00073216" w:rsidRDefault="0007321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hint="cs"/>
          <w:rtl/>
        </w:rPr>
        <w:t>1.</w:t>
      </w:r>
      <w:r>
        <w:rPr>
          <w:rStyle w:val="default"/>
          <w:rFonts w:cs="FrankRuehl" w:hint="cs"/>
          <w:rtl/>
        </w:rPr>
        <w:tab/>
        <w:t>(א)</w:t>
      </w:r>
      <w:r>
        <w:rPr>
          <w:rStyle w:val="default"/>
          <w:rFonts w:cs="FrankRuehl" w:hint="cs"/>
          <w:rtl/>
        </w:rPr>
        <w:tab/>
        <w:t>האזהרות לענין סעיף 9(א) לחוק, כאמור בסעיף 1(3) לצו יהיו כלהלן:</w:t>
      </w:r>
    </w:p>
    <w:p w14:paraId="6E58396E" w14:textId="77777777" w:rsidR="00BE38D3" w:rsidRDefault="00BE38D3" w:rsidP="00BE38D3">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rtl/>
        </w:rPr>
      </w:pPr>
      <w:r>
        <w:rPr>
          <w:rStyle w:val="default"/>
          <w:rFonts w:cs="FrankRuehl" w:hint="cs"/>
          <w:rtl/>
        </w:rPr>
        <w:t>בעברית –</w:t>
      </w:r>
      <w:r>
        <w:rPr>
          <w:rStyle w:val="default"/>
          <w:rFonts w:cs="FrankRuehl"/>
          <w:rtl/>
        </w:rPr>
        <w:tab/>
      </w:r>
      <w:r>
        <w:rPr>
          <w:rStyle w:val="default"/>
          <w:rFonts w:cs="FrankRuehl" w:hint="cs"/>
          <w:rtl/>
        </w:rPr>
        <w:t>בערבית –</w:t>
      </w:r>
    </w:p>
    <w:p w14:paraId="49A01703" w14:textId="77777777" w:rsidR="00BE38D3" w:rsidRDefault="00BE38D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sidRPr="00BE38D3">
        <w:rPr>
          <w:rStyle w:val="default"/>
          <w:rFonts w:cs="FrankRuehl" w:hint="cs"/>
        </w:rPr>
        <w:pict>
          <v:shape id="_x0000_i1038" type="#_x0000_t75" style="width:396.9pt;height:373.2pt">
            <v:imagedata r:id="rId30" o:title=""/>
          </v:shape>
        </w:pict>
      </w:r>
    </w:p>
    <w:p w14:paraId="1D9FB737" w14:textId="77777777" w:rsidR="00073216" w:rsidRDefault="00073216" w:rsidP="00F45EF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hint="cs"/>
          <w:rtl/>
        </w:rPr>
        <w:tab/>
        <w:t>(ב)</w:t>
      </w:r>
      <w:r>
        <w:rPr>
          <w:rStyle w:val="default"/>
          <w:rFonts w:cs="FrankRuehl" w:hint="cs"/>
          <w:rtl/>
        </w:rPr>
        <w:tab/>
        <w:t>האזהרה לענין סעי</w:t>
      </w:r>
      <w:r w:rsidR="00F45EFB">
        <w:rPr>
          <w:rStyle w:val="default"/>
          <w:rFonts w:cs="FrankRuehl" w:hint="cs"/>
          <w:rtl/>
        </w:rPr>
        <w:t>ף</w:t>
      </w:r>
      <w:r>
        <w:rPr>
          <w:rStyle w:val="default"/>
          <w:rFonts w:cs="FrankRuehl" w:hint="cs"/>
          <w:rtl/>
        </w:rPr>
        <w:t xml:space="preserve"> 9(א) לחוק, כאמור בסעיף 1(4) לצו תהיה כלהלן:</w:t>
      </w:r>
    </w:p>
    <w:p w14:paraId="13448CC1" w14:textId="77777777" w:rsidR="00BE38D3" w:rsidRDefault="00BE38D3" w:rsidP="00F45EF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hint="cs"/>
          <w:rtl/>
        </w:rPr>
        <w:t>בעברית –</w:t>
      </w:r>
    </w:p>
    <w:p w14:paraId="47D87E70" w14:textId="77777777" w:rsidR="00BE38D3" w:rsidRDefault="00BE38D3" w:rsidP="00F45EF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sidRPr="00BE38D3">
        <w:rPr>
          <w:rStyle w:val="default"/>
          <w:rFonts w:cs="FrankRuehl" w:hint="cs"/>
        </w:rPr>
        <w:pict>
          <v:shape id="_x0000_i1039" type="#_x0000_t75" style="width:393.9pt;height:129.3pt">
            <v:imagedata r:id="rId31" o:title=""/>
          </v:shape>
        </w:pict>
      </w:r>
    </w:p>
    <w:p w14:paraId="57775C9D" w14:textId="77777777" w:rsidR="00073216" w:rsidRDefault="0007321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2.</w:t>
      </w:r>
      <w:r>
        <w:rPr>
          <w:rStyle w:val="default"/>
          <w:rFonts w:cs="FrankRuehl" w:hint="cs"/>
          <w:rtl/>
        </w:rPr>
        <w:tab/>
        <w:t>צבעים</w:t>
      </w:r>
    </w:p>
    <w:p w14:paraId="1928C948" w14:textId="77777777" w:rsidR="00073216" w:rsidRDefault="0007321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ab/>
        <w:t>(א)</w:t>
      </w:r>
      <w:r>
        <w:rPr>
          <w:rStyle w:val="default"/>
          <w:rFonts w:cs="FrankRuehl" w:hint="cs"/>
          <w:rtl/>
        </w:rPr>
        <w:tab/>
        <w:t>להדפסה בשיטת 'פנטון' (ספוט)</w:t>
      </w:r>
    </w:p>
    <w:p w14:paraId="4CBE8541" w14:textId="77777777" w:rsidR="00073216" w:rsidRDefault="0007321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ab/>
      </w:r>
      <w:r>
        <w:rPr>
          <w:rStyle w:val="default"/>
          <w:rFonts w:cs="FrankRuehl" w:hint="cs"/>
          <w:rtl/>
        </w:rPr>
        <w:tab/>
      </w:r>
      <w:r>
        <w:rPr>
          <w:rStyle w:val="default"/>
          <w:rFonts w:cs="FrankRuehl"/>
          <w:sz w:val="20"/>
          <w:szCs w:val="20"/>
        </w:rPr>
        <w:t>Process Black CV</w:t>
      </w:r>
    </w:p>
    <w:p w14:paraId="440AEDFF" w14:textId="77777777" w:rsidR="00073216" w:rsidRDefault="0007321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hint="cs"/>
          <w:rtl/>
        </w:rPr>
        <w:tab/>
      </w:r>
      <w:r>
        <w:rPr>
          <w:rStyle w:val="default"/>
          <w:rFonts w:cs="FrankRuehl" w:hint="cs"/>
          <w:rtl/>
        </w:rPr>
        <w:tab/>
      </w:r>
      <w:r>
        <w:rPr>
          <w:rStyle w:val="default"/>
          <w:rFonts w:cs="FrankRuehl"/>
          <w:sz w:val="20"/>
          <w:szCs w:val="20"/>
        </w:rPr>
        <w:t>Warm Red CV</w:t>
      </w:r>
    </w:p>
    <w:p w14:paraId="7259323D" w14:textId="77777777" w:rsidR="00073216" w:rsidRDefault="0007321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ab/>
        <w:t>(ב)</w:t>
      </w:r>
      <w:r>
        <w:rPr>
          <w:rStyle w:val="default"/>
          <w:rFonts w:cs="FrankRuehl" w:hint="cs"/>
          <w:rtl/>
        </w:rPr>
        <w:tab/>
        <w:t>להדפסה בשיטת 'פרוצס'</w:t>
      </w:r>
    </w:p>
    <w:p w14:paraId="62E94FDC" w14:textId="77777777" w:rsidR="00073216" w:rsidRDefault="0007321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ab/>
      </w:r>
      <w:r>
        <w:rPr>
          <w:rStyle w:val="default"/>
          <w:rFonts w:cs="FrankRuehl" w:hint="cs"/>
          <w:rtl/>
        </w:rPr>
        <w:tab/>
      </w:r>
      <w:r>
        <w:rPr>
          <w:rStyle w:val="default"/>
          <w:rFonts w:cs="FrankRuehl"/>
          <w:sz w:val="20"/>
          <w:szCs w:val="20"/>
        </w:rPr>
        <w:t>Process Black</w:t>
      </w:r>
    </w:p>
    <w:p w14:paraId="2BA994F2" w14:textId="77777777" w:rsidR="00073216" w:rsidRDefault="0007321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ab/>
      </w:r>
      <w:r>
        <w:rPr>
          <w:rStyle w:val="default"/>
          <w:rFonts w:cs="FrankRuehl" w:hint="cs"/>
          <w:rtl/>
        </w:rPr>
        <w:tab/>
      </w:r>
      <w:r>
        <w:rPr>
          <w:rStyle w:val="default"/>
          <w:rFonts w:cs="FrankRuehl"/>
          <w:sz w:val="20"/>
          <w:szCs w:val="20"/>
        </w:rPr>
        <w:t>100M + 100Y</w:t>
      </w:r>
    </w:p>
    <w:p w14:paraId="23C3E294" w14:textId="77777777" w:rsidR="00073216" w:rsidRDefault="0007321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ab/>
        <w:t>(ג)</w:t>
      </w:r>
      <w:r>
        <w:rPr>
          <w:rStyle w:val="default"/>
          <w:rFonts w:cs="FrankRuehl" w:hint="cs"/>
          <w:rtl/>
        </w:rPr>
        <w:tab/>
        <w:t>בהדפסה בכל שיטה אחרת, גוני השחור והאדום יהיו שקולים לגוונים הנ"ל.</w:t>
      </w:r>
    </w:p>
    <w:p w14:paraId="2CD8195D" w14:textId="77777777" w:rsidR="00073216" w:rsidRDefault="0007321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Fonts w:cs="FrankRuehl"/>
          <w:rtl/>
          <w:lang w:val="he-IL"/>
        </w:rPr>
        <w:pict w14:anchorId="66ADFA97">
          <v:shape id="_x0000_s1125" type="#_x0000_t202" style="position:absolute;left:0;text-align:left;margin-left:470.25pt;margin-top:6.3pt;width:1in;height:11.2pt;z-index:251664384" filled="f" stroked="f">
            <v:textbox inset="1mm,0,1mm,0">
              <w:txbxContent>
                <w:p w14:paraId="3A9FAE4F" w14:textId="77777777" w:rsidR="00073216" w:rsidRDefault="00073216">
                  <w:pPr>
                    <w:spacing w:line="160" w:lineRule="exact"/>
                    <w:jc w:val="left"/>
                    <w:rPr>
                      <w:rFonts w:cs="Miriam" w:hint="cs"/>
                      <w:sz w:val="18"/>
                      <w:szCs w:val="18"/>
                      <w:rtl/>
                    </w:rPr>
                  </w:pPr>
                  <w:r>
                    <w:rPr>
                      <w:rFonts w:cs="Miriam" w:hint="cs"/>
                      <w:sz w:val="18"/>
                      <w:szCs w:val="18"/>
                      <w:rtl/>
                    </w:rPr>
                    <w:t>צו תשס"ה-2004</w:t>
                  </w:r>
                </w:p>
              </w:txbxContent>
            </v:textbox>
            <w10:anchorlock/>
          </v:shape>
        </w:pict>
      </w:r>
      <w:r>
        <w:rPr>
          <w:rStyle w:val="default"/>
          <w:rFonts w:cs="FrankRuehl" w:hint="cs"/>
          <w:rtl/>
        </w:rPr>
        <w:tab/>
        <w:t>(ד)</w:t>
      </w:r>
      <w:r>
        <w:rPr>
          <w:rStyle w:val="default"/>
          <w:rFonts w:cs="FrankRuehl" w:hint="cs"/>
          <w:rtl/>
        </w:rPr>
        <w:tab/>
        <w:t>צבע הרקע יהיה לבן.</w:t>
      </w:r>
    </w:p>
    <w:p w14:paraId="7951D734" w14:textId="77777777" w:rsidR="00BE38D3" w:rsidRDefault="00BE38D3" w:rsidP="00BE38D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021" w:right="1134"/>
        <w:rPr>
          <w:rStyle w:val="default"/>
          <w:rFonts w:cs="FrankRuehl"/>
          <w:rtl/>
        </w:rPr>
      </w:pPr>
      <w:r w:rsidRPr="00BE38D3">
        <w:rPr>
          <w:rStyle w:val="default"/>
          <w:rFonts w:cs="FrankRuehl"/>
        </w:rPr>
        <w:pict>
          <v:shape id="_x0000_i1040" type="#_x0000_t75" style="width:185.4pt;height:93pt">
            <v:imagedata r:id="rId32" o:title=""/>
          </v:shape>
        </w:pict>
      </w:r>
    </w:p>
    <w:p w14:paraId="53B9DE99" w14:textId="77777777" w:rsidR="00073216" w:rsidRDefault="0007321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hint="cs"/>
          <w:rtl/>
        </w:rPr>
        <w:t>3.</w:t>
      </w:r>
      <w:r>
        <w:rPr>
          <w:rStyle w:val="default"/>
          <w:rFonts w:cs="FrankRuehl" w:hint="cs"/>
          <w:rtl/>
        </w:rPr>
        <w:tab/>
        <w:t>גופנים</w:t>
      </w:r>
    </w:p>
    <w:p w14:paraId="1C9D8567" w14:textId="77777777" w:rsidR="00BE38D3" w:rsidRDefault="00BE38D3" w:rsidP="00BE38D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021" w:right="1134"/>
        <w:rPr>
          <w:rStyle w:val="default"/>
          <w:rFonts w:cs="FrankRuehl" w:hint="cs"/>
          <w:rtl/>
        </w:rPr>
      </w:pPr>
      <w:r w:rsidRPr="00BE38D3">
        <w:rPr>
          <w:rStyle w:val="default"/>
          <w:rFonts w:cs="FrankRuehl" w:hint="cs"/>
        </w:rPr>
        <w:pict>
          <v:shape id="_x0000_i1041" type="#_x0000_t75" style="width:165.9pt;height:71.1pt">
            <v:imagedata r:id="rId33" o:title=""/>
          </v:shape>
        </w:pict>
      </w:r>
    </w:p>
    <w:p w14:paraId="62137085" w14:textId="77777777" w:rsidR="00073216" w:rsidRDefault="0007321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 xml:space="preserve">ניתן יהיה לקבל ממשרד הבריאות את העיצוב הגרפי ואת ההנחיות, מבוצעות בתוכנת </w:t>
      </w:r>
      <w:r>
        <w:rPr>
          <w:rStyle w:val="default"/>
          <w:rFonts w:cs="FrankRuehl"/>
          <w:sz w:val="20"/>
          <w:szCs w:val="20"/>
        </w:rPr>
        <w:t>FreeHand</w:t>
      </w:r>
      <w:r>
        <w:rPr>
          <w:rStyle w:val="default"/>
          <w:rFonts w:cs="FrankRuehl" w:hint="cs"/>
          <w:rtl/>
        </w:rPr>
        <w:t xml:space="preserve"> כשהמלל העברי או הערבי עברו המרה (</w:t>
      </w:r>
      <w:r>
        <w:rPr>
          <w:rStyle w:val="default"/>
          <w:rFonts w:cs="FrankRuehl"/>
          <w:sz w:val="20"/>
          <w:szCs w:val="20"/>
        </w:rPr>
        <w:t>convert to path</w:t>
      </w:r>
      <w:r>
        <w:rPr>
          <w:rStyle w:val="default"/>
          <w:rFonts w:cs="FrankRuehl" w:hint="cs"/>
          <w:rtl/>
        </w:rPr>
        <w:t>).</w:t>
      </w:r>
    </w:p>
    <w:p w14:paraId="1ED08FAF" w14:textId="77777777" w:rsidR="00D86103" w:rsidRPr="00BE38D3" w:rsidRDefault="00D86103" w:rsidP="00D86103">
      <w:pPr>
        <w:pStyle w:val="P00"/>
        <w:tabs>
          <w:tab w:val="clear" w:pos="6259"/>
        </w:tabs>
        <w:spacing w:before="0"/>
        <w:ind w:left="0" w:right="1134"/>
        <w:rPr>
          <w:rFonts w:cs="FrankRuehl" w:hint="cs"/>
          <w:vanish/>
          <w:color w:val="FF0000"/>
          <w:szCs w:val="20"/>
          <w:shd w:val="clear" w:color="auto" w:fill="FFFF99"/>
          <w:rtl/>
        </w:rPr>
      </w:pPr>
      <w:bookmarkStart w:id="16" w:name="Rov31"/>
      <w:r w:rsidRPr="00BE38D3">
        <w:rPr>
          <w:rFonts w:cs="FrankRuehl" w:hint="cs"/>
          <w:vanish/>
          <w:color w:val="FF0000"/>
          <w:szCs w:val="20"/>
          <w:shd w:val="clear" w:color="auto" w:fill="FFFF99"/>
          <w:rtl/>
        </w:rPr>
        <w:t>מיום 1.12.2004</w:t>
      </w:r>
    </w:p>
    <w:p w14:paraId="4224FF98" w14:textId="77777777" w:rsidR="00D86103" w:rsidRPr="00BE38D3" w:rsidRDefault="00D86103" w:rsidP="00D86103">
      <w:pPr>
        <w:pStyle w:val="P00"/>
        <w:spacing w:before="0"/>
        <w:ind w:left="0" w:right="1134"/>
        <w:rPr>
          <w:rFonts w:cs="FrankRuehl" w:hint="cs"/>
          <w:b/>
          <w:bCs/>
          <w:vanish/>
          <w:szCs w:val="20"/>
          <w:shd w:val="clear" w:color="auto" w:fill="FFFF99"/>
          <w:rtl/>
        </w:rPr>
      </w:pPr>
      <w:r w:rsidRPr="00BE38D3">
        <w:rPr>
          <w:rFonts w:cs="FrankRuehl" w:hint="cs"/>
          <w:b/>
          <w:bCs/>
          <w:vanish/>
          <w:szCs w:val="20"/>
          <w:shd w:val="clear" w:color="auto" w:fill="FFFF99"/>
          <w:rtl/>
        </w:rPr>
        <w:t>צו תשס"ד-2004</w:t>
      </w:r>
    </w:p>
    <w:p w14:paraId="206E4DF3" w14:textId="77777777" w:rsidR="00D86103" w:rsidRPr="00BE38D3" w:rsidRDefault="00D86103" w:rsidP="00D86103">
      <w:pPr>
        <w:pStyle w:val="P00"/>
        <w:spacing w:before="0"/>
        <w:ind w:left="0" w:right="1134"/>
        <w:rPr>
          <w:rFonts w:cs="FrankRuehl" w:hint="cs"/>
          <w:vanish/>
          <w:szCs w:val="20"/>
          <w:shd w:val="clear" w:color="auto" w:fill="FFFF99"/>
          <w:rtl/>
        </w:rPr>
      </w:pPr>
      <w:hyperlink r:id="rId34" w:history="1">
        <w:r w:rsidRPr="00BE38D3">
          <w:rPr>
            <w:rStyle w:val="Hyperlink"/>
            <w:rFonts w:cs="FrankRuehl" w:hint="cs"/>
            <w:vanish/>
            <w:szCs w:val="20"/>
            <w:shd w:val="clear" w:color="auto" w:fill="FFFF99"/>
            <w:rtl/>
          </w:rPr>
          <w:t>ק"ת תשס"ד מס' 6302</w:t>
        </w:r>
      </w:hyperlink>
      <w:r w:rsidRPr="00BE38D3">
        <w:rPr>
          <w:rFonts w:cs="FrankRuehl" w:hint="cs"/>
          <w:vanish/>
          <w:szCs w:val="20"/>
          <w:shd w:val="clear" w:color="auto" w:fill="FFFF99"/>
          <w:rtl/>
        </w:rPr>
        <w:t xml:space="preserve"> מיום 1.4.2004 עמ' 362</w:t>
      </w:r>
    </w:p>
    <w:p w14:paraId="42B1340D" w14:textId="77777777" w:rsidR="00D86103" w:rsidRPr="00BE38D3" w:rsidRDefault="00D86103" w:rsidP="00D86103">
      <w:pPr>
        <w:pStyle w:val="P00"/>
        <w:spacing w:before="0"/>
        <w:ind w:left="0" w:right="1134"/>
        <w:rPr>
          <w:rFonts w:cs="FrankRuehl" w:hint="cs"/>
          <w:b/>
          <w:bCs/>
          <w:vanish/>
          <w:szCs w:val="20"/>
          <w:shd w:val="clear" w:color="auto" w:fill="FFFF99"/>
          <w:rtl/>
        </w:rPr>
      </w:pPr>
      <w:r w:rsidRPr="00BE38D3">
        <w:rPr>
          <w:rFonts w:cs="FrankRuehl" w:hint="cs"/>
          <w:b/>
          <w:bCs/>
          <w:vanish/>
          <w:szCs w:val="20"/>
          <w:shd w:val="clear" w:color="auto" w:fill="FFFF99"/>
          <w:rtl/>
        </w:rPr>
        <w:t>הוספת תוספת שניה</w:t>
      </w:r>
    </w:p>
    <w:p w14:paraId="2326A939" w14:textId="77777777" w:rsidR="00886236" w:rsidRPr="00BE38D3" w:rsidRDefault="00886236" w:rsidP="00D86103">
      <w:pPr>
        <w:pStyle w:val="P00"/>
        <w:spacing w:before="0"/>
        <w:ind w:left="0" w:right="1134"/>
        <w:rPr>
          <w:rFonts w:cs="FrankRuehl" w:hint="cs"/>
          <w:vanish/>
          <w:szCs w:val="20"/>
          <w:shd w:val="clear" w:color="auto" w:fill="FFFF99"/>
          <w:rtl/>
        </w:rPr>
      </w:pPr>
    </w:p>
    <w:p w14:paraId="1D36A2A9" w14:textId="77777777" w:rsidR="00886236" w:rsidRPr="00BE38D3" w:rsidRDefault="00886236" w:rsidP="00886236">
      <w:pPr>
        <w:pStyle w:val="P00"/>
        <w:tabs>
          <w:tab w:val="clear" w:pos="6259"/>
        </w:tabs>
        <w:spacing w:before="0"/>
        <w:ind w:left="0" w:right="1134"/>
        <w:rPr>
          <w:rFonts w:cs="FrankRuehl" w:hint="cs"/>
          <w:vanish/>
          <w:color w:val="FF0000"/>
          <w:szCs w:val="20"/>
          <w:shd w:val="clear" w:color="auto" w:fill="FFFF99"/>
          <w:rtl/>
        </w:rPr>
      </w:pPr>
      <w:r w:rsidRPr="00BE38D3">
        <w:rPr>
          <w:rFonts w:cs="FrankRuehl" w:hint="cs"/>
          <w:vanish/>
          <w:color w:val="FF0000"/>
          <w:szCs w:val="20"/>
          <w:shd w:val="clear" w:color="auto" w:fill="FFFF99"/>
          <w:rtl/>
        </w:rPr>
        <w:t>מיום 1.12.2004</w:t>
      </w:r>
    </w:p>
    <w:p w14:paraId="540AF4A7" w14:textId="77777777" w:rsidR="00886236" w:rsidRPr="00BE38D3" w:rsidRDefault="00886236" w:rsidP="00886236">
      <w:pPr>
        <w:pStyle w:val="P00"/>
        <w:spacing w:before="0"/>
        <w:ind w:left="0" w:right="1134"/>
        <w:rPr>
          <w:rFonts w:cs="FrankRuehl" w:hint="cs"/>
          <w:b/>
          <w:bCs/>
          <w:vanish/>
          <w:szCs w:val="20"/>
          <w:shd w:val="clear" w:color="auto" w:fill="FFFF99"/>
          <w:rtl/>
        </w:rPr>
      </w:pPr>
      <w:r w:rsidRPr="00BE38D3">
        <w:rPr>
          <w:rFonts w:cs="FrankRuehl" w:hint="cs"/>
          <w:b/>
          <w:bCs/>
          <w:vanish/>
          <w:szCs w:val="20"/>
          <w:shd w:val="clear" w:color="auto" w:fill="FFFF99"/>
          <w:rtl/>
        </w:rPr>
        <w:t>צו תשס"ה-2004</w:t>
      </w:r>
    </w:p>
    <w:p w14:paraId="43587A8B" w14:textId="77777777" w:rsidR="00886236" w:rsidRPr="00BE38D3" w:rsidRDefault="00886236" w:rsidP="00886236">
      <w:pPr>
        <w:pStyle w:val="P00"/>
        <w:spacing w:before="0"/>
        <w:ind w:left="0" w:right="1134"/>
        <w:rPr>
          <w:rFonts w:cs="FrankRuehl" w:hint="cs"/>
          <w:vanish/>
          <w:szCs w:val="20"/>
          <w:shd w:val="clear" w:color="auto" w:fill="FFFF99"/>
          <w:rtl/>
        </w:rPr>
      </w:pPr>
      <w:hyperlink r:id="rId35" w:history="1">
        <w:r w:rsidRPr="00BE38D3">
          <w:rPr>
            <w:rStyle w:val="Hyperlink"/>
            <w:rFonts w:cs="FrankRuehl" w:hint="cs"/>
            <w:vanish/>
            <w:szCs w:val="20"/>
            <w:shd w:val="clear" w:color="auto" w:fill="FFFF99"/>
            <w:rtl/>
          </w:rPr>
          <w:t>ק"ת תשס"ה מס' 6349</w:t>
        </w:r>
      </w:hyperlink>
      <w:r w:rsidRPr="00BE38D3">
        <w:rPr>
          <w:rFonts w:cs="FrankRuehl" w:hint="cs"/>
          <w:vanish/>
          <w:szCs w:val="20"/>
          <w:shd w:val="clear" w:color="auto" w:fill="FFFF99"/>
          <w:rtl/>
        </w:rPr>
        <w:t xml:space="preserve"> מיום 18.11.2004 עמ' 166</w:t>
      </w:r>
    </w:p>
    <w:p w14:paraId="3461F21A" w14:textId="77777777" w:rsidR="00886236" w:rsidRPr="00FA052E" w:rsidRDefault="00886236" w:rsidP="00FA052E">
      <w:pPr>
        <w:pStyle w:val="P00"/>
        <w:spacing w:before="0"/>
        <w:ind w:left="0" w:right="1134"/>
        <w:rPr>
          <w:rStyle w:val="big-number"/>
          <w:rFonts w:cs="FrankRuehl" w:hint="cs"/>
          <w:sz w:val="2"/>
          <w:szCs w:val="2"/>
          <w:highlight w:val="yellow"/>
          <w:rtl/>
        </w:rPr>
      </w:pPr>
      <w:r w:rsidRPr="00BE38D3">
        <w:rPr>
          <w:rFonts w:cs="FrankRuehl" w:hint="cs"/>
          <w:b/>
          <w:bCs/>
          <w:vanish/>
          <w:szCs w:val="20"/>
          <w:shd w:val="clear" w:color="auto" w:fill="FFFF99"/>
          <w:rtl/>
        </w:rPr>
        <w:t>הוספת פרט משנה 2(ד)</w:t>
      </w:r>
      <w:bookmarkEnd w:id="16"/>
    </w:p>
    <w:p w14:paraId="2C918D7D" w14:textId="77777777" w:rsidR="00073216" w:rsidRDefault="00073216">
      <w:pPr>
        <w:pStyle w:val="P00"/>
        <w:spacing w:before="72"/>
        <w:ind w:left="0" w:right="1134"/>
        <w:rPr>
          <w:rStyle w:val="default"/>
          <w:rFonts w:cs="FrankRuehl" w:hint="cs"/>
          <w:rtl/>
        </w:rPr>
      </w:pPr>
    </w:p>
    <w:p w14:paraId="66EDB72B" w14:textId="77777777" w:rsidR="00073216" w:rsidRDefault="00073216">
      <w:pPr>
        <w:pStyle w:val="P00"/>
        <w:spacing w:before="72"/>
        <w:ind w:left="0" w:right="1134"/>
        <w:rPr>
          <w:rStyle w:val="default"/>
          <w:rFonts w:cs="FrankRuehl"/>
          <w:rtl/>
        </w:rPr>
      </w:pPr>
    </w:p>
    <w:p w14:paraId="4898E6C1" w14:textId="77777777" w:rsidR="00073216" w:rsidRDefault="00073216">
      <w:pPr>
        <w:pStyle w:val="sig-0"/>
        <w:ind w:left="0" w:right="1134"/>
        <w:rPr>
          <w:rFonts w:cs="FrankRuehl" w:hint="cs"/>
          <w:sz w:val="26"/>
          <w:rtl/>
        </w:rPr>
      </w:pPr>
      <w:r>
        <w:rPr>
          <w:rFonts w:cs="FrankRuehl" w:hint="cs"/>
          <w:sz w:val="26"/>
          <w:rtl/>
        </w:rPr>
        <w:t>ח' בכסלו התשס"ג (13 בנובמבר 2002)</w:t>
      </w:r>
      <w:r>
        <w:rPr>
          <w:rFonts w:cs="FrankRuehl"/>
          <w:sz w:val="26"/>
          <w:rtl/>
        </w:rPr>
        <w:tab/>
      </w:r>
      <w:r>
        <w:rPr>
          <w:rFonts w:cs="FrankRuehl" w:hint="cs"/>
          <w:sz w:val="26"/>
          <w:rtl/>
        </w:rPr>
        <w:t>ניסים דהן</w:t>
      </w:r>
    </w:p>
    <w:p w14:paraId="2CD956CD" w14:textId="77777777" w:rsidR="00073216" w:rsidRDefault="00073216">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הבריאות</w:t>
      </w:r>
    </w:p>
    <w:p w14:paraId="28E3C466" w14:textId="77777777" w:rsidR="00073216" w:rsidRDefault="00073216" w:rsidP="00455859">
      <w:pPr>
        <w:pStyle w:val="P00"/>
        <w:spacing w:before="72"/>
        <w:ind w:left="0" w:right="1134"/>
        <w:rPr>
          <w:rStyle w:val="default"/>
          <w:rFonts w:cs="FrankRuehl" w:hint="cs"/>
          <w:rtl/>
        </w:rPr>
      </w:pPr>
    </w:p>
    <w:p w14:paraId="44F2534C" w14:textId="77777777" w:rsidR="00455859" w:rsidRPr="00455859" w:rsidRDefault="00455859" w:rsidP="00455859">
      <w:pPr>
        <w:pStyle w:val="P00"/>
        <w:spacing w:before="72"/>
        <w:ind w:left="0" w:right="1134"/>
        <w:rPr>
          <w:rStyle w:val="default"/>
          <w:rFonts w:cs="FrankRuehl" w:hint="cs"/>
          <w:rtl/>
        </w:rPr>
      </w:pPr>
    </w:p>
    <w:p w14:paraId="1F726713" w14:textId="77777777" w:rsidR="00073216" w:rsidRPr="00455859" w:rsidRDefault="00073216" w:rsidP="00455859">
      <w:pPr>
        <w:pStyle w:val="P00"/>
        <w:spacing w:before="72"/>
        <w:ind w:left="0" w:right="1134"/>
        <w:rPr>
          <w:rStyle w:val="default"/>
          <w:rFonts w:cs="FrankRuehl" w:hint="cs"/>
          <w:rtl/>
        </w:rPr>
      </w:pPr>
    </w:p>
    <w:sectPr w:rsidR="00073216" w:rsidRPr="00455859">
      <w:headerReference w:type="even" r:id="rId36"/>
      <w:headerReference w:type="default" r:id="rId37"/>
      <w:footerReference w:type="even" r:id="rId38"/>
      <w:footerReference w:type="default" r:id="rId3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B56A8" w14:textId="77777777" w:rsidR="00D11350" w:rsidRDefault="00D11350">
      <w:r>
        <w:separator/>
      </w:r>
    </w:p>
  </w:endnote>
  <w:endnote w:type="continuationSeparator" w:id="0">
    <w:p w14:paraId="31917769" w14:textId="77777777" w:rsidR="00D11350" w:rsidRDefault="00D11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9FD2" w14:textId="77777777" w:rsidR="00073216" w:rsidRDefault="0007321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6993EC9" w14:textId="77777777" w:rsidR="00073216" w:rsidRDefault="0007321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00A9CD5" w14:textId="77777777" w:rsidR="00073216" w:rsidRDefault="0007321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F7625">
      <w:rPr>
        <w:rFonts w:cs="TopType Jerushalmi"/>
        <w:noProof/>
        <w:color w:val="000000"/>
        <w:sz w:val="14"/>
        <w:szCs w:val="14"/>
      </w:rPr>
      <w:t>D:\Yael\hakika\Revadim\999_010.doc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407DF" w14:textId="77777777" w:rsidR="00073216" w:rsidRDefault="0007321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81647">
      <w:rPr>
        <w:rFonts w:hAnsi="FrankRuehl" w:cs="FrankRuehl"/>
        <w:noProof/>
        <w:sz w:val="24"/>
        <w:szCs w:val="24"/>
        <w:rtl/>
      </w:rPr>
      <w:t>2</w:t>
    </w:r>
    <w:r>
      <w:rPr>
        <w:rFonts w:hAnsi="FrankRuehl" w:cs="FrankRuehl"/>
        <w:sz w:val="24"/>
        <w:szCs w:val="24"/>
        <w:rtl/>
      </w:rPr>
      <w:fldChar w:fldCharType="end"/>
    </w:r>
  </w:p>
  <w:p w14:paraId="300EE701" w14:textId="77777777" w:rsidR="00073216" w:rsidRDefault="0007321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6C0E7E8" w14:textId="77777777" w:rsidR="00073216" w:rsidRDefault="0007321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F7625">
      <w:rPr>
        <w:rFonts w:cs="TopType Jerushalmi"/>
        <w:noProof/>
        <w:color w:val="000000"/>
        <w:sz w:val="14"/>
        <w:szCs w:val="14"/>
      </w:rPr>
      <w:t>D:\Yael\hakika\Revadim\999_010.doc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368A5" w14:textId="77777777" w:rsidR="00D11350" w:rsidRDefault="00D11350" w:rsidP="00DF7625">
      <w:pPr>
        <w:spacing w:before="60" w:line="240" w:lineRule="auto"/>
        <w:ind w:right="1134"/>
      </w:pPr>
      <w:r>
        <w:separator/>
      </w:r>
    </w:p>
  </w:footnote>
  <w:footnote w:type="continuationSeparator" w:id="0">
    <w:p w14:paraId="026177DA" w14:textId="77777777" w:rsidR="00D11350" w:rsidRDefault="00D11350">
      <w:r>
        <w:continuationSeparator/>
      </w:r>
    </w:p>
  </w:footnote>
  <w:footnote w:id="1">
    <w:p w14:paraId="2A70AAC5" w14:textId="77777777" w:rsidR="00073216" w:rsidRDefault="000732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AE3F12">
          <w:rPr>
            <w:rStyle w:val="Hyperlink"/>
            <w:rFonts w:cs="FrankRuehl" w:hint="cs"/>
            <w:rtl/>
          </w:rPr>
          <w:t>ק"ת תשס"ג מס</w:t>
        </w:r>
        <w:r w:rsidRPr="00AE3F12">
          <w:rPr>
            <w:rStyle w:val="Hyperlink"/>
            <w:rFonts w:cs="FrankRuehl" w:hint="cs"/>
            <w:rtl/>
          </w:rPr>
          <w:t>'</w:t>
        </w:r>
        <w:r w:rsidRPr="00AE3F12">
          <w:rPr>
            <w:rStyle w:val="Hyperlink"/>
            <w:rFonts w:cs="FrankRuehl" w:hint="cs"/>
            <w:rtl/>
          </w:rPr>
          <w:t xml:space="preserve"> 6211</w:t>
        </w:r>
      </w:hyperlink>
      <w:r>
        <w:rPr>
          <w:rFonts w:cs="FrankRuehl" w:hint="cs"/>
          <w:rtl/>
        </w:rPr>
        <w:t xml:space="preserve"> מיום 28.11.2002 עמ' 227.</w:t>
      </w:r>
    </w:p>
    <w:p w14:paraId="3F541BC9" w14:textId="77777777" w:rsidR="00073216" w:rsidRDefault="000732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AE3F12">
          <w:rPr>
            <w:rStyle w:val="Hyperlink"/>
            <w:rFonts w:cs="FrankRuehl" w:hint="cs"/>
            <w:rtl/>
          </w:rPr>
          <w:t>ק"ת תשס"ג מס' 6226</w:t>
        </w:r>
      </w:hyperlink>
      <w:r>
        <w:rPr>
          <w:rFonts w:cs="FrankRuehl" w:hint="cs"/>
          <w:rtl/>
        </w:rPr>
        <w:t xml:space="preserve"> מיום 12.2.2003 עמ' 512 </w:t>
      </w:r>
      <w:r>
        <w:rPr>
          <w:rFonts w:cs="FrankRuehl"/>
          <w:rtl/>
        </w:rPr>
        <w:t>–</w:t>
      </w:r>
      <w:r>
        <w:rPr>
          <w:rFonts w:cs="FrankRuehl" w:hint="cs"/>
          <w:rtl/>
        </w:rPr>
        <w:t xml:space="preserve"> צו תשס"ג-2003; תחילתו 8 חודשים מיום פרסומו.</w:t>
      </w:r>
    </w:p>
    <w:p w14:paraId="18BACE28" w14:textId="77777777" w:rsidR="00BE38D3" w:rsidRDefault="00F45EFB" w:rsidP="00F45E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ת"ט </w:t>
      </w:r>
      <w:hyperlink r:id="rId3" w:history="1">
        <w:r w:rsidRPr="00F45EFB">
          <w:rPr>
            <w:rStyle w:val="Hyperlink"/>
            <w:rFonts w:cs="FrankRuehl" w:hint="cs"/>
            <w:rtl/>
          </w:rPr>
          <w:t>ק"ת תשס"ד מס' 6268</w:t>
        </w:r>
      </w:hyperlink>
      <w:r>
        <w:rPr>
          <w:rFonts w:cs="FrankRuehl" w:hint="cs"/>
          <w:rtl/>
        </w:rPr>
        <w:t xml:space="preserve"> מיום 1.10.2003 עמ' 8.</w:t>
      </w:r>
    </w:p>
    <w:p w14:paraId="518389BB" w14:textId="77777777" w:rsidR="00073216" w:rsidRDefault="00AE3F12" w:rsidP="00F45E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BE38D3">
          <w:rPr>
            <w:rStyle w:val="Hyperlink"/>
            <w:rFonts w:cs="FrankRuehl" w:hint="cs"/>
            <w:rtl/>
          </w:rPr>
          <w:t>ק"ת תשס"ד מ</w:t>
        </w:r>
        <w:r w:rsidR="00073216" w:rsidRPr="00AE3F12">
          <w:rPr>
            <w:rStyle w:val="Hyperlink"/>
            <w:rFonts w:cs="FrankRuehl" w:hint="cs"/>
            <w:rtl/>
          </w:rPr>
          <w:t>ס' 6302</w:t>
        </w:r>
      </w:hyperlink>
      <w:r w:rsidR="00073216">
        <w:rPr>
          <w:rFonts w:cs="FrankRuehl" w:hint="cs"/>
          <w:rtl/>
        </w:rPr>
        <w:t xml:space="preserve"> מיום 1.4.2004 עמ' 362 </w:t>
      </w:r>
      <w:r w:rsidR="00073216">
        <w:rPr>
          <w:rFonts w:cs="FrankRuehl"/>
          <w:rtl/>
        </w:rPr>
        <w:t>–</w:t>
      </w:r>
      <w:r w:rsidR="00073216">
        <w:rPr>
          <w:rFonts w:cs="FrankRuehl" w:hint="cs"/>
          <w:rtl/>
        </w:rPr>
        <w:t xml:space="preserve"> צו תשס"ד-20</w:t>
      </w:r>
      <w:r w:rsidR="00A56D29">
        <w:rPr>
          <w:rFonts w:cs="FrankRuehl" w:hint="cs"/>
          <w:rtl/>
        </w:rPr>
        <w:t>04; תחילתו 8 חודשים מיום פרסומו</w:t>
      </w:r>
      <w:r w:rsidR="00073216">
        <w:rPr>
          <w:rFonts w:cs="FrankRuehl" w:hint="cs"/>
          <w:rtl/>
        </w:rPr>
        <w:t xml:space="preserve"> </w:t>
      </w:r>
      <w:r w:rsidR="00A56D29">
        <w:rPr>
          <w:rFonts w:cs="FrankRuehl" w:hint="cs"/>
          <w:rtl/>
        </w:rPr>
        <w:t>ו</w:t>
      </w:r>
      <w:r w:rsidR="00073216">
        <w:rPr>
          <w:rFonts w:cs="FrankRuehl" w:hint="cs"/>
          <w:rtl/>
        </w:rPr>
        <w:t>ר' סעיף 7 לענין</w:t>
      </w:r>
      <w:r w:rsidR="00A56D29">
        <w:rPr>
          <w:rFonts w:cs="FrankRuehl" w:hint="cs"/>
          <w:rtl/>
        </w:rPr>
        <w:t xml:space="preserve"> הוראת מעבר</w:t>
      </w:r>
      <w:r w:rsidR="00073216">
        <w:rPr>
          <w:rFonts w:cs="FrankRuehl" w:hint="cs"/>
          <w:rtl/>
        </w:rPr>
        <w:t>.</w:t>
      </w:r>
    </w:p>
    <w:p w14:paraId="3E47A36D" w14:textId="77777777" w:rsidR="00073216" w:rsidRDefault="000732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ק"ת תשס"ה מס' 6349</w:t>
        </w:r>
      </w:hyperlink>
      <w:r>
        <w:rPr>
          <w:rFonts w:cs="FrankRuehl" w:hint="cs"/>
          <w:rtl/>
        </w:rPr>
        <w:t xml:space="preserve"> מיום 18.11.2004 עמ' 165 </w:t>
      </w:r>
      <w:r>
        <w:rPr>
          <w:rFonts w:cs="FrankRuehl"/>
          <w:rtl/>
        </w:rPr>
        <w:t>–</w:t>
      </w:r>
      <w:r>
        <w:rPr>
          <w:rFonts w:cs="FrankRuehl" w:hint="cs"/>
          <w:rtl/>
        </w:rPr>
        <w:t xml:space="preserve"> צו תשס"ה-2004; תחילתו ביום 1.12.2004.</w:t>
      </w:r>
    </w:p>
    <w:p w14:paraId="5D5553EE" w14:textId="77777777" w:rsidR="00073216" w:rsidRDefault="00073216">
      <w:pPr>
        <w:pStyle w:val="footnote"/>
        <w:tabs>
          <w:tab w:val="left" w:pos="624"/>
          <w:tab w:val="left" w:pos="1021"/>
          <w:tab w:val="left" w:pos="1474"/>
          <w:tab w:val="left" w:pos="1928"/>
          <w:tab w:val="left" w:pos="2381"/>
          <w:tab w:val="left" w:pos="2835"/>
          <w:tab w:val="right" w:leader="dot" w:pos="6259"/>
        </w:tabs>
        <w:bidi w:val="0"/>
        <w:spacing w:before="72"/>
        <w:ind w:left="0" w:right="1134"/>
        <w:rPr>
          <w:rFonts w:cs="FrankRuehl"/>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18169" w14:textId="77777777" w:rsidR="00073216" w:rsidRDefault="0007321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19918  --[ תקנות הסדרים במשק המדינה (הנחה מארנונה), תשנ"ג- 1993</w:t>
    </w:r>
  </w:p>
  <w:p w14:paraId="56DE8291" w14:textId="77777777" w:rsidR="00073216" w:rsidRDefault="0007321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143E452" w14:textId="77777777" w:rsidR="00073216" w:rsidRDefault="0007321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F84B3" w14:textId="77777777" w:rsidR="00073216" w:rsidRDefault="0007321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הגבלת הפרסומת והשיווק של מוצרי טבק (שינוי נוסחי אזהרה), תשס"ג-2002</w:t>
    </w:r>
  </w:p>
  <w:p w14:paraId="6C628F2E" w14:textId="77777777" w:rsidR="00073216" w:rsidRDefault="0007321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C1BD4D8" w14:textId="77777777" w:rsidR="00073216" w:rsidRDefault="0007321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0CD1"/>
    <w:rsid w:val="00040C9B"/>
    <w:rsid w:val="00047F5C"/>
    <w:rsid w:val="00073216"/>
    <w:rsid w:val="000E30E1"/>
    <w:rsid w:val="001133A5"/>
    <w:rsid w:val="0014156A"/>
    <w:rsid w:val="00192273"/>
    <w:rsid w:val="001B18DF"/>
    <w:rsid w:val="001B6D09"/>
    <w:rsid w:val="001C6FD2"/>
    <w:rsid w:val="002065FC"/>
    <w:rsid w:val="00244CED"/>
    <w:rsid w:val="00253D71"/>
    <w:rsid w:val="00270FE8"/>
    <w:rsid w:val="00273A10"/>
    <w:rsid w:val="002A30C3"/>
    <w:rsid w:val="003010F7"/>
    <w:rsid w:val="00355EE8"/>
    <w:rsid w:val="00355F82"/>
    <w:rsid w:val="003614A5"/>
    <w:rsid w:val="003A2C58"/>
    <w:rsid w:val="003B64F4"/>
    <w:rsid w:val="00404BC7"/>
    <w:rsid w:val="00440032"/>
    <w:rsid w:val="00452853"/>
    <w:rsid w:val="00455859"/>
    <w:rsid w:val="0047585D"/>
    <w:rsid w:val="004863F9"/>
    <w:rsid w:val="004D4496"/>
    <w:rsid w:val="004E3F7A"/>
    <w:rsid w:val="004F366B"/>
    <w:rsid w:val="005045F7"/>
    <w:rsid w:val="00505182"/>
    <w:rsid w:val="005776E6"/>
    <w:rsid w:val="005A5E06"/>
    <w:rsid w:val="005B0264"/>
    <w:rsid w:val="005C2384"/>
    <w:rsid w:val="0061617F"/>
    <w:rsid w:val="00637BCF"/>
    <w:rsid w:val="00654BEF"/>
    <w:rsid w:val="006600FC"/>
    <w:rsid w:val="0066343E"/>
    <w:rsid w:val="006636E9"/>
    <w:rsid w:val="00672DE8"/>
    <w:rsid w:val="006829A7"/>
    <w:rsid w:val="006A6031"/>
    <w:rsid w:val="006A6D45"/>
    <w:rsid w:val="006C7A52"/>
    <w:rsid w:val="0070209E"/>
    <w:rsid w:val="007024AB"/>
    <w:rsid w:val="00782CB0"/>
    <w:rsid w:val="007A7243"/>
    <w:rsid w:val="008000F1"/>
    <w:rsid w:val="00841178"/>
    <w:rsid w:val="00881647"/>
    <w:rsid w:val="00886236"/>
    <w:rsid w:val="008D2E4C"/>
    <w:rsid w:val="008E1B39"/>
    <w:rsid w:val="008F0415"/>
    <w:rsid w:val="00901DC6"/>
    <w:rsid w:val="0091498A"/>
    <w:rsid w:val="009C4E42"/>
    <w:rsid w:val="00A32E1A"/>
    <w:rsid w:val="00A56D29"/>
    <w:rsid w:val="00A604E1"/>
    <w:rsid w:val="00A864DA"/>
    <w:rsid w:val="00A93F73"/>
    <w:rsid w:val="00A96AF7"/>
    <w:rsid w:val="00AB104D"/>
    <w:rsid w:val="00AB282C"/>
    <w:rsid w:val="00AE3F12"/>
    <w:rsid w:val="00B83713"/>
    <w:rsid w:val="00B97223"/>
    <w:rsid w:val="00BE38D3"/>
    <w:rsid w:val="00C115B3"/>
    <w:rsid w:val="00C159A7"/>
    <w:rsid w:val="00C549D8"/>
    <w:rsid w:val="00CA4491"/>
    <w:rsid w:val="00CC14B2"/>
    <w:rsid w:val="00CD1EFE"/>
    <w:rsid w:val="00CF36E5"/>
    <w:rsid w:val="00CF5D7B"/>
    <w:rsid w:val="00CF761F"/>
    <w:rsid w:val="00D11350"/>
    <w:rsid w:val="00D324A1"/>
    <w:rsid w:val="00D33BB3"/>
    <w:rsid w:val="00D43DED"/>
    <w:rsid w:val="00D623F5"/>
    <w:rsid w:val="00D86103"/>
    <w:rsid w:val="00DC1636"/>
    <w:rsid w:val="00DF0CD1"/>
    <w:rsid w:val="00DF7625"/>
    <w:rsid w:val="00E4441B"/>
    <w:rsid w:val="00E83353"/>
    <w:rsid w:val="00F04D0C"/>
    <w:rsid w:val="00F36AB5"/>
    <w:rsid w:val="00F45EFB"/>
    <w:rsid w:val="00F85BAA"/>
    <w:rsid w:val="00FA052E"/>
    <w:rsid w:val="00FB0369"/>
    <w:rsid w:val="00FB714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5A86571"/>
  <w15:chartTrackingRefBased/>
  <w15:docId w15:val="{87008FD7-D966-4DFC-B2BE-74FCC59F0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3">
    <w:name w:val="P03"/>
    <w:basedOn w:val="P00"/>
    <w:pPr>
      <w:ind w:right="1474" w:hanging="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05">
    <w:name w:val="P05"/>
    <w:basedOn w:val="P00"/>
    <w:pPr>
      <w:ind w:right="2381" w:hanging="238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Body Text"/>
    <w:basedOn w:val="a"/>
    <w:rPr>
      <w:rFonts w:cs="Miriam"/>
      <w:sz w:val="18"/>
      <w:szCs w:val="18"/>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paragraph" w:styleId="2">
    <w:name w:val="Body Text 2"/>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349.pdf" TargetMode="External"/><Relationship Id="rId18" Type="http://schemas.openxmlformats.org/officeDocument/2006/relationships/image" Target="media/image2.emf"/><Relationship Id="rId26" Type="http://schemas.openxmlformats.org/officeDocument/2006/relationships/image" Target="media/image10.emf"/><Relationship Id="rId39" Type="http://schemas.openxmlformats.org/officeDocument/2006/relationships/footer" Target="footer2.xml"/><Relationship Id="rId21" Type="http://schemas.openxmlformats.org/officeDocument/2006/relationships/image" Target="media/image5.emf"/><Relationship Id="rId34" Type="http://schemas.openxmlformats.org/officeDocument/2006/relationships/hyperlink" Target="http://www.nevo.co.il/Law_word/law06/TAK-6302.pdf" TargetMode="External"/><Relationship Id="rId7" Type="http://schemas.openxmlformats.org/officeDocument/2006/relationships/hyperlink" Target="http://www.nevo.co.il/Law_word/law06/TAK-6226.pdf" TargetMode="External"/><Relationship Id="rId2" Type="http://schemas.openxmlformats.org/officeDocument/2006/relationships/settings" Target="settings.xml"/><Relationship Id="rId16" Type="http://schemas.openxmlformats.org/officeDocument/2006/relationships/hyperlink" Target="http://www.nevo.co.il/Law_word/law06/TAK-6302.pdf" TargetMode="External"/><Relationship Id="rId20" Type="http://schemas.openxmlformats.org/officeDocument/2006/relationships/image" Target="media/image4.emf"/><Relationship Id="rId29" Type="http://schemas.openxmlformats.org/officeDocument/2006/relationships/image" Target="media/image13.emf"/><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6349.pdf" TargetMode="External"/><Relationship Id="rId11" Type="http://schemas.openxmlformats.org/officeDocument/2006/relationships/hyperlink" Target="http://www.nevo.co.il/Law_word/law06/TAK-6226.pdf" TargetMode="External"/><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6302.pdf" TargetMode="External"/><Relationship Id="rId23" Type="http://schemas.openxmlformats.org/officeDocument/2006/relationships/image" Target="media/image7.emf"/><Relationship Id="rId28" Type="http://schemas.openxmlformats.org/officeDocument/2006/relationships/image" Target="media/image12.emf"/><Relationship Id="rId36" Type="http://schemas.openxmlformats.org/officeDocument/2006/relationships/header" Target="header1.xml"/><Relationship Id="rId10" Type="http://schemas.openxmlformats.org/officeDocument/2006/relationships/hyperlink" Target="http://www.nevo.co.il/Law_word/law06/TAK-6226.pdf" TargetMode="External"/><Relationship Id="rId19" Type="http://schemas.openxmlformats.org/officeDocument/2006/relationships/image" Target="media/image3.emf"/><Relationship Id="rId31" Type="http://schemas.openxmlformats.org/officeDocument/2006/relationships/image" Target="media/image15.emf"/><Relationship Id="rId4" Type="http://schemas.openxmlformats.org/officeDocument/2006/relationships/footnotes" Target="footnotes.xml"/><Relationship Id="rId9" Type="http://schemas.openxmlformats.org/officeDocument/2006/relationships/hyperlink" Target="http://www.nevo.co.il/Law_word/law06/TAK-6349.pdf" TargetMode="External"/><Relationship Id="rId14" Type="http://schemas.openxmlformats.org/officeDocument/2006/relationships/hyperlink" Target="http://www.nevo.co.il/Law_word/law06/TAK-6302.pdf" TargetMode="Externa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image" Target="media/image14.emf"/><Relationship Id="rId35" Type="http://schemas.openxmlformats.org/officeDocument/2006/relationships/hyperlink" Target="http://www.nevo.co.il/Law_word/law06/TAK-6349.pdf" TargetMode="External"/><Relationship Id="rId8" Type="http://schemas.openxmlformats.org/officeDocument/2006/relationships/hyperlink" Target="http://www.nevo.co.il/Law_word/law06/TAK-6302.pdf" TargetMode="External"/><Relationship Id="rId3" Type="http://schemas.openxmlformats.org/officeDocument/2006/relationships/webSettings" Target="webSettings.xml"/><Relationship Id="rId12" Type="http://schemas.openxmlformats.org/officeDocument/2006/relationships/hyperlink" Target="http://www.nevo.co.il/Law_word/law06/TAK-6302.pdf" TargetMode="External"/><Relationship Id="rId17" Type="http://schemas.openxmlformats.org/officeDocument/2006/relationships/image" Target="media/image1.emf"/><Relationship Id="rId25" Type="http://schemas.openxmlformats.org/officeDocument/2006/relationships/image" Target="media/image9.emf"/><Relationship Id="rId33" Type="http://schemas.openxmlformats.org/officeDocument/2006/relationships/image" Target="media/image17.emf"/><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268.pdf" TargetMode="External"/><Relationship Id="rId2" Type="http://schemas.openxmlformats.org/officeDocument/2006/relationships/hyperlink" Target="http://www.nevo.co.il/Law_word/law06/TAK-6226.pdf" TargetMode="External"/><Relationship Id="rId1" Type="http://schemas.openxmlformats.org/officeDocument/2006/relationships/hyperlink" Target="http://www.nevo.co.il/Law_word/law06/TAK-6211.pdf" TargetMode="External"/><Relationship Id="rId5" Type="http://schemas.openxmlformats.org/officeDocument/2006/relationships/hyperlink" Target="http://www.nevo.co.il/Law_word/law06/TAK-6349.pdf" TargetMode="External"/><Relationship Id="rId4" Type="http://schemas.openxmlformats.org/officeDocument/2006/relationships/hyperlink" Target="http://www.nevo.co.il/Law_word/law06/TAK-630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פרק 297</vt:lpstr>
    </vt:vector>
  </TitlesOfParts>
  <Company/>
  <LinksUpToDate>false</LinksUpToDate>
  <CharactersWithSpaces>9557</CharactersWithSpaces>
  <SharedDoc>false</SharedDoc>
  <HLinks>
    <vt:vector size="162" baseType="variant">
      <vt:variant>
        <vt:i4>8060930</vt:i4>
      </vt:variant>
      <vt:variant>
        <vt:i4>90</vt:i4>
      </vt:variant>
      <vt:variant>
        <vt:i4>0</vt:i4>
      </vt:variant>
      <vt:variant>
        <vt:i4>5</vt:i4>
      </vt:variant>
      <vt:variant>
        <vt:lpwstr>http://www.nevo.co.il/Law_word/law06/TAK-6349.pdf</vt:lpwstr>
      </vt:variant>
      <vt:variant>
        <vt:lpwstr/>
      </vt:variant>
      <vt:variant>
        <vt:i4>8323081</vt:i4>
      </vt:variant>
      <vt:variant>
        <vt:i4>87</vt:i4>
      </vt:variant>
      <vt:variant>
        <vt:i4>0</vt:i4>
      </vt:variant>
      <vt:variant>
        <vt:i4>5</vt:i4>
      </vt:variant>
      <vt:variant>
        <vt:lpwstr>http://www.nevo.co.il/Law_word/law06/TAK-6302.pdf</vt:lpwstr>
      </vt:variant>
      <vt:variant>
        <vt:lpwstr/>
      </vt:variant>
      <vt:variant>
        <vt:i4>8323081</vt:i4>
      </vt:variant>
      <vt:variant>
        <vt:i4>84</vt:i4>
      </vt:variant>
      <vt:variant>
        <vt:i4>0</vt:i4>
      </vt:variant>
      <vt:variant>
        <vt:i4>5</vt:i4>
      </vt:variant>
      <vt:variant>
        <vt:lpwstr>http://www.nevo.co.il/Law_word/law06/TAK-6302.pdf</vt:lpwstr>
      </vt:variant>
      <vt:variant>
        <vt:lpwstr/>
      </vt:variant>
      <vt:variant>
        <vt:i4>8323081</vt:i4>
      </vt:variant>
      <vt:variant>
        <vt:i4>81</vt:i4>
      </vt:variant>
      <vt:variant>
        <vt:i4>0</vt:i4>
      </vt:variant>
      <vt:variant>
        <vt:i4>5</vt:i4>
      </vt:variant>
      <vt:variant>
        <vt:lpwstr>http://www.nevo.co.il/Law_word/law06/TAK-6302.pdf</vt:lpwstr>
      </vt:variant>
      <vt:variant>
        <vt:lpwstr/>
      </vt:variant>
      <vt:variant>
        <vt:i4>8323081</vt:i4>
      </vt:variant>
      <vt:variant>
        <vt:i4>78</vt:i4>
      </vt:variant>
      <vt:variant>
        <vt:i4>0</vt:i4>
      </vt:variant>
      <vt:variant>
        <vt:i4>5</vt:i4>
      </vt:variant>
      <vt:variant>
        <vt:lpwstr>http://www.nevo.co.il/Law_word/law06/TAK-6302.pdf</vt:lpwstr>
      </vt:variant>
      <vt:variant>
        <vt:lpwstr/>
      </vt:variant>
      <vt:variant>
        <vt:i4>8060930</vt:i4>
      </vt:variant>
      <vt:variant>
        <vt:i4>75</vt:i4>
      </vt:variant>
      <vt:variant>
        <vt:i4>0</vt:i4>
      </vt:variant>
      <vt:variant>
        <vt:i4>5</vt:i4>
      </vt:variant>
      <vt:variant>
        <vt:lpwstr>http://www.nevo.co.il/Law_word/law06/TAK-6349.pdf</vt:lpwstr>
      </vt:variant>
      <vt:variant>
        <vt:lpwstr/>
      </vt:variant>
      <vt:variant>
        <vt:i4>8323081</vt:i4>
      </vt:variant>
      <vt:variant>
        <vt:i4>72</vt:i4>
      </vt:variant>
      <vt:variant>
        <vt:i4>0</vt:i4>
      </vt:variant>
      <vt:variant>
        <vt:i4>5</vt:i4>
      </vt:variant>
      <vt:variant>
        <vt:lpwstr>http://www.nevo.co.il/Law_word/law06/TAK-6302.pdf</vt:lpwstr>
      </vt:variant>
      <vt:variant>
        <vt:lpwstr/>
      </vt:variant>
      <vt:variant>
        <vt:i4>8192012</vt:i4>
      </vt:variant>
      <vt:variant>
        <vt:i4>69</vt:i4>
      </vt:variant>
      <vt:variant>
        <vt:i4>0</vt:i4>
      </vt:variant>
      <vt:variant>
        <vt:i4>5</vt:i4>
      </vt:variant>
      <vt:variant>
        <vt:lpwstr>http://www.nevo.co.il/Law_word/law06/TAK-6226.pdf</vt:lpwstr>
      </vt:variant>
      <vt:variant>
        <vt:lpwstr/>
      </vt:variant>
      <vt:variant>
        <vt:i4>8192012</vt:i4>
      </vt:variant>
      <vt:variant>
        <vt:i4>66</vt:i4>
      </vt:variant>
      <vt:variant>
        <vt:i4>0</vt:i4>
      </vt:variant>
      <vt:variant>
        <vt:i4>5</vt:i4>
      </vt:variant>
      <vt:variant>
        <vt:lpwstr>http://www.nevo.co.il/Law_word/law06/TAK-6226.pdf</vt:lpwstr>
      </vt:variant>
      <vt:variant>
        <vt:lpwstr/>
      </vt:variant>
      <vt:variant>
        <vt:i4>8060930</vt:i4>
      </vt:variant>
      <vt:variant>
        <vt:i4>63</vt:i4>
      </vt:variant>
      <vt:variant>
        <vt:i4>0</vt:i4>
      </vt:variant>
      <vt:variant>
        <vt:i4>5</vt:i4>
      </vt:variant>
      <vt:variant>
        <vt:lpwstr>http://www.nevo.co.il/Law_word/law06/TAK-6349.pdf</vt:lpwstr>
      </vt:variant>
      <vt:variant>
        <vt:lpwstr/>
      </vt:variant>
      <vt:variant>
        <vt:i4>8323081</vt:i4>
      </vt:variant>
      <vt:variant>
        <vt:i4>60</vt:i4>
      </vt:variant>
      <vt:variant>
        <vt:i4>0</vt:i4>
      </vt:variant>
      <vt:variant>
        <vt:i4>5</vt:i4>
      </vt:variant>
      <vt:variant>
        <vt:lpwstr>http://www.nevo.co.il/Law_word/law06/TAK-6302.pdf</vt:lpwstr>
      </vt:variant>
      <vt:variant>
        <vt:lpwstr/>
      </vt:variant>
      <vt:variant>
        <vt:i4>8192012</vt:i4>
      </vt:variant>
      <vt:variant>
        <vt:i4>57</vt:i4>
      </vt:variant>
      <vt:variant>
        <vt:i4>0</vt:i4>
      </vt:variant>
      <vt:variant>
        <vt:i4>5</vt:i4>
      </vt:variant>
      <vt:variant>
        <vt:lpwstr>http://www.nevo.co.il/Law_word/law06/TAK-6226.pdf</vt:lpwstr>
      </vt:variant>
      <vt:variant>
        <vt:lpwstr/>
      </vt:variant>
      <vt:variant>
        <vt:i4>8060930</vt:i4>
      </vt:variant>
      <vt:variant>
        <vt:i4>54</vt:i4>
      </vt:variant>
      <vt:variant>
        <vt:i4>0</vt:i4>
      </vt:variant>
      <vt:variant>
        <vt:i4>5</vt:i4>
      </vt:variant>
      <vt:variant>
        <vt:lpwstr>http://www.nevo.co.il/Law_word/law06/TAK-6349.pdf</vt:lpwstr>
      </vt:variant>
      <vt:variant>
        <vt:lpwstr/>
      </vt:variant>
      <vt:variant>
        <vt:i4>5505033</vt:i4>
      </vt:variant>
      <vt:variant>
        <vt:i4>51</vt:i4>
      </vt:variant>
      <vt:variant>
        <vt:i4>0</vt:i4>
      </vt:variant>
      <vt:variant>
        <vt:i4>5</vt:i4>
      </vt:variant>
      <vt:variant>
        <vt:lpwstr/>
      </vt:variant>
      <vt:variant>
        <vt:lpwstr>med1</vt:lpwstr>
      </vt:variant>
      <vt:variant>
        <vt:i4>5570569</vt:i4>
      </vt:variant>
      <vt:variant>
        <vt:i4>45</vt:i4>
      </vt:variant>
      <vt:variant>
        <vt:i4>0</vt:i4>
      </vt:variant>
      <vt:variant>
        <vt:i4>5</vt:i4>
      </vt:variant>
      <vt:variant>
        <vt:lpwstr/>
      </vt:variant>
      <vt:variant>
        <vt:lpwstr>med0</vt:lpwstr>
      </vt:variant>
      <vt:variant>
        <vt:i4>196634</vt:i4>
      </vt:variant>
      <vt:variant>
        <vt:i4>39</vt:i4>
      </vt:variant>
      <vt:variant>
        <vt:i4>0</vt:i4>
      </vt:variant>
      <vt:variant>
        <vt:i4>5</vt:i4>
      </vt:variant>
      <vt:variant>
        <vt:lpwstr/>
      </vt:variant>
      <vt:variant>
        <vt:lpwstr>Seif5</vt:lpwstr>
      </vt:variant>
      <vt:variant>
        <vt:i4>196634</vt:i4>
      </vt:variant>
      <vt:variant>
        <vt:i4>33</vt:i4>
      </vt:variant>
      <vt:variant>
        <vt:i4>0</vt:i4>
      </vt:variant>
      <vt:variant>
        <vt:i4>5</vt:i4>
      </vt:variant>
      <vt:variant>
        <vt:lpwstr/>
      </vt:variant>
      <vt:variant>
        <vt:lpwstr>Seif4</vt:lpwstr>
      </vt:variant>
      <vt:variant>
        <vt:i4>196634</vt:i4>
      </vt:variant>
      <vt:variant>
        <vt:i4>27</vt:i4>
      </vt:variant>
      <vt:variant>
        <vt:i4>0</vt:i4>
      </vt:variant>
      <vt:variant>
        <vt:i4>5</vt:i4>
      </vt:variant>
      <vt:variant>
        <vt:lpwstr/>
      </vt:variant>
      <vt:variant>
        <vt:lpwstr>Seif6</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8060930</vt:i4>
      </vt:variant>
      <vt:variant>
        <vt:i4>12</vt:i4>
      </vt:variant>
      <vt:variant>
        <vt:i4>0</vt:i4>
      </vt:variant>
      <vt:variant>
        <vt:i4>5</vt:i4>
      </vt:variant>
      <vt:variant>
        <vt:lpwstr>http://www.nevo.co.il/Law_word/law06/TAK-6349.pdf</vt:lpwstr>
      </vt:variant>
      <vt:variant>
        <vt:lpwstr/>
      </vt:variant>
      <vt:variant>
        <vt:i4>8323081</vt:i4>
      </vt:variant>
      <vt:variant>
        <vt:i4>9</vt:i4>
      </vt:variant>
      <vt:variant>
        <vt:i4>0</vt:i4>
      </vt:variant>
      <vt:variant>
        <vt:i4>5</vt:i4>
      </vt:variant>
      <vt:variant>
        <vt:lpwstr>http://www.nevo.co.il/Law_word/law06/TAK-6302.pdf</vt:lpwstr>
      </vt:variant>
      <vt:variant>
        <vt:lpwstr/>
      </vt:variant>
      <vt:variant>
        <vt:i4>7929858</vt:i4>
      </vt:variant>
      <vt:variant>
        <vt:i4>6</vt:i4>
      </vt:variant>
      <vt:variant>
        <vt:i4>0</vt:i4>
      </vt:variant>
      <vt:variant>
        <vt:i4>5</vt:i4>
      </vt:variant>
      <vt:variant>
        <vt:lpwstr>http://www.nevo.co.il/Law_word/law06/tak-6268.pdf</vt:lpwstr>
      </vt:variant>
      <vt:variant>
        <vt:lpwstr/>
      </vt:variant>
      <vt:variant>
        <vt:i4>8192012</vt:i4>
      </vt:variant>
      <vt:variant>
        <vt:i4>3</vt:i4>
      </vt:variant>
      <vt:variant>
        <vt:i4>0</vt:i4>
      </vt:variant>
      <vt:variant>
        <vt:i4>5</vt:i4>
      </vt:variant>
      <vt:variant>
        <vt:lpwstr>http://www.nevo.co.il/Law_word/law06/TAK-6226.pdf</vt:lpwstr>
      </vt:variant>
      <vt:variant>
        <vt:lpwstr/>
      </vt:variant>
      <vt:variant>
        <vt:i4>8257547</vt:i4>
      </vt:variant>
      <vt:variant>
        <vt:i4>0</vt:i4>
      </vt:variant>
      <vt:variant>
        <vt:i4>0</vt:i4>
      </vt:variant>
      <vt:variant>
        <vt:i4>5</vt:i4>
      </vt:variant>
      <vt:variant>
        <vt:lpwstr>http://www.nevo.co.il/Law_word/law06/TAK-6211.pdf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297</dc:title>
  <dc:subject/>
  <dc:creator>IBM</dc:creator>
  <cp:keywords/>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הגבלת הפרסומת והשיווק של מוצרי טבק (שינוי נוסחי אזהרה), תשס"ג-2002</vt:lpwstr>
  </property>
  <property fmtid="{D5CDD505-2E9C-101B-9397-08002B2CF9AE}" pid="4" name="LAWNUMBER">
    <vt:lpwstr>0010</vt:lpwstr>
  </property>
  <property fmtid="{D5CDD505-2E9C-101B-9397-08002B2CF9AE}" pid="5" name="TYPE">
    <vt:lpwstr>01</vt:lpwstr>
  </property>
  <property fmtid="{D5CDD505-2E9C-101B-9397-08002B2CF9AE}" pid="6" name="CHNAME">
    <vt:lpwstr/>
  </property>
  <property fmtid="{D5CDD505-2E9C-101B-9397-08002B2CF9AE}" pid="7" name="LINKK1">
    <vt:lpwstr>http://www.nevo.co.il/Law_word/law06/TAK-6349.pdf;רשומות - תקנות כלליות#ק"ת תשס"ה מס' 6349#מיום 18.11.2004#עמ' 165#צו תשס"ה-2004#תחילתו ביום 1.12.2004</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NOSE11">
    <vt:lpwstr>בריאות</vt:lpwstr>
  </property>
  <property fmtid="{D5CDD505-2E9C-101B-9397-08002B2CF9AE}" pid="18" name="NOSE21">
    <vt:lpwstr>עישון ומוצרי טבק</vt:lpwstr>
  </property>
  <property fmtid="{D5CDD505-2E9C-101B-9397-08002B2CF9AE}" pid="19" name="NOSE31">
    <vt:lpwstr>הגבלת מוצרי טבק</vt:lpwstr>
  </property>
  <property fmtid="{D5CDD505-2E9C-101B-9397-08002B2CF9AE}" pid="20" name="NOSE41">
    <vt:lpwstr/>
  </property>
  <property fmtid="{D5CDD505-2E9C-101B-9397-08002B2CF9AE}" pid="21" name="NOSE12">
    <vt:lpwstr/>
  </property>
  <property fmtid="{D5CDD505-2E9C-101B-9397-08002B2CF9AE}" pid="22" name="NOSE22">
    <vt:lpwstr/>
  </property>
  <property fmtid="{D5CDD505-2E9C-101B-9397-08002B2CF9AE}" pid="23" name="NOSE32">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_NAME1">
    <vt:lpwstr>חוק הגבלת הפרסומת למוצרי טבק לעישון</vt:lpwstr>
  </property>
  <property fmtid="{D5CDD505-2E9C-101B-9397-08002B2CF9AE}" pid="58" name="MEKOR_SAIF1">
    <vt:lpwstr>9XגX</vt:lpwstr>
  </property>
</Properties>
</file>