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699" w:rsidRDefault="00770699" w:rsidP="00CA1BA8">
      <w:pPr>
        <w:pStyle w:val="big-header"/>
        <w:ind w:left="0" w:right="1134"/>
        <w:rPr>
          <w:rFonts w:cs="FrankRuehl" w:hint="cs"/>
          <w:sz w:val="32"/>
        </w:rPr>
      </w:pPr>
      <w:r>
        <w:rPr>
          <w:rFonts w:cs="FrankRuehl"/>
          <w:sz w:val="32"/>
          <w:rtl/>
        </w:rPr>
        <w:t xml:space="preserve">צו הגז (בטיחות ורישוי) (מיתקנים </w:t>
      </w:r>
      <w:r w:rsidR="00CA1BA8">
        <w:rPr>
          <w:rFonts w:cs="FrankRuehl" w:hint="cs"/>
          <w:sz w:val="32"/>
          <w:rtl/>
        </w:rPr>
        <w:t>להולכת</w:t>
      </w:r>
      <w:r>
        <w:rPr>
          <w:rFonts w:cs="FrankRuehl"/>
          <w:sz w:val="32"/>
          <w:rtl/>
        </w:rPr>
        <w:t xml:space="preserve"> גז טבעי), </w:t>
      </w:r>
      <w:r w:rsidR="004F4B1F">
        <w:rPr>
          <w:rFonts w:cs="FrankRuehl" w:hint="cs"/>
          <w:sz w:val="32"/>
          <w:rtl/>
        </w:rPr>
        <w:t>תשע"ח-2018</w:t>
      </w:r>
    </w:p>
    <w:p w:rsidR="006662CF" w:rsidRPr="006662CF" w:rsidRDefault="006662CF" w:rsidP="006662CF">
      <w:pPr>
        <w:spacing w:line="320" w:lineRule="auto"/>
        <w:jc w:val="left"/>
        <w:rPr>
          <w:rFonts w:cs="FrankRuehl"/>
          <w:szCs w:val="26"/>
          <w:rtl/>
        </w:rPr>
      </w:pPr>
    </w:p>
    <w:p w:rsidR="006662CF" w:rsidRDefault="006662CF" w:rsidP="006662CF">
      <w:pPr>
        <w:spacing w:line="320" w:lineRule="auto"/>
        <w:jc w:val="left"/>
        <w:rPr>
          <w:rtl/>
        </w:rPr>
      </w:pPr>
    </w:p>
    <w:p w:rsidR="006662CF" w:rsidRPr="006662CF" w:rsidRDefault="006662CF" w:rsidP="006662CF">
      <w:pPr>
        <w:spacing w:line="320" w:lineRule="auto"/>
        <w:jc w:val="left"/>
        <w:rPr>
          <w:rFonts w:cs="Miriam"/>
          <w:szCs w:val="22"/>
          <w:rtl/>
        </w:rPr>
      </w:pPr>
      <w:r w:rsidRPr="006662CF">
        <w:rPr>
          <w:rFonts w:cs="Miriam"/>
          <w:szCs w:val="22"/>
          <w:rtl/>
        </w:rPr>
        <w:t>רשויות ומשפט מנהלי</w:t>
      </w:r>
      <w:r w:rsidRPr="006662CF">
        <w:rPr>
          <w:rFonts w:cs="FrankRuehl"/>
          <w:szCs w:val="26"/>
          <w:rtl/>
        </w:rPr>
        <w:t xml:space="preserve"> – תשתיות – גז</w:t>
      </w:r>
    </w:p>
    <w:p w:rsidR="00770699" w:rsidRDefault="0077069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46DC3" w:rsidRPr="00E46DC3" w:rsidTr="00E46DC3">
        <w:tblPrEx>
          <w:tblCellMar>
            <w:top w:w="0" w:type="dxa"/>
            <w:bottom w:w="0" w:type="dxa"/>
          </w:tblCellMar>
        </w:tblPrEx>
        <w:tc>
          <w:tcPr>
            <w:tcW w:w="1247" w:type="dxa"/>
          </w:tcPr>
          <w:p w:rsidR="00E46DC3" w:rsidRPr="00E46DC3" w:rsidRDefault="00E46DC3" w:rsidP="00E46DC3">
            <w:pPr>
              <w:spacing w:line="240" w:lineRule="auto"/>
              <w:jc w:val="left"/>
              <w:rPr>
                <w:rFonts w:cs="Frankruhel"/>
                <w:sz w:val="24"/>
                <w:rtl/>
              </w:rPr>
            </w:pPr>
            <w:r>
              <w:rPr>
                <w:sz w:val="24"/>
                <w:rtl/>
              </w:rPr>
              <w:t xml:space="preserve">סעיף 1 </w:t>
            </w:r>
          </w:p>
        </w:tc>
        <w:tc>
          <w:tcPr>
            <w:tcW w:w="5669" w:type="dxa"/>
          </w:tcPr>
          <w:p w:rsidR="00E46DC3" w:rsidRPr="00E46DC3" w:rsidRDefault="00E46DC3" w:rsidP="00E46DC3">
            <w:pPr>
              <w:spacing w:line="240" w:lineRule="auto"/>
              <w:jc w:val="left"/>
              <w:rPr>
                <w:rFonts w:cs="Frankruhel"/>
                <w:sz w:val="24"/>
                <w:rtl/>
              </w:rPr>
            </w:pPr>
            <w:r>
              <w:rPr>
                <w:sz w:val="24"/>
                <w:rtl/>
              </w:rPr>
              <w:t>הגדרות</w:t>
            </w:r>
          </w:p>
        </w:tc>
        <w:tc>
          <w:tcPr>
            <w:tcW w:w="567" w:type="dxa"/>
          </w:tcPr>
          <w:p w:rsidR="00E46DC3" w:rsidRPr="00E46DC3" w:rsidRDefault="00E46DC3" w:rsidP="00E46DC3">
            <w:pPr>
              <w:spacing w:line="240" w:lineRule="auto"/>
              <w:jc w:val="left"/>
              <w:rPr>
                <w:rStyle w:val="Hyperlink"/>
                <w:rtl/>
              </w:rPr>
            </w:pPr>
            <w:hyperlink w:anchor="Seif1" w:tooltip="הגדרות" w:history="1">
              <w:r w:rsidRPr="00E46DC3">
                <w:rPr>
                  <w:rStyle w:val="Hyperlink"/>
                </w:rPr>
                <w:t>Go</w:t>
              </w:r>
            </w:hyperlink>
          </w:p>
        </w:tc>
        <w:tc>
          <w:tcPr>
            <w:tcW w:w="850" w:type="dxa"/>
          </w:tcPr>
          <w:p w:rsidR="00E46DC3" w:rsidRPr="00E46DC3" w:rsidRDefault="00E46DC3" w:rsidP="00E46D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6DC3" w:rsidRPr="00E46DC3" w:rsidTr="00E46DC3">
        <w:tblPrEx>
          <w:tblCellMar>
            <w:top w:w="0" w:type="dxa"/>
            <w:bottom w:w="0" w:type="dxa"/>
          </w:tblCellMar>
        </w:tblPrEx>
        <w:tc>
          <w:tcPr>
            <w:tcW w:w="1247" w:type="dxa"/>
          </w:tcPr>
          <w:p w:rsidR="00E46DC3" w:rsidRPr="00E46DC3" w:rsidRDefault="00E46DC3" w:rsidP="00E46DC3">
            <w:pPr>
              <w:spacing w:line="240" w:lineRule="auto"/>
              <w:jc w:val="left"/>
              <w:rPr>
                <w:rFonts w:cs="Frankruhel"/>
                <w:sz w:val="24"/>
                <w:rtl/>
              </w:rPr>
            </w:pPr>
            <w:r>
              <w:rPr>
                <w:sz w:val="24"/>
                <w:rtl/>
              </w:rPr>
              <w:t xml:space="preserve">סעיף 2 </w:t>
            </w:r>
          </w:p>
        </w:tc>
        <w:tc>
          <w:tcPr>
            <w:tcW w:w="5669" w:type="dxa"/>
          </w:tcPr>
          <w:p w:rsidR="00E46DC3" w:rsidRPr="00E46DC3" w:rsidRDefault="00E46DC3" w:rsidP="00E46DC3">
            <w:pPr>
              <w:spacing w:line="240" w:lineRule="auto"/>
              <w:jc w:val="left"/>
              <w:rPr>
                <w:rFonts w:cs="Frankruhel"/>
                <w:sz w:val="24"/>
                <w:rtl/>
              </w:rPr>
            </w:pPr>
            <w:r>
              <w:rPr>
                <w:sz w:val="24"/>
                <w:rtl/>
              </w:rPr>
              <w:t>תכנון, הקמה והפעלה של מערכת הולכה</w:t>
            </w:r>
          </w:p>
        </w:tc>
        <w:tc>
          <w:tcPr>
            <w:tcW w:w="567" w:type="dxa"/>
          </w:tcPr>
          <w:p w:rsidR="00E46DC3" w:rsidRPr="00E46DC3" w:rsidRDefault="00E46DC3" w:rsidP="00E46DC3">
            <w:pPr>
              <w:spacing w:line="240" w:lineRule="auto"/>
              <w:jc w:val="left"/>
              <w:rPr>
                <w:rStyle w:val="Hyperlink"/>
                <w:rtl/>
              </w:rPr>
            </w:pPr>
            <w:hyperlink w:anchor="Seif2" w:tooltip="תכנון, הקמה והפעלה של מערכת הולכה" w:history="1">
              <w:r w:rsidRPr="00E46DC3">
                <w:rPr>
                  <w:rStyle w:val="Hyperlink"/>
                </w:rPr>
                <w:t>Go</w:t>
              </w:r>
            </w:hyperlink>
          </w:p>
        </w:tc>
        <w:tc>
          <w:tcPr>
            <w:tcW w:w="850" w:type="dxa"/>
          </w:tcPr>
          <w:p w:rsidR="00E46DC3" w:rsidRPr="00E46DC3" w:rsidRDefault="00E46DC3" w:rsidP="00E46D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6DC3" w:rsidRPr="00E46DC3" w:rsidTr="00E46DC3">
        <w:tblPrEx>
          <w:tblCellMar>
            <w:top w:w="0" w:type="dxa"/>
            <w:bottom w:w="0" w:type="dxa"/>
          </w:tblCellMar>
        </w:tblPrEx>
        <w:tc>
          <w:tcPr>
            <w:tcW w:w="1247" w:type="dxa"/>
          </w:tcPr>
          <w:p w:rsidR="00E46DC3" w:rsidRPr="00E46DC3" w:rsidRDefault="00E46DC3" w:rsidP="00E46DC3">
            <w:pPr>
              <w:spacing w:line="240" w:lineRule="auto"/>
              <w:jc w:val="left"/>
              <w:rPr>
                <w:rFonts w:cs="Frankruhel"/>
                <w:sz w:val="24"/>
                <w:rtl/>
              </w:rPr>
            </w:pPr>
            <w:r>
              <w:rPr>
                <w:sz w:val="24"/>
                <w:rtl/>
              </w:rPr>
              <w:t xml:space="preserve">סעיף 3 </w:t>
            </w:r>
          </w:p>
        </w:tc>
        <w:tc>
          <w:tcPr>
            <w:tcW w:w="5669" w:type="dxa"/>
          </w:tcPr>
          <w:p w:rsidR="00E46DC3" w:rsidRPr="00E46DC3" w:rsidRDefault="00E46DC3" w:rsidP="00E46DC3">
            <w:pPr>
              <w:spacing w:line="240" w:lineRule="auto"/>
              <w:jc w:val="left"/>
              <w:rPr>
                <w:rFonts w:cs="Frankruhel"/>
                <w:sz w:val="24"/>
                <w:rtl/>
              </w:rPr>
            </w:pPr>
            <w:r>
              <w:rPr>
                <w:sz w:val="24"/>
                <w:rtl/>
              </w:rPr>
              <w:t>ביצוע עבודות גז במיתקן גז טבעי קיים בשל שינוי בתקן</w:t>
            </w:r>
          </w:p>
        </w:tc>
        <w:tc>
          <w:tcPr>
            <w:tcW w:w="567" w:type="dxa"/>
          </w:tcPr>
          <w:p w:rsidR="00E46DC3" w:rsidRPr="00E46DC3" w:rsidRDefault="00E46DC3" w:rsidP="00E46DC3">
            <w:pPr>
              <w:spacing w:line="240" w:lineRule="auto"/>
              <w:jc w:val="left"/>
              <w:rPr>
                <w:rStyle w:val="Hyperlink"/>
                <w:rtl/>
              </w:rPr>
            </w:pPr>
            <w:hyperlink w:anchor="Seif3" w:tooltip="ביצוע עבודות גז במיתקן גז טבעי קיים בשל שינוי בתקן" w:history="1">
              <w:r w:rsidRPr="00E46DC3">
                <w:rPr>
                  <w:rStyle w:val="Hyperlink"/>
                </w:rPr>
                <w:t>Go</w:t>
              </w:r>
            </w:hyperlink>
          </w:p>
        </w:tc>
        <w:tc>
          <w:tcPr>
            <w:tcW w:w="850" w:type="dxa"/>
          </w:tcPr>
          <w:p w:rsidR="00E46DC3" w:rsidRPr="00E46DC3" w:rsidRDefault="00E46DC3" w:rsidP="00E46D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6DC3" w:rsidRPr="00E46DC3" w:rsidTr="00E46DC3">
        <w:tblPrEx>
          <w:tblCellMar>
            <w:top w:w="0" w:type="dxa"/>
            <w:bottom w:w="0" w:type="dxa"/>
          </w:tblCellMar>
        </w:tblPrEx>
        <w:tc>
          <w:tcPr>
            <w:tcW w:w="1247" w:type="dxa"/>
          </w:tcPr>
          <w:p w:rsidR="00E46DC3" w:rsidRPr="00E46DC3" w:rsidRDefault="00E46DC3" w:rsidP="00E46DC3">
            <w:pPr>
              <w:spacing w:line="240" w:lineRule="auto"/>
              <w:jc w:val="left"/>
              <w:rPr>
                <w:rFonts w:cs="Frankruhel"/>
                <w:sz w:val="24"/>
                <w:rtl/>
              </w:rPr>
            </w:pPr>
            <w:r>
              <w:rPr>
                <w:sz w:val="24"/>
                <w:rtl/>
              </w:rPr>
              <w:t xml:space="preserve">סעיף 4 </w:t>
            </w:r>
          </w:p>
        </w:tc>
        <w:tc>
          <w:tcPr>
            <w:tcW w:w="5669" w:type="dxa"/>
          </w:tcPr>
          <w:p w:rsidR="00E46DC3" w:rsidRPr="00E46DC3" w:rsidRDefault="00E46DC3" w:rsidP="00E46DC3">
            <w:pPr>
              <w:spacing w:line="240" w:lineRule="auto"/>
              <w:jc w:val="left"/>
              <w:rPr>
                <w:rFonts w:cs="Frankruhel"/>
                <w:sz w:val="24"/>
                <w:rtl/>
              </w:rPr>
            </w:pPr>
            <w:r>
              <w:rPr>
                <w:sz w:val="24"/>
                <w:rtl/>
              </w:rPr>
              <w:t>שמירת דינים</w:t>
            </w:r>
          </w:p>
        </w:tc>
        <w:tc>
          <w:tcPr>
            <w:tcW w:w="567" w:type="dxa"/>
          </w:tcPr>
          <w:p w:rsidR="00E46DC3" w:rsidRPr="00E46DC3" w:rsidRDefault="00E46DC3" w:rsidP="00E46DC3">
            <w:pPr>
              <w:spacing w:line="240" w:lineRule="auto"/>
              <w:jc w:val="left"/>
              <w:rPr>
                <w:rStyle w:val="Hyperlink"/>
                <w:rtl/>
              </w:rPr>
            </w:pPr>
            <w:hyperlink w:anchor="Seif4" w:tooltip="שמירת דינים" w:history="1">
              <w:r w:rsidRPr="00E46DC3">
                <w:rPr>
                  <w:rStyle w:val="Hyperlink"/>
                </w:rPr>
                <w:t>Go</w:t>
              </w:r>
            </w:hyperlink>
          </w:p>
        </w:tc>
        <w:tc>
          <w:tcPr>
            <w:tcW w:w="850" w:type="dxa"/>
          </w:tcPr>
          <w:p w:rsidR="00E46DC3" w:rsidRPr="00E46DC3" w:rsidRDefault="00E46DC3" w:rsidP="00E46D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6DC3" w:rsidRPr="00E46DC3" w:rsidTr="00E46DC3">
        <w:tblPrEx>
          <w:tblCellMar>
            <w:top w:w="0" w:type="dxa"/>
            <w:bottom w:w="0" w:type="dxa"/>
          </w:tblCellMar>
        </w:tblPrEx>
        <w:tc>
          <w:tcPr>
            <w:tcW w:w="1247" w:type="dxa"/>
          </w:tcPr>
          <w:p w:rsidR="00E46DC3" w:rsidRPr="00E46DC3" w:rsidRDefault="00E46DC3" w:rsidP="00E46DC3">
            <w:pPr>
              <w:spacing w:line="240" w:lineRule="auto"/>
              <w:jc w:val="left"/>
              <w:rPr>
                <w:rFonts w:cs="Frankruhel"/>
                <w:sz w:val="24"/>
                <w:rtl/>
              </w:rPr>
            </w:pPr>
            <w:r>
              <w:rPr>
                <w:sz w:val="24"/>
                <w:rtl/>
              </w:rPr>
              <w:t xml:space="preserve">סעיף 5 </w:t>
            </w:r>
          </w:p>
        </w:tc>
        <w:tc>
          <w:tcPr>
            <w:tcW w:w="5669" w:type="dxa"/>
          </w:tcPr>
          <w:p w:rsidR="00E46DC3" w:rsidRPr="00E46DC3" w:rsidRDefault="00E46DC3" w:rsidP="00E46DC3">
            <w:pPr>
              <w:spacing w:line="240" w:lineRule="auto"/>
              <w:jc w:val="left"/>
              <w:rPr>
                <w:rFonts w:cs="Frankruhel"/>
                <w:sz w:val="24"/>
                <w:rtl/>
              </w:rPr>
            </w:pPr>
            <w:r>
              <w:rPr>
                <w:sz w:val="24"/>
                <w:rtl/>
              </w:rPr>
              <w:t>העמדה לעיון הציבור</w:t>
            </w:r>
          </w:p>
        </w:tc>
        <w:tc>
          <w:tcPr>
            <w:tcW w:w="567" w:type="dxa"/>
          </w:tcPr>
          <w:p w:rsidR="00E46DC3" w:rsidRPr="00E46DC3" w:rsidRDefault="00E46DC3" w:rsidP="00E46DC3">
            <w:pPr>
              <w:spacing w:line="240" w:lineRule="auto"/>
              <w:jc w:val="left"/>
              <w:rPr>
                <w:rStyle w:val="Hyperlink"/>
                <w:rtl/>
              </w:rPr>
            </w:pPr>
            <w:hyperlink w:anchor="Seif5" w:tooltip="העמדה לעיון הציבור" w:history="1">
              <w:r w:rsidRPr="00E46DC3">
                <w:rPr>
                  <w:rStyle w:val="Hyperlink"/>
                </w:rPr>
                <w:t>Go</w:t>
              </w:r>
            </w:hyperlink>
          </w:p>
        </w:tc>
        <w:tc>
          <w:tcPr>
            <w:tcW w:w="850" w:type="dxa"/>
          </w:tcPr>
          <w:p w:rsidR="00E46DC3" w:rsidRPr="00E46DC3" w:rsidRDefault="00E46DC3" w:rsidP="00E46D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46DC3" w:rsidRPr="00E46DC3" w:rsidTr="00E46DC3">
        <w:tblPrEx>
          <w:tblCellMar>
            <w:top w:w="0" w:type="dxa"/>
            <w:bottom w:w="0" w:type="dxa"/>
          </w:tblCellMar>
        </w:tblPrEx>
        <w:tc>
          <w:tcPr>
            <w:tcW w:w="1247" w:type="dxa"/>
          </w:tcPr>
          <w:p w:rsidR="00E46DC3" w:rsidRPr="00E46DC3" w:rsidRDefault="00E46DC3" w:rsidP="00E46DC3">
            <w:pPr>
              <w:spacing w:line="240" w:lineRule="auto"/>
              <w:jc w:val="left"/>
              <w:rPr>
                <w:rFonts w:cs="Frankruhel"/>
                <w:sz w:val="24"/>
                <w:rtl/>
              </w:rPr>
            </w:pPr>
            <w:r>
              <w:rPr>
                <w:sz w:val="24"/>
                <w:rtl/>
              </w:rPr>
              <w:t xml:space="preserve">סעיף 6 </w:t>
            </w:r>
          </w:p>
        </w:tc>
        <w:tc>
          <w:tcPr>
            <w:tcW w:w="5669" w:type="dxa"/>
          </w:tcPr>
          <w:p w:rsidR="00E46DC3" w:rsidRPr="00E46DC3" w:rsidRDefault="00E46DC3" w:rsidP="00E46DC3">
            <w:pPr>
              <w:spacing w:line="240" w:lineRule="auto"/>
              <w:jc w:val="left"/>
              <w:rPr>
                <w:rFonts w:cs="Frankruhel"/>
                <w:sz w:val="24"/>
                <w:rtl/>
              </w:rPr>
            </w:pPr>
            <w:r>
              <w:rPr>
                <w:sz w:val="24"/>
                <w:rtl/>
              </w:rPr>
              <w:t>ביטול</w:t>
            </w:r>
          </w:p>
        </w:tc>
        <w:tc>
          <w:tcPr>
            <w:tcW w:w="567" w:type="dxa"/>
          </w:tcPr>
          <w:p w:rsidR="00E46DC3" w:rsidRPr="00E46DC3" w:rsidRDefault="00E46DC3" w:rsidP="00E46DC3">
            <w:pPr>
              <w:spacing w:line="240" w:lineRule="auto"/>
              <w:jc w:val="left"/>
              <w:rPr>
                <w:rStyle w:val="Hyperlink"/>
                <w:rtl/>
              </w:rPr>
            </w:pPr>
            <w:hyperlink w:anchor="Seif6" w:tooltip="ביטול" w:history="1">
              <w:r w:rsidRPr="00E46DC3">
                <w:rPr>
                  <w:rStyle w:val="Hyperlink"/>
                </w:rPr>
                <w:t>Go</w:t>
              </w:r>
            </w:hyperlink>
          </w:p>
        </w:tc>
        <w:tc>
          <w:tcPr>
            <w:tcW w:w="850" w:type="dxa"/>
          </w:tcPr>
          <w:p w:rsidR="00E46DC3" w:rsidRPr="00E46DC3" w:rsidRDefault="00E46DC3" w:rsidP="00E46D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46DC3" w:rsidRPr="00E46DC3" w:rsidTr="00E46DC3">
        <w:tblPrEx>
          <w:tblCellMar>
            <w:top w:w="0" w:type="dxa"/>
            <w:bottom w:w="0" w:type="dxa"/>
          </w:tblCellMar>
        </w:tblPrEx>
        <w:tc>
          <w:tcPr>
            <w:tcW w:w="1247" w:type="dxa"/>
          </w:tcPr>
          <w:p w:rsidR="00E46DC3" w:rsidRPr="00E46DC3" w:rsidRDefault="00E46DC3" w:rsidP="00E46DC3">
            <w:pPr>
              <w:spacing w:line="240" w:lineRule="auto"/>
              <w:jc w:val="left"/>
              <w:rPr>
                <w:rFonts w:cs="Frankruhel"/>
                <w:sz w:val="24"/>
                <w:rtl/>
              </w:rPr>
            </w:pPr>
            <w:r>
              <w:rPr>
                <w:sz w:val="24"/>
                <w:rtl/>
              </w:rPr>
              <w:t xml:space="preserve">סעיף 7 </w:t>
            </w:r>
          </w:p>
        </w:tc>
        <w:tc>
          <w:tcPr>
            <w:tcW w:w="5669" w:type="dxa"/>
          </w:tcPr>
          <w:p w:rsidR="00E46DC3" w:rsidRPr="00E46DC3" w:rsidRDefault="00E46DC3" w:rsidP="00E46DC3">
            <w:pPr>
              <w:spacing w:line="240" w:lineRule="auto"/>
              <w:jc w:val="left"/>
              <w:rPr>
                <w:rFonts w:cs="Frankruhel"/>
                <w:sz w:val="24"/>
                <w:rtl/>
              </w:rPr>
            </w:pPr>
            <w:r>
              <w:rPr>
                <w:sz w:val="24"/>
                <w:rtl/>
              </w:rPr>
              <w:t>תחילה</w:t>
            </w:r>
          </w:p>
        </w:tc>
        <w:tc>
          <w:tcPr>
            <w:tcW w:w="567" w:type="dxa"/>
          </w:tcPr>
          <w:p w:rsidR="00E46DC3" w:rsidRPr="00E46DC3" w:rsidRDefault="00E46DC3" w:rsidP="00E46DC3">
            <w:pPr>
              <w:spacing w:line="240" w:lineRule="auto"/>
              <w:jc w:val="left"/>
              <w:rPr>
                <w:rStyle w:val="Hyperlink"/>
                <w:rtl/>
              </w:rPr>
            </w:pPr>
            <w:hyperlink w:anchor="Seif7" w:tooltip="תחילה" w:history="1">
              <w:r w:rsidRPr="00E46DC3">
                <w:rPr>
                  <w:rStyle w:val="Hyperlink"/>
                </w:rPr>
                <w:t>Go</w:t>
              </w:r>
            </w:hyperlink>
          </w:p>
        </w:tc>
        <w:tc>
          <w:tcPr>
            <w:tcW w:w="850" w:type="dxa"/>
          </w:tcPr>
          <w:p w:rsidR="00E46DC3" w:rsidRPr="00E46DC3" w:rsidRDefault="00E46DC3" w:rsidP="00E46DC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770699" w:rsidRDefault="00770699">
      <w:pPr>
        <w:pStyle w:val="big-header"/>
        <w:ind w:left="0" w:right="1134"/>
        <w:rPr>
          <w:rFonts w:cs="FrankRuehl"/>
          <w:sz w:val="32"/>
          <w:rtl/>
        </w:rPr>
      </w:pPr>
    </w:p>
    <w:p w:rsidR="00770699" w:rsidRDefault="00770699" w:rsidP="00CA1BA8">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הגז (בטיחות ורישוי) (מיתקנים </w:t>
      </w:r>
      <w:r w:rsidR="00CA1BA8">
        <w:rPr>
          <w:rFonts w:cs="FrankRuehl" w:hint="cs"/>
          <w:sz w:val="32"/>
          <w:rtl/>
        </w:rPr>
        <w:t>להולכת</w:t>
      </w:r>
      <w:r>
        <w:rPr>
          <w:rFonts w:cs="FrankRuehl" w:hint="cs"/>
          <w:sz w:val="32"/>
          <w:rtl/>
        </w:rPr>
        <w:t xml:space="preserve"> גז טבעי</w:t>
      </w:r>
      <w:r>
        <w:rPr>
          <w:rFonts w:cs="FrankRuehl"/>
          <w:sz w:val="32"/>
          <w:rtl/>
        </w:rPr>
        <w:t xml:space="preserve">), </w:t>
      </w:r>
      <w:r w:rsidR="004F4B1F">
        <w:rPr>
          <w:rFonts w:cs="FrankRuehl" w:hint="cs"/>
          <w:sz w:val="32"/>
          <w:rtl/>
        </w:rPr>
        <w:t>תשע"ח-2018</w:t>
      </w:r>
      <w:r w:rsidR="00947FD2">
        <w:rPr>
          <w:rStyle w:val="a6"/>
          <w:rFonts w:cs="FrankRuehl"/>
          <w:sz w:val="32"/>
          <w:rtl/>
        </w:rPr>
        <w:footnoteReference w:customMarkFollows="1" w:id="1"/>
        <w:t>*</w:t>
      </w:r>
    </w:p>
    <w:p w:rsidR="00770699" w:rsidRDefault="00770699" w:rsidP="00947FD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2 ו-30 לחוק הגז (בטיחות ורישוי), </w:t>
      </w:r>
      <w:r w:rsidR="00CA1BA8">
        <w:rPr>
          <w:rStyle w:val="default"/>
          <w:rFonts w:cs="FrankRuehl" w:hint="cs"/>
          <w:rtl/>
        </w:rPr>
        <w:t>ה</w:t>
      </w:r>
      <w:r>
        <w:rPr>
          <w:rStyle w:val="default"/>
          <w:rFonts w:cs="FrankRuehl" w:hint="cs"/>
          <w:rtl/>
        </w:rPr>
        <w:t>תשמ"ט</w:t>
      </w:r>
      <w:r w:rsidR="00947FD2">
        <w:rPr>
          <w:rStyle w:val="default"/>
          <w:rFonts w:cs="FrankRuehl" w:hint="cs"/>
          <w:rtl/>
        </w:rPr>
        <w:t>-</w:t>
      </w:r>
      <w:r>
        <w:rPr>
          <w:rStyle w:val="default"/>
          <w:rFonts w:cs="FrankRuehl"/>
          <w:rtl/>
        </w:rPr>
        <w:t>1989</w:t>
      </w:r>
      <w:r w:rsidR="004F4B1F">
        <w:rPr>
          <w:rStyle w:val="default"/>
          <w:rFonts w:cs="FrankRuehl" w:hint="cs"/>
          <w:rtl/>
        </w:rPr>
        <w:t xml:space="preserve"> (להלן </w:t>
      </w:r>
      <w:r w:rsidR="004F4B1F">
        <w:rPr>
          <w:rStyle w:val="default"/>
          <w:rFonts w:cs="FrankRuehl"/>
          <w:rtl/>
        </w:rPr>
        <w:t>–</w:t>
      </w:r>
      <w:r w:rsidR="004F4B1F">
        <w:rPr>
          <w:rStyle w:val="default"/>
          <w:rFonts w:cs="FrankRuehl" w:hint="cs"/>
          <w:rtl/>
        </w:rPr>
        <w:t xml:space="preserve"> החוק)</w:t>
      </w:r>
      <w:r>
        <w:rPr>
          <w:rStyle w:val="default"/>
          <w:rFonts w:cs="FrankRuehl"/>
          <w:rtl/>
        </w:rPr>
        <w:t xml:space="preserve">, </w:t>
      </w:r>
      <w:r w:rsidR="004F4B1F">
        <w:rPr>
          <w:rStyle w:val="default"/>
          <w:rFonts w:cs="FrankRuehl" w:hint="cs"/>
          <w:rtl/>
        </w:rPr>
        <w:t>בהתייעצות עם</w:t>
      </w:r>
      <w:r>
        <w:rPr>
          <w:rStyle w:val="default"/>
          <w:rFonts w:cs="FrankRuehl" w:hint="cs"/>
          <w:rtl/>
        </w:rPr>
        <w:t xml:space="preserve"> שר העבודה הרווחה </w:t>
      </w:r>
      <w:r w:rsidR="004F4B1F">
        <w:rPr>
          <w:rStyle w:val="default"/>
          <w:rFonts w:cs="FrankRuehl" w:hint="cs"/>
          <w:rtl/>
        </w:rPr>
        <w:t xml:space="preserve">והשירותים החברתיים </w:t>
      </w:r>
      <w:r>
        <w:rPr>
          <w:rStyle w:val="default"/>
          <w:rFonts w:cs="FrankRuehl" w:hint="cs"/>
          <w:rtl/>
        </w:rPr>
        <w:t>ובאישור ועדת הכלכלה של הכנסת, אני מצווה לאמור:</w:t>
      </w:r>
    </w:p>
    <w:p w:rsidR="00770699" w:rsidRDefault="00770699">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4pt;z-index:251654656" o:allowincell="f" filled="f" stroked="f" strokecolor="lime" strokeweight=".25pt">
            <v:textbox inset="0,0,0,0">
              <w:txbxContent>
                <w:p w:rsidR="00770699" w:rsidRDefault="0077069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sidR="00947FD2">
        <w:rPr>
          <w:rStyle w:val="default"/>
          <w:rFonts w:cs="FrankRuehl"/>
          <w:rtl/>
        </w:rPr>
        <w:t>–</w:t>
      </w:r>
    </w:p>
    <w:p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w:t>
      </w:r>
      <w:r w:rsidR="004F4B1F">
        <w:rPr>
          <w:rStyle w:val="default"/>
          <w:rFonts w:cs="FrankRuehl" w:hint="cs"/>
          <w:rtl/>
        </w:rPr>
        <w:t xml:space="preserve">אתר האינטרנט של המשרד" </w:t>
      </w:r>
      <w:r w:rsidR="004F4B1F">
        <w:rPr>
          <w:rStyle w:val="default"/>
          <w:rFonts w:cs="FrankRuehl"/>
          <w:rtl/>
        </w:rPr>
        <w:t>–</w:t>
      </w:r>
      <w:r w:rsidR="004F4B1F">
        <w:rPr>
          <w:rStyle w:val="default"/>
          <w:rFonts w:cs="FrankRuehl" w:hint="cs"/>
          <w:rtl/>
        </w:rPr>
        <w:t xml:space="preserve"> אתר האינטרנט של משרד האנרגיה שכתובתו </w:t>
      </w:r>
      <w:hyperlink r:id="rId6" w:history="1">
        <w:r w:rsidR="004F4B1F" w:rsidRPr="00B22EF7">
          <w:rPr>
            <w:rStyle w:val="Hyperlink"/>
            <w:rFonts w:cs="FrankRuehl"/>
          </w:rPr>
          <w:t>www.energy.gov.il</w:t>
        </w:r>
      </w:hyperlink>
      <w:r>
        <w:rPr>
          <w:rStyle w:val="default"/>
          <w:rFonts w:cs="FrankRuehl" w:hint="cs"/>
          <w:rtl/>
        </w:rPr>
        <w:t>;</w:t>
      </w:r>
    </w:p>
    <w:p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w:t>
      </w:r>
      <w:r w:rsidR="004F4B1F">
        <w:rPr>
          <w:rStyle w:val="default"/>
          <w:rFonts w:cs="FrankRuehl" w:hint="cs"/>
          <w:rtl/>
        </w:rPr>
        <w:t xml:space="preserve">חוק משק הגז הטבעי" </w:t>
      </w:r>
      <w:r w:rsidR="004F4B1F">
        <w:rPr>
          <w:rStyle w:val="default"/>
          <w:rFonts w:cs="FrankRuehl"/>
          <w:rtl/>
        </w:rPr>
        <w:t>–</w:t>
      </w:r>
      <w:r w:rsidR="004F4B1F">
        <w:rPr>
          <w:rStyle w:val="default"/>
          <w:rFonts w:cs="FrankRuehl" w:hint="cs"/>
          <w:rtl/>
        </w:rPr>
        <w:t xml:space="preserve"> חוק משק הגז הטבעי, התשס"ב-2002</w:t>
      </w:r>
      <w:r>
        <w:rPr>
          <w:rStyle w:val="default"/>
          <w:rFonts w:cs="FrankRuehl" w:hint="cs"/>
          <w:rtl/>
        </w:rPr>
        <w:t>;</w:t>
      </w:r>
    </w:p>
    <w:p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יתק</w:t>
      </w:r>
      <w:r w:rsidR="00CA1BA8">
        <w:rPr>
          <w:rStyle w:val="default"/>
          <w:rFonts w:cs="FrankRuehl" w:hint="cs"/>
          <w:rtl/>
        </w:rPr>
        <w:t>ן</w:t>
      </w:r>
      <w:r>
        <w:rPr>
          <w:rStyle w:val="default"/>
          <w:rFonts w:cs="FrankRuehl" w:hint="cs"/>
          <w:rtl/>
        </w:rPr>
        <w:t xml:space="preserve"> גז</w:t>
      </w:r>
      <w:r w:rsidR="00CA1BA8">
        <w:rPr>
          <w:rStyle w:val="default"/>
          <w:rFonts w:cs="FrankRuehl" w:hint="cs"/>
          <w:rtl/>
        </w:rPr>
        <w:t xml:space="preserve"> טבעי</w:t>
      </w:r>
      <w:r>
        <w:rPr>
          <w:rStyle w:val="default"/>
          <w:rFonts w:cs="FrankRuehl" w:hint="cs"/>
          <w:rtl/>
        </w:rPr>
        <w:t xml:space="preserve">" </w:t>
      </w:r>
      <w:r w:rsidR="00CA1BA8">
        <w:rPr>
          <w:rStyle w:val="default"/>
          <w:rFonts w:cs="FrankRuehl"/>
          <w:rtl/>
        </w:rPr>
        <w:t>–</w:t>
      </w:r>
      <w:r>
        <w:rPr>
          <w:rStyle w:val="default"/>
          <w:rFonts w:cs="FrankRuehl"/>
          <w:rtl/>
        </w:rPr>
        <w:t xml:space="preserve"> </w:t>
      </w:r>
      <w:r>
        <w:rPr>
          <w:rStyle w:val="default"/>
          <w:rFonts w:cs="FrankRuehl" w:hint="cs"/>
          <w:rtl/>
        </w:rPr>
        <w:t xml:space="preserve">מיתקן גז </w:t>
      </w:r>
      <w:r w:rsidR="004F4B1F">
        <w:rPr>
          <w:rStyle w:val="default"/>
          <w:rFonts w:cs="FrankRuehl" w:hint="cs"/>
          <w:rtl/>
        </w:rPr>
        <w:t>כהגדרתו בחוק משק הגז הטבעי</w:t>
      </w:r>
      <w:r>
        <w:rPr>
          <w:rStyle w:val="default"/>
          <w:rFonts w:cs="FrankRuehl" w:hint="cs"/>
          <w:rtl/>
        </w:rPr>
        <w:t>;</w:t>
      </w:r>
    </w:p>
    <w:p w:rsidR="00770699" w:rsidRDefault="00770699" w:rsidP="00CA1BA8">
      <w:pPr>
        <w:pStyle w:val="P00"/>
        <w:spacing w:before="72"/>
        <w:ind w:left="0" w:right="1134"/>
        <w:rPr>
          <w:rStyle w:val="default"/>
          <w:rFonts w:cs="FrankRuehl"/>
          <w:rtl/>
        </w:rPr>
      </w:pPr>
      <w:r>
        <w:rPr>
          <w:rFonts w:cs="FrankRuehl"/>
          <w:sz w:val="26"/>
          <w:rtl/>
        </w:rPr>
        <w:tab/>
      </w:r>
      <w:r>
        <w:rPr>
          <w:rStyle w:val="default"/>
          <w:rFonts w:cs="FrankRuehl"/>
          <w:rtl/>
        </w:rPr>
        <w:t>"</w:t>
      </w:r>
      <w:r w:rsidR="004F4B1F">
        <w:rPr>
          <w:rStyle w:val="default"/>
          <w:rFonts w:cs="FrankRuehl" w:hint="cs"/>
          <w:rtl/>
        </w:rPr>
        <w:t xml:space="preserve">מערכת הולכה" </w:t>
      </w:r>
      <w:r w:rsidR="004F4B1F">
        <w:rPr>
          <w:rStyle w:val="default"/>
          <w:rFonts w:cs="FrankRuehl"/>
          <w:rtl/>
        </w:rPr>
        <w:t>–</w:t>
      </w:r>
      <w:r w:rsidR="004F4B1F">
        <w:rPr>
          <w:rStyle w:val="default"/>
          <w:rFonts w:cs="FrankRuehl" w:hint="cs"/>
          <w:rtl/>
        </w:rPr>
        <w:t xml:space="preserve"> כהגדרתה בחוק משק הגז הטבעי, למעט מערכת הולכה לספק המוקמת ומופעלת מכוח רישיון הולכה לספק שניתן לפי סעיף 10 לחוק משק הגז הטבעי;</w:t>
      </w:r>
    </w:p>
    <w:p w:rsidR="004F4B1F" w:rsidRDefault="004F4B1F"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"מפרט" </w:t>
      </w:r>
      <w:r>
        <w:rPr>
          <w:rStyle w:val="default"/>
          <w:rFonts w:cs="FrankRuehl"/>
          <w:rtl/>
        </w:rPr>
        <w:t>–</w:t>
      </w:r>
      <w:r>
        <w:rPr>
          <w:rStyle w:val="default"/>
          <w:rFonts w:cs="FrankRuehl" w:hint="cs"/>
          <w:rtl/>
        </w:rPr>
        <w:t xml:space="preserve"> כמשמעותו בסעיף 24 לחוק משק הגז הטבעי;</w:t>
      </w:r>
    </w:p>
    <w:p w:rsidR="004F4B1F" w:rsidRDefault="004F4B1F" w:rsidP="00CA1BA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הולכה" </w:t>
      </w:r>
      <w:r>
        <w:rPr>
          <w:rStyle w:val="default"/>
          <w:rFonts w:cs="FrankRuehl"/>
          <w:rtl/>
        </w:rPr>
        <w:t>–</w:t>
      </w:r>
      <w:r>
        <w:rPr>
          <w:rStyle w:val="default"/>
          <w:rFonts w:cs="FrankRuehl" w:hint="cs"/>
          <w:rtl/>
        </w:rPr>
        <w:t xml:space="preserve"> כהגדרתו בחוק משק הגז הטבעי.</w:t>
      </w:r>
    </w:p>
    <w:p w:rsidR="00770699" w:rsidRDefault="00770699" w:rsidP="00CA1BA8">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8.75pt;z-index:251655680" o:allowincell="f" filled="f" stroked="f" strokecolor="lime" strokeweight=".25pt">
            <v:textbox inset="0,0,0,0">
              <w:txbxContent>
                <w:p w:rsidR="00770699" w:rsidRDefault="004F4B1F" w:rsidP="00CA1BA8">
                  <w:pPr>
                    <w:spacing w:line="160" w:lineRule="exact"/>
                    <w:jc w:val="left"/>
                    <w:rPr>
                      <w:rFonts w:cs="Miriam"/>
                      <w:noProof/>
                      <w:sz w:val="18"/>
                      <w:szCs w:val="18"/>
                      <w:rtl/>
                    </w:rPr>
                  </w:pPr>
                  <w:r>
                    <w:rPr>
                      <w:rFonts w:cs="Miriam" w:hint="cs"/>
                      <w:sz w:val="18"/>
                      <w:szCs w:val="18"/>
                      <w:rtl/>
                    </w:rPr>
                    <w:t>תכנון, הקמה והפעלה של מערכת הולכה</w:t>
                  </w:r>
                </w:p>
              </w:txbxContent>
            </v:textbox>
            <w10:anchorlock/>
          </v:rect>
        </w:pict>
      </w:r>
      <w:r>
        <w:rPr>
          <w:rStyle w:val="big-number"/>
          <w:rFonts w:cs="Miriam"/>
          <w:rtl/>
        </w:rPr>
        <w:t>2.</w:t>
      </w:r>
      <w:r>
        <w:rPr>
          <w:rStyle w:val="big-number"/>
          <w:rFonts w:cs="Miriam"/>
          <w:rtl/>
        </w:rPr>
        <w:tab/>
      </w:r>
      <w:r w:rsidR="004F4B1F">
        <w:rPr>
          <w:rStyle w:val="default"/>
          <w:rFonts w:cs="FrankRuehl" w:hint="cs"/>
          <w:rtl/>
        </w:rPr>
        <w:t>בלי לגרוע מחובת הרישוי לפי חוק משק הגז הטבעי, בעל רישיון הולכה לא יקים מיתקן גז טבעי שהוא חלק ממערכת הולכה, לא יפעילו ולא יבצע בו עבודת גז, אלא אם כן התכנון, ההקמה, ההפעלה וביצוע עבודת הגז תואמים את התקנים כמפורט להלן</w:t>
      </w:r>
      <w:r>
        <w:rPr>
          <w:rStyle w:val="default"/>
          <w:rFonts w:cs="FrankRuehl" w:hint="cs"/>
          <w:rtl/>
        </w:rPr>
        <w:t>:</w:t>
      </w:r>
    </w:p>
    <w:p w:rsidR="004F4B1F" w:rsidRDefault="004F4B1F" w:rsidP="004F4B1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כל אחד מהתקנים הישראליים האלה; לעניין זה, "תקן ישראלי" </w:t>
      </w:r>
      <w:r>
        <w:rPr>
          <w:rStyle w:val="default"/>
          <w:rFonts w:cs="FrankRuehl"/>
          <w:rtl/>
        </w:rPr>
        <w:t>–</w:t>
      </w:r>
      <w:r>
        <w:rPr>
          <w:rStyle w:val="default"/>
          <w:rFonts w:cs="FrankRuehl" w:hint="cs"/>
          <w:rtl/>
        </w:rPr>
        <w:t xml:space="preserve"> תקן שנקבע לפי חוק התקנים, התשי"ג-1953, כתוקפו בזמן הגשת המפרט, שעותק שלו מפורסם באתר האינטרנט של מכון התקנים הישראלי; הפניה אל אתר האינטרנט של מכון התקנים תפורסם באתר האינטרנט של המשרד:</w:t>
      </w:r>
    </w:p>
    <w:p w:rsidR="004F4B1F" w:rsidRDefault="004F4B1F" w:rsidP="004F4B1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ת"י 5664 </w:t>
      </w:r>
      <w:r>
        <w:rPr>
          <w:rStyle w:val="default"/>
          <w:rFonts w:cs="FrankRuehl"/>
          <w:rtl/>
        </w:rPr>
        <w:t>–</w:t>
      </w:r>
      <w:r>
        <w:rPr>
          <w:rStyle w:val="default"/>
          <w:rFonts w:cs="FrankRuehl" w:hint="cs"/>
          <w:rtl/>
        </w:rPr>
        <w:t xml:space="preserve"> "חלק 1 </w:t>
      </w:r>
      <w:r>
        <w:rPr>
          <w:rStyle w:val="default"/>
          <w:rFonts w:cs="FrankRuehl"/>
          <w:rtl/>
        </w:rPr>
        <w:t>–</w:t>
      </w:r>
      <w:r>
        <w:rPr>
          <w:rStyle w:val="default"/>
          <w:rFonts w:cs="FrankRuehl" w:hint="cs"/>
          <w:rtl/>
        </w:rPr>
        <w:t xml:space="preserve"> מערכת הולכת גז טבעי: כללי";</w:t>
      </w:r>
    </w:p>
    <w:p w:rsidR="004F4B1F" w:rsidRDefault="004F4B1F" w:rsidP="004F4B1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ת"י 5664 </w:t>
      </w:r>
      <w:r>
        <w:rPr>
          <w:rStyle w:val="default"/>
          <w:rFonts w:cs="FrankRuehl"/>
          <w:rtl/>
        </w:rPr>
        <w:t>–</w:t>
      </w:r>
      <w:r>
        <w:rPr>
          <w:rStyle w:val="default"/>
          <w:rFonts w:cs="FrankRuehl" w:hint="cs"/>
          <w:rtl/>
        </w:rPr>
        <w:t xml:space="preserve"> "חלק 2 </w:t>
      </w:r>
      <w:r>
        <w:rPr>
          <w:rStyle w:val="default"/>
          <w:rFonts w:cs="FrankRuehl"/>
          <w:rtl/>
        </w:rPr>
        <w:t>–</w:t>
      </w:r>
      <w:r>
        <w:rPr>
          <w:rStyle w:val="default"/>
          <w:rFonts w:cs="FrankRuehl" w:hint="cs"/>
          <w:rtl/>
        </w:rPr>
        <w:t xml:space="preserve"> מערכת הולכת גז טבעי: דרישות נוספות לצנרת פלדה";</w:t>
      </w:r>
    </w:p>
    <w:p w:rsidR="004F4B1F" w:rsidRDefault="004F4B1F" w:rsidP="004F4B1F">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ת"י 25000 </w:t>
      </w:r>
      <w:r>
        <w:rPr>
          <w:rStyle w:val="default"/>
          <w:rFonts w:cs="FrankRuehl"/>
          <w:rtl/>
        </w:rPr>
        <w:t>–</w:t>
      </w:r>
      <w:r>
        <w:rPr>
          <w:rStyle w:val="default"/>
          <w:rFonts w:cs="FrankRuehl" w:hint="cs"/>
          <w:rtl/>
        </w:rPr>
        <w:t xml:space="preserve"> "סיווג אזורי סיכון למיתקני גז טבעי";</w:t>
      </w:r>
    </w:p>
    <w:p w:rsidR="004F4B1F" w:rsidRDefault="004F4B1F" w:rsidP="004F4B1F">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ת"י 413 </w:t>
      </w:r>
      <w:r>
        <w:rPr>
          <w:rStyle w:val="default"/>
          <w:rFonts w:cs="FrankRuehl"/>
          <w:rtl/>
        </w:rPr>
        <w:t>–</w:t>
      </w:r>
      <w:r>
        <w:rPr>
          <w:rStyle w:val="default"/>
          <w:rFonts w:cs="FrankRuehl" w:hint="cs"/>
          <w:rtl/>
        </w:rPr>
        <w:t xml:space="preserve"> "תכן לעמידות מבנים ברעידות אדמה";</w:t>
      </w:r>
    </w:p>
    <w:p w:rsidR="004F4B1F" w:rsidRDefault="004F4B1F" w:rsidP="004F4B1F">
      <w:pPr>
        <w:pStyle w:val="P00"/>
        <w:spacing w:before="72"/>
        <w:ind w:left="624" w:right="1134"/>
        <w:rPr>
          <w:rStyle w:val="default"/>
          <w:rFonts w:cs="FrankRuehl"/>
          <w:sz w:val="20"/>
          <w:rtl/>
        </w:rPr>
      </w:pPr>
      <w:r w:rsidRPr="004F4B1F">
        <w:rPr>
          <w:rStyle w:val="default"/>
          <w:rFonts w:cs="FrankRuehl" w:hint="cs"/>
          <w:sz w:val="20"/>
          <w:rtl/>
        </w:rPr>
        <w:t>(2)</w:t>
      </w:r>
      <w:r w:rsidRPr="004F4B1F">
        <w:rPr>
          <w:rStyle w:val="default"/>
          <w:rFonts w:cs="FrankRuehl"/>
          <w:sz w:val="20"/>
          <w:rtl/>
        </w:rPr>
        <w:tab/>
      </w:r>
      <w:r w:rsidRPr="004F4B1F">
        <w:rPr>
          <w:rStyle w:val="default"/>
          <w:rFonts w:cs="FrankRuehl" w:hint="cs"/>
          <w:sz w:val="20"/>
          <w:rtl/>
        </w:rPr>
        <w:t xml:space="preserve">כל אחד מהתקנים הבין-לאומיים האלה; לעניין זה, "תקן בין-לאומי" </w:t>
      </w:r>
      <w:r w:rsidRPr="004F4B1F">
        <w:rPr>
          <w:rStyle w:val="default"/>
          <w:rFonts w:cs="FrankRuehl"/>
          <w:sz w:val="20"/>
          <w:rtl/>
        </w:rPr>
        <w:t>–</w:t>
      </w:r>
      <w:r w:rsidRPr="004F4B1F">
        <w:rPr>
          <w:rStyle w:val="default"/>
          <w:rFonts w:cs="FrankRuehl" w:hint="cs"/>
          <w:sz w:val="20"/>
          <w:rtl/>
        </w:rPr>
        <w:t xml:space="preserve"> תקן שקבע ארגון התקינה הבין-לאומי (</w:t>
      </w:r>
      <w:r w:rsidRPr="004F4B1F">
        <w:rPr>
          <w:rStyle w:val="default"/>
          <w:rFonts w:cs="FrankRuehl" w:hint="cs"/>
          <w:sz w:val="20"/>
        </w:rPr>
        <w:t>ISO</w:t>
      </w:r>
      <w:r>
        <w:rPr>
          <w:rStyle w:val="default"/>
          <w:rFonts w:cs="FrankRuehl" w:hint="cs"/>
          <w:sz w:val="20"/>
          <w:rtl/>
        </w:rPr>
        <w:t>), כתוקפו בזמן הגשת המפרט; הפניה אל אתר האינטרנט של ארגון התקינה הבין-לאומי תפורסם באתר האינטרנט של המשרד:</w:t>
      </w:r>
    </w:p>
    <w:p w:rsidR="004F4B1F" w:rsidRDefault="004F4B1F" w:rsidP="0034711E">
      <w:pPr>
        <w:pStyle w:val="P00"/>
        <w:spacing w:before="72"/>
        <w:ind w:left="1021" w:right="1134"/>
        <w:rPr>
          <w:rStyle w:val="default"/>
          <w:rFonts w:cs="FrankRuehl"/>
          <w:sz w:val="20"/>
          <w:rtl/>
        </w:rPr>
      </w:pPr>
      <w:r>
        <w:rPr>
          <w:rStyle w:val="default"/>
          <w:rFonts w:cs="FrankRuehl" w:hint="cs"/>
          <w:sz w:val="20"/>
          <w:rtl/>
        </w:rPr>
        <w:t>(א)</w:t>
      </w:r>
      <w:r>
        <w:rPr>
          <w:rStyle w:val="default"/>
          <w:rFonts w:cs="FrankRuehl"/>
          <w:sz w:val="20"/>
          <w:rtl/>
        </w:rPr>
        <w:tab/>
      </w:r>
      <w:r>
        <w:rPr>
          <w:rStyle w:val="default"/>
          <w:rFonts w:cs="FrankRuehl"/>
          <w:sz w:val="20"/>
        </w:rPr>
        <w:t xml:space="preserve">ISO 3834-2 – Quality requirements for fusion welding </w:t>
      </w:r>
      <w:r w:rsidR="0034711E">
        <w:rPr>
          <w:rStyle w:val="default"/>
          <w:rFonts w:cs="FrankRuehl"/>
          <w:sz w:val="20"/>
        </w:rPr>
        <w:t>of metallic materials. Comprehensive quality requirements</w:t>
      </w:r>
      <w:r w:rsidR="0034711E">
        <w:rPr>
          <w:rStyle w:val="default"/>
          <w:rFonts w:cs="FrankRuehl" w:hint="cs"/>
          <w:sz w:val="20"/>
          <w:rtl/>
        </w:rPr>
        <w:t>;</w:t>
      </w:r>
    </w:p>
    <w:p w:rsidR="0034711E" w:rsidRPr="004F4B1F" w:rsidRDefault="0034711E" w:rsidP="0034711E">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sz w:val="20"/>
          <w:rtl/>
        </w:rPr>
        <w:tab/>
      </w:r>
      <w:r>
        <w:rPr>
          <w:rStyle w:val="default"/>
          <w:rFonts w:cs="FrankRuehl"/>
          <w:sz w:val="20"/>
        </w:rPr>
        <w:t>ISO 18086 Corrosion of metals and alloys – Determination of AC corrosion – Protection criteria</w:t>
      </w:r>
      <w:r>
        <w:rPr>
          <w:rStyle w:val="default"/>
          <w:rFonts w:cs="FrankRuehl" w:hint="cs"/>
          <w:sz w:val="20"/>
          <w:rtl/>
        </w:rPr>
        <w:t>.</w:t>
      </w:r>
    </w:p>
    <w:p w:rsidR="00770699" w:rsidRDefault="00770699" w:rsidP="00CA1BA8">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31.6pt;z-index:251656704" o:allowincell="f" filled="f" stroked="f" strokecolor="lime" strokeweight=".25pt">
            <v:textbox style="mso-next-textbox:#_x0000_s1028" inset="0,0,0,0">
              <w:txbxContent>
                <w:p w:rsidR="00770699" w:rsidRDefault="0034711E">
                  <w:pPr>
                    <w:spacing w:line="160" w:lineRule="exact"/>
                    <w:jc w:val="left"/>
                    <w:rPr>
                      <w:rFonts w:cs="Miriam"/>
                      <w:noProof/>
                      <w:sz w:val="18"/>
                      <w:szCs w:val="18"/>
                      <w:rtl/>
                    </w:rPr>
                  </w:pPr>
                  <w:r>
                    <w:rPr>
                      <w:rFonts w:cs="Miriam" w:hint="cs"/>
                      <w:sz w:val="18"/>
                      <w:szCs w:val="18"/>
                      <w:rtl/>
                    </w:rPr>
                    <w:t>ביצוע עבודות גז במיתקן גז טבעי קיים בשל שינוי בתקן</w:t>
                  </w:r>
                </w:p>
              </w:txbxContent>
            </v:textbox>
            <w10:anchorlock/>
          </v:rect>
        </w:pict>
      </w:r>
      <w:r>
        <w:rPr>
          <w:rStyle w:val="big-number"/>
          <w:rFonts w:cs="Miriam"/>
          <w:rtl/>
        </w:rPr>
        <w:t>3.</w:t>
      </w:r>
      <w:r>
        <w:rPr>
          <w:rStyle w:val="big-number"/>
          <w:rFonts w:cs="Miriam"/>
          <w:rtl/>
        </w:rPr>
        <w:tab/>
      </w:r>
      <w:r w:rsidR="0034711E">
        <w:rPr>
          <w:rStyle w:val="default"/>
          <w:rFonts w:cs="FrankRuehl" w:hint="cs"/>
          <w:rtl/>
        </w:rPr>
        <w:t xml:space="preserve">נערך תיקון בתקן מן התקנים המנויים בסעיף 2(1) או (2) (להלן </w:t>
      </w:r>
      <w:r w:rsidR="0034711E">
        <w:rPr>
          <w:rStyle w:val="default"/>
          <w:rFonts w:cs="FrankRuehl"/>
          <w:rtl/>
        </w:rPr>
        <w:t>–</w:t>
      </w:r>
      <w:r w:rsidR="0034711E">
        <w:rPr>
          <w:rStyle w:val="default"/>
          <w:rFonts w:cs="FrankRuehl" w:hint="cs"/>
          <w:rtl/>
        </w:rPr>
        <w:t xml:space="preserve"> תקן מתוקן) ונקבעה במסגרתו חובה לבצע עבודות גז במיתקן גז טבעי קיים שהוקם טרם התיקון האמור, ובכלל זה שינוי במיתקן כאמור (להלן </w:t>
      </w:r>
      <w:r w:rsidR="0034711E">
        <w:rPr>
          <w:rStyle w:val="default"/>
          <w:rFonts w:cs="FrankRuehl"/>
          <w:rtl/>
        </w:rPr>
        <w:t>–</w:t>
      </w:r>
      <w:r w:rsidR="0034711E">
        <w:rPr>
          <w:rStyle w:val="default"/>
          <w:rFonts w:cs="FrankRuehl" w:hint="cs"/>
          <w:rtl/>
        </w:rPr>
        <w:t xml:space="preserve"> הוראת שינוי), יבצע בעל מיתקן גז טבעי שהוראת השינוי חלה על המיתקן שהקים את עבודות הגז הדרושות בהתאם להוראות התקן המתוקן ובכפוף להוראות לפי סעיף 24 לחוק משק הגז הטבעי</w:t>
      </w:r>
      <w:r w:rsidR="00CA1BA8">
        <w:rPr>
          <w:rStyle w:val="default"/>
          <w:rFonts w:cs="FrankRuehl" w:hint="cs"/>
          <w:rtl/>
        </w:rPr>
        <w:t>.</w:t>
      </w:r>
    </w:p>
    <w:p w:rsidR="00770699" w:rsidRDefault="00770699" w:rsidP="003311D0">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1pt;z-index:251657728" o:allowincell="f" filled="f" stroked="f" strokecolor="lime" strokeweight=".25pt">
            <v:textbox inset="0,0,0,0">
              <w:txbxContent>
                <w:p w:rsidR="00770699" w:rsidRDefault="0034711E">
                  <w:pPr>
                    <w:spacing w:line="160" w:lineRule="exact"/>
                    <w:jc w:val="left"/>
                    <w:rPr>
                      <w:rFonts w:cs="Miriam"/>
                      <w:noProof/>
                      <w:sz w:val="18"/>
                      <w:szCs w:val="18"/>
                      <w:rtl/>
                    </w:rPr>
                  </w:pPr>
                  <w:r>
                    <w:rPr>
                      <w:rFonts w:cs="Miriam" w:hint="cs"/>
                      <w:sz w:val="18"/>
                      <w:szCs w:val="18"/>
                      <w:rtl/>
                    </w:rPr>
                    <w:t>שמירת דינים</w:t>
                  </w:r>
                </w:p>
              </w:txbxContent>
            </v:textbox>
            <w10:anchorlock/>
          </v:rect>
        </w:pict>
      </w:r>
      <w:r>
        <w:rPr>
          <w:rStyle w:val="big-number"/>
          <w:rFonts w:cs="Miriam"/>
          <w:rtl/>
        </w:rPr>
        <w:t>4.</w:t>
      </w:r>
      <w:r>
        <w:rPr>
          <w:rStyle w:val="big-number"/>
          <w:rFonts w:cs="Miriam"/>
          <w:rtl/>
        </w:rPr>
        <w:tab/>
      </w:r>
      <w:r w:rsidR="0034711E">
        <w:rPr>
          <w:rStyle w:val="default"/>
          <w:rFonts w:cs="FrankRuehl" w:hint="cs"/>
          <w:rtl/>
        </w:rPr>
        <w:t>אין בהוראות צו זה כדי לגרוע מהוראות כל דין</w:t>
      </w:r>
      <w:r>
        <w:rPr>
          <w:rStyle w:val="default"/>
          <w:rFonts w:cs="FrankRuehl" w:hint="cs"/>
          <w:rtl/>
        </w:rPr>
        <w:t>.</w:t>
      </w:r>
    </w:p>
    <w:p w:rsidR="004F4B1F" w:rsidRDefault="004F4B1F" w:rsidP="004F4B1F">
      <w:pPr>
        <w:pStyle w:val="P00"/>
        <w:spacing w:before="72"/>
        <w:ind w:left="0" w:right="1134"/>
        <w:rPr>
          <w:rStyle w:val="default"/>
          <w:rFonts w:cs="FrankRuehl"/>
          <w:rtl/>
        </w:rPr>
      </w:pPr>
      <w:bookmarkStart w:id="4" w:name="Seif5"/>
      <w:bookmarkEnd w:id="4"/>
      <w:r>
        <w:rPr>
          <w:lang w:val="he-IL"/>
        </w:rPr>
        <w:pict>
          <v:rect id="_x0000_s1031" style="position:absolute;left:0;text-align:left;margin-left:464.5pt;margin-top:8.05pt;width:75.05pt;height:11.75pt;z-index:251658752" o:allowincell="f" filled="f" stroked="f" strokecolor="lime" strokeweight=".25pt">
            <v:textbox inset="0,0,0,0">
              <w:txbxContent>
                <w:p w:rsidR="004F4B1F" w:rsidRDefault="0034711E" w:rsidP="004F4B1F">
                  <w:pPr>
                    <w:spacing w:line="160" w:lineRule="exact"/>
                    <w:jc w:val="left"/>
                    <w:rPr>
                      <w:rFonts w:cs="Miriam"/>
                      <w:noProof/>
                      <w:sz w:val="18"/>
                      <w:szCs w:val="18"/>
                      <w:rtl/>
                    </w:rPr>
                  </w:pPr>
                  <w:r>
                    <w:rPr>
                      <w:rFonts w:cs="Miriam" w:hint="cs"/>
                      <w:sz w:val="18"/>
                      <w:szCs w:val="18"/>
                      <w:rtl/>
                    </w:rPr>
                    <w:t>העמדה לעיון הציבור</w:t>
                  </w:r>
                </w:p>
              </w:txbxContent>
            </v:textbox>
            <w10:anchorlock/>
          </v:rect>
        </w:pict>
      </w:r>
      <w:r w:rsidR="0034711E">
        <w:rPr>
          <w:rStyle w:val="big-number"/>
          <w:rFonts w:cs="Miriam" w:hint="cs"/>
          <w:rtl/>
        </w:rPr>
        <w:t>5</w:t>
      </w:r>
      <w:r>
        <w:rPr>
          <w:rStyle w:val="big-number"/>
          <w:rFonts w:cs="Miriam"/>
          <w:rtl/>
        </w:rPr>
        <w:t>.</w:t>
      </w:r>
      <w:r>
        <w:rPr>
          <w:rStyle w:val="big-number"/>
          <w:rFonts w:cs="Miriam"/>
          <w:rtl/>
        </w:rPr>
        <w:tab/>
      </w:r>
      <w:r w:rsidR="0034711E">
        <w:rPr>
          <w:rStyle w:val="default"/>
          <w:rFonts w:cs="FrankRuehl" w:hint="cs"/>
          <w:rtl/>
        </w:rPr>
        <w:t>התקנים המנויים בסעיף 2 ותקנים מתוקנים כמשמעותם בסעיף 3, כפי שהותקנו מזמן לזמן, יועמדו לעיון הציבור במשרדי רשות הגז הטבעי שבמשרד האנרגיה, בלא תשלום, באופן שיאפשר עיון גם במהדורות התקנים הקודמות</w:t>
      </w:r>
      <w:r>
        <w:rPr>
          <w:rStyle w:val="default"/>
          <w:rFonts w:cs="FrankRuehl" w:hint="cs"/>
          <w:rtl/>
        </w:rPr>
        <w:t>.</w:t>
      </w:r>
    </w:p>
    <w:p w:rsidR="004F4B1F" w:rsidRDefault="004F4B1F" w:rsidP="004F4B1F">
      <w:pPr>
        <w:pStyle w:val="P00"/>
        <w:spacing w:before="72"/>
        <w:ind w:left="0" w:right="1134"/>
        <w:rPr>
          <w:rStyle w:val="default"/>
          <w:rFonts w:cs="FrankRuehl"/>
          <w:rtl/>
        </w:rPr>
      </w:pPr>
      <w:bookmarkStart w:id="5" w:name="Seif6"/>
      <w:bookmarkEnd w:id="5"/>
      <w:r>
        <w:rPr>
          <w:lang w:val="he-IL"/>
        </w:rPr>
        <w:lastRenderedPageBreak/>
        <w:pict>
          <v:rect id="_x0000_s1032" style="position:absolute;left:0;text-align:left;margin-left:464.5pt;margin-top:8.05pt;width:75.05pt;height:10.65pt;z-index:251659776" o:allowincell="f" filled="f" stroked="f" strokecolor="lime" strokeweight=".25pt">
            <v:textbox inset="0,0,0,0">
              <w:txbxContent>
                <w:p w:rsidR="004F4B1F" w:rsidRDefault="0034711E" w:rsidP="004F4B1F">
                  <w:pPr>
                    <w:spacing w:line="160" w:lineRule="exact"/>
                    <w:jc w:val="left"/>
                    <w:rPr>
                      <w:rFonts w:cs="Miriam"/>
                      <w:noProof/>
                      <w:sz w:val="18"/>
                      <w:szCs w:val="18"/>
                      <w:rtl/>
                    </w:rPr>
                  </w:pPr>
                  <w:r>
                    <w:rPr>
                      <w:rFonts w:cs="Miriam" w:hint="cs"/>
                      <w:sz w:val="18"/>
                      <w:szCs w:val="18"/>
                      <w:rtl/>
                    </w:rPr>
                    <w:t>ביטול</w:t>
                  </w:r>
                </w:p>
              </w:txbxContent>
            </v:textbox>
            <w10:anchorlock/>
          </v:rect>
        </w:pict>
      </w:r>
      <w:r w:rsidR="0034711E">
        <w:rPr>
          <w:rStyle w:val="big-number"/>
          <w:rFonts w:cs="Miriam" w:hint="cs"/>
          <w:rtl/>
        </w:rPr>
        <w:t>6</w:t>
      </w:r>
      <w:r>
        <w:rPr>
          <w:rStyle w:val="big-number"/>
          <w:rFonts w:cs="Miriam"/>
          <w:rtl/>
        </w:rPr>
        <w:t>.</w:t>
      </w:r>
      <w:r>
        <w:rPr>
          <w:rStyle w:val="big-number"/>
          <w:rFonts w:cs="Miriam"/>
          <w:rtl/>
        </w:rPr>
        <w:tab/>
      </w:r>
      <w:r w:rsidR="0034711E">
        <w:rPr>
          <w:rStyle w:val="default"/>
          <w:rFonts w:cs="FrankRuehl" w:hint="cs"/>
          <w:rtl/>
        </w:rPr>
        <w:t>צו הגז (בטיחות ורישוי) (מיתקנים להולכת גז טבעי), התשנ"ז-1997 – בטל</w:t>
      </w:r>
      <w:r>
        <w:rPr>
          <w:rStyle w:val="default"/>
          <w:rFonts w:cs="FrankRuehl" w:hint="cs"/>
          <w:rtl/>
        </w:rPr>
        <w:t>.</w:t>
      </w:r>
    </w:p>
    <w:p w:rsidR="004F4B1F" w:rsidRDefault="004F4B1F" w:rsidP="004F4B1F">
      <w:pPr>
        <w:pStyle w:val="P00"/>
        <w:spacing w:before="72"/>
        <w:ind w:left="0" w:right="1134"/>
        <w:rPr>
          <w:rStyle w:val="default"/>
          <w:rFonts w:cs="FrankRuehl"/>
          <w:rtl/>
        </w:rPr>
      </w:pPr>
      <w:bookmarkStart w:id="6" w:name="Seif7"/>
      <w:bookmarkEnd w:id="6"/>
      <w:r>
        <w:rPr>
          <w:lang w:val="he-IL"/>
        </w:rPr>
        <w:pict>
          <v:rect id="_x0000_s1033" style="position:absolute;left:0;text-align:left;margin-left:464.5pt;margin-top:8.05pt;width:75.05pt;height:15.5pt;z-index:251660800" o:allowincell="f" filled="f" stroked="f" strokecolor="lime" strokeweight=".25pt">
            <v:textbox inset="0,0,0,0">
              <w:txbxContent>
                <w:p w:rsidR="004F4B1F" w:rsidRDefault="0034711E" w:rsidP="004F4B1F">
                  <w:pPr>
                    <w:spacing w:line="160" w:lineRule="exact"/>
                    <w:jc w:val="left"/>
                    <w:rPr>
                      <w:rFonts w:cs="Miriam"/>
                      <w:noProof/>
                      <w:sz w:val="18"/>
                      <w:szCs w:val="18"/>
                      <w:rtl/>
                    </w:rPr>
                  </w:pPr>
                  <w:r>
                    <w:rPr>
                      <w:rFonts w:cs="Miriam" w:hint="cs"/>
                      <w:sz w:val="18"/>
                      <w:szCs w:val="18"/>
                      <w:rtl/>
                    </w:rPr>
                    <w:t>תחילה</w:t>
                  </w:r>
                </w:p>
              </w:txbxContent>
            </v:textbox>
            <w10:anchorlock/>
          </v:rect>
        </w:pict>
      </w:r>
      <w:r w:rsidR="0034711E">
        <w:rPr>
          <w:rStyle w:val="big-number"/>
          <w:rFonts w:cs="Miriam" w:hint="cs"/>
          <w:rtl/>
        </w:rPr>
        <w:t>7</w:t>
      </w:r>
      <w:r>
        <w:rPr>
          <w:rStyle w:val="big-number"/>
          <w:rFonts w:cs="Miriam"/>
          <w:rtl/>
        </w:rPr>
        <w:t>.</w:t>
      </w:r>
      <w:r>
        <w:rPr>
          <w:rStyle w:val="big-number"/>
          <w:rFonts w:cs="Miriam"/>
          <w:rtl/>
        </w:rPr>
        <w:tab/>
      </w:r>
      <w:r w:rsidR="0034711E">
        <w:rPr>
          <w:rStyle w:val="default"/>
          <w:rFonts w:cs="FrankRuehl" w:hint="cs"/>
          <w:rtl/>
        </w:rPr>
        <w:t>תחילתו של צו זה 30 ימים מיום פרסומו</w:t>
      </w:r>
      <w:r>
        <w:rPr>
          <w:rStyle w:val="default"/>
          <w:rFonts w:cs="FrankRuehl" w:hint="cs"/>
          <w:rtl/>
        </w:rPr>
        <w:t>.</w:t>
      </w:r>
    </w:p>
    <w:p w:rsidR="00CA1BA8" w:rsidRDefault="00CA1BA8">
      <w:pPr>
        <w:pStyle w:val="P00"/>
        <w:spacing w:before="72"/>
        <w:ind w:left="0" w:right="1134"/>
        <w:rPr>
          <w:rStyle w:val="default"/>
          <w:rFonts w:cs="FrankRuehl" w:hint="cs"/>
          <w:rtl/>
        </w:rPr>
      </w:pPr>
    </w:p>
    <w:p w:rsidR="00947FD2" w:rsidRDefault="00947FD2">
      <w:pPr>
        <w:pStyle w:val="P00"/>
        <w:spacing w:before="72"/>
        <w:ind w:left="0" w:right="1134"/>
        <w:rPr>
          <w:rStyle w:val="default"/>
          <w:rFonts w:cs="FrankRuehl" w:hint="cs"/>
          <w:rtl/>
        </w:rPr>
      </w:pPr>
    </w:p>
    <w:p w:rsidR="00770699" w:rsidRDefault="0034711E" w:rsidP="003311D0">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 באב התשע"ח (1 באוגוסט 2018</w:t>
      </w:r>
      <w:r w:rsidR="00770699">
        <w:rPr>
          <w:rStyle w:val="default"/>
          <w:rFonts w:cs="FrankRuehl" w:hint="cs"/>
          <w:rtl/>
        </w:rPr>
        <w:t>)</w:t>
      </w:r>
      <w:r w:rsidR="00770699">
        <w:rPr>
          <w:rStyle w:val="default"/>
          <w:rFonts w:cs="FrankRuehl"/>
          <w:rtl/>
        </w:rPr>
        <w:tab/>
      </w:r>
      <w:r>
        <w:rPr>
          <w:rStyle w:val="default"/>
          <w:rFonts w:cs="FrankRuehl" w:hint="cs"/>
          <w:rtl/>
        </w:rPr>
        <w:t>יובל שטייניץ</w:t>
      </w:r>
    </w:p>
    <w:p w:rsidR="00770699" w:rsidRPr="00947FD2" w:rsidRDefault="00770699" w:rsidP="003311D0">
      <w:pPr>
        <w:pStyle w:val="sig-1"/>
        <w:widowControl/>
        <w:tabs>
          <w:tab w:val="clear" w:pos="851"/>
          <w:tab w:val="clear" w:pos="2835"/>
          <w:tab w:val="clear" w:pos="4820"/>
          <w:tab w:val="center" w:pos="5670"/>
        </w:tabs>
        <w:ind w:left="0" w:right="1134"/>
        <w:rPr>
          <w:rStyle w:val="default"/>
          <w:rFonts w:cs="FrankRuehl"/>
          <w:sz w:val="22"/>
          <w:szCs w:val="22"/>
          <w:rtl/>
        </w:rPr>
      </w:pPr>
      <w:r w:rsidRPr="00947FD2">
        <w:rPr>
          <w:rFonts w:cs="FrankRuehl"/>
          <w:sz w:val="22"/>
          <w:rtl/>
        </w:rPr>
        <w:tab/>
      </w:r>
      <w:r w:rsidRPr="00947FD2">
        <w:rPr>
          <w:rStyle w:val="default"/>
          <w:rFonts w:cs="FrankRuehl"/>
          <w:sz w:val="22"/>
          <w:szCs w:val="22"/>
          <w:rtl/>
        </w:rPr>
        <w:t>שר</w:t>
      </w:r>
      <w:r w:rsidRPr="00947FD2">
        <w:rPr>
          <w:rStyle w:val="default"/>
          <w:rFonts w:cs="FrankRuehl" w:hint="cs"/>
          <w:sz w:val="22"/>
          <w:szCs w:val="22"/>
          <w:rtl/>
        </w:rPr>
        <w:t xml:space="preserve"> </w:t>
      </w:r>
      <w:r w:rsidR="0034711E">
        <w:rPr>
          <w:rStyle w:val="default"/>
          <w:rFonts w:cs="FrankRuehl" w:hint="cs"/>
          <w:sz w:val="22"/>
          <w:szCs w:val="22"/>
          <w:rtl/>
        </w:rPr>
        <w:t>האנרגיה</w:t>
      </w:r>
    </w:p>
    <w:p w:rsidR="004F4B1F" w:rsidRDefault="004F4B1F" w:rsidP="00947FD2">
      <w:pPr>
        <w:pStyle w:val="P00"/>
        <w:spacing w:before="72"/>
        <w:ind w:left="0" w:right="1134"/>
        <w:rPr>
          <w:rStyle w:val="default"/>
          <w:rFonts w:cs="FrankRuehl" w:hint="cs"/>
          <w:rtl/>
        </w:rPr>
      </w:pPr>
    </w:p>
    <w:p w:rsidR="00947FD2" w:rsidRDefault="00947FD2" w:rsidP="00947FD2">
      <w:pPr>
        <w:pStyle w:val="P00"/>
        <w:spacing w:before="72"/>
        <w:ind w:left="0" w:right="1134"/>
        <w:rPr>
          <w:rStyle w:val="default"/>
          <w:rFonts w:cs="FrankRuehl" w:hint="cs"/>
          <w:rtl/>
        </w:rPr>
      </w:pPr>
    </w:p>
    <w:p w:rsidR="00770699" w:rsidRPr="00947FD2" w:rsidRDefault="00770699" w:rsidP="00947FD2">
      <w:pPr>
        <w:pStyle w:val="P00"/>
        <w:spacing w:before="72"/>
        <w:ind w:left="0" w:right="1134"/>
        <w:rPr>
          <w:rStyle w:val="default"/>
          <w:rFonts w:cs="FrankRuehl"/>
          <w:rtl/>
        </w:rPr>
      </w:pPr>
      <w:bookmarkStart w:id="7" w:name="LawPartEnd"/>
    </w:p>
    <w:bookmarkEnd w:id="7"/>
    <w:p w:rsidR="00E46DC3" w:rsidRDefault="00E46DC3" w:rsidP="00947FD2">
      <w:pPr>
        <w:pStyle w:val="P00"/>
        <w:spacing w:before="72"/>
        <w:ind w:left="0" w:right="1134"/>
        <w:rPr>
          <w:rStyle w:val="default"/>
          <w:rFonts w:cs="FrankRuehl"/>
          <w:rtl/>
        </w:rPr>
      </w:pPr>
    </w:p>
    <w:p w:rsidR="00E46DC3" w:rsidRDefault="00E46DC3" w:rsidP="00947FD2">
      <w:pPr>
        <w:pStyle w:val="P00"/>
        <w:spacing w:before="72"/>
        <w:ind w:left="0" w:right="1134"/>
        <w:rPr>
          <w:rStyle w:val="default"/>
          <w:rFonts w:cs="FrankRuehl"/>
          <w:rtl/>
        </w:rPr>
      </w:pPr>
    </w:p>
    <w:p w:rsidR="00E46DC3" w:rsidRDefault="00E46DC3" w:rsidP="00E46DC3">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A83B98" w:rsidRPr="00E46DC3" w:rsidRDefault="00A83B98" w:rsidP="00E46DC3">
      <w:pPr>
        <w:pStyle w:val="P00"/>
        <w:spacing w:before="72"/>
        <w:ind w:left="0" w:right="1134"/>
        <w:jc w:val="center"/>
        <w:rPr>
          <w:rStyle w:val="default"/>
          <w:rFonts w:cs="David"/>
          <w:color w:val="0000FF"/>
          <w:szCs w:val="24"/>
          <w:u w:val="single"/>
          <w:rtl/>
        </w:rPr>
      </w:pPr>
    </w:p>
    <w:sectPr w:rsidR="00A83B98" w:rsidRPr="00E46DC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7FE9" w:rsidRDefault="00067FE9">
      <w:r>
        <w:separator/>
      </w:r>
    </w:p>
  </w:endnote>
  <w:endnote w:type="continuationSeparator" w:id="0">
    <w:p w:rsidR="00067FE9" w:rsidRDefault="0006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7FD2">
      <w:rPr>
        <w:rFonts w:cs="TopType Jerushalmi"/>
        <w:noProof/>
        <w:color w:val="000000"/>
        <w:sz w:val="14"/>
        <w:szCs w:val="14"/>
      </w:rPr>
      <w:t>D:\Yael\hakika\Revadim\058_004.doc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6DC3">
      <w:rPr>
        <w:rFonts w:hAnsi="FrankRuehl" w:cs="FrankRuehl"/>
        <w:noProof/>
        <w:sz w:val="24"/>
        <w:szCs w:val="24"/>
        <w:rtl/>
      </w:rPr>
      <w:t>3</w:t>
    </w:r>
    <w:r>
      <w:rPr>
        <w:rFonts w:hAnsi="FrankRuehl" w:cs="FrankRuehl"/>
        <w:sz w:val="24"/>
        <w:szCs w:val="24"/>
        <w:rtl/>
      </w:rPr>
      <w:fldChar w:fldCharType="end"/>
    </w:r>
  </w:p>
  <w:p w:rsidR="00770699" w:rsidRDefault="0077069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70699" w:rsidRDefault="0077069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47FD2">
      <w:rPr>
        <w:rFonts w:cs="TopType Jerushalmi"/>
        <w:noProof/>
        <w:color w:val="000000"/>
        <w:sz w:val="14"/>
        <w:szCs w:val="14"/>
      </w:rPr>
      <w:t>D:\Yael\hakika\Revadim\058_004.doc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7FE9" w:rsidRDefault="00067FE9" w:rsidP="00947FD2">
      <w:pPr>
        <w:spacing w:before="60" w:line="240" w:lineRule="auto"/>
        <w:ind w:right="1134"/>
      </w:pPr>
      <w:r>
        <w:separator/>
      </w:r>
    </w:p>
  </w:footnote>
  <w:footnote w:type="continuationSeparator" w:id="0">
    <w:p w:rsidR="00067FE9" w:rsidRDefault="00067FE9">
      <w:r>
        <w:continuationSeparator/>
      </w:r>
    </w:p>
  </w:footnote>
  <w:footnote w:id="1">
    <w:p w:rsidR="007E3394" w:rsidRPr="00947FD2" w:rsidRDefault="00947FD2" w:rsidP="007E3394">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sz w:val="22"/>
          <w:szCs w:val="22"/>
          <w:rtl/>
        </w:rPr>
      </w:pPr>
      <w:r w:rsidRPr="00947FD2">
        <w:rPr>
          <w:rStyle w:val="default"/>
          <w:rFonts w:cs="FrankRuehl"/>
          <w:sz w:val="22"/>
          <w:szCs w:val="22"/>
          <w:rtl/>
        </w:rPr>
        <w:t xml:space="preserve">* </w:t>
      </w:r>
      <w:r w:rsidRPr="00460768">
        <w:rPr>
          <w:rStyle w:val="default"/>
          <w:rFonts w:cs="FrankRuehl"/>
          <w:sz w:val="22"/>
          <w:szCs w:val="22"/>
          <w:rtl/>
        </w:rPr>
        <w:t>פו</w:t>
      </w:r>
      <w:r w:rsidRPr="00460768">
        <w:rPr>
          <w:rStyle w:val="default"/>
          <w:rFonts w:cs="FrankRuehl" w:hint="cs"/>
          <w:sz w:val="22"/>
          <w:szCs w:val="22"/>
          <w:rtl/>
        </w:rPr>
        <w:t xml:space="preserve">רסם </w:t>
      </w:r>
      <w:hyperlink r:id="rId1" w:history="1">
        <w:r w:rsidRPr="007E3394">
          <w:rPr>
            <w:rStyle w:val="Hyperlink"/>
            <w:rFonts w:cs="FrankRuehl" w:hint="cs"/>
            <w:rtl/>
          </w:rPr>
          <w:t xml:space="preserve">ק"ת </w:t>
        </w:r>
        <w:r w:rsidR="004F4B1F" w:rsidRPr="007E3394">
          <w:rPr>
            <w:rStyle w:val="Hyperlink"/>
            <w:rFonts w:cs="FrankRuehl" w:hint="cs"/>
            <w:rtl/>
          </w:rPr>
          <w:t>תשע"ח</w:t>
        </w:r>
        <w:r w:rsidRPr="007E3394">
          <w:rPr>
            <w:rStyle w:val="Hyperlink"/>
            <w:rFonts w:cs="FrankRuehl" w:hint="cs"/>
            <w:rtl/>
          </w:rPr>
          <w:t xml:space="preserve"> מס' </w:t>
        </w:r>
        <w:r w:rsidR="004F4B1F" w:rsidRPr="007E3394">
          <w:rPr>
            <w:rStyle w:val="Hyperlink"/>
            <w:rFonts w:cs="FrankRuehl" w:hint="cs"/>
            <w:rtl/>
          </w:rPr>
          <w:t>8061</w:t>
        </w:r>
      </w:hyperlink>
      <w:r w:rsidRPr="00460768">
        <w:rPr>
          <w:rStyle w:val="default"/>
          <w:rFonts w:cs="FrankRuehl" w:hint="cs"/>
          <w:sz w:val="22"/>
          <w:szCs w:val="22"/>
          <w:rtl/>
        </w:rPr>
        <w:t xml:space="preserve"> מיום </w:t>
      </w:r>
      <w:r w:rsidR="004F4B1F">
        <w:rPr>
          <w:rStyle w:val="default"/>
          <w:rFonts w:cs="FrankRuehl" w:hint="cs"/>
          <w:sz w:val="22"/>
          <w:szCs w:val="22"/>
          <w:rtl/>
        </w:rPr>
        <w:t>20.8.2018</w:t>
      </w:r>
      <w:r w:rsidRPr="00460768">
        <w:rPr>
          <w:rStyle w:val="default"/>
          <w:rFonts w:cs="FrankRuehl" w:hint="cs"/>
          <w:sz w:val="22"/>
          <w:szCs w:val="22"/>
          <w:rtl/>
        </w:rPr>
        <w:t xml:space="preserve"> עמ' </w:t>
      </w:r>
      <w:r w:rsidR="004F4B1F">
        <w:rPr>
          <w:rStyle w:val="default"/>
          <w:rFonts w:cs="FrankRuehl" w:hint="cs"/>
          <w:sz w:val="22"/>
          <w:szCs w:val="22"/>
          <w:rtl/>
        </w:rPr>
        <w:t>2672</w:t>
      </w:r>
      <w:r w:rsidRPr="00460768">
        <w:rPr>
          <w:rStyle w:val="default"/>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הגז (בטיחות ורישוי) (מיתקנים לחלוקת גז טבעי), תשנ"ט–1999</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0699" w:rsidRDefault="00770699" w:rsidP="005B2845">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הגז (בטיחות ורישוי) (מיתקנים </w:t>
    </w:r>
    <w:r w:rsidR="005B2845">
      <w:rPr>
        <w:rFonts w:hAnsi="FrankRuehl" w:cs="FrankRuehl" w:hint="cs"/>
        <w:color w:val="000000"/>
        <w:sz w:val="28"/>
        <w:szCs w:val="28"/>
        <w:rtl/>
      </w:rPr>
      <w:t>להולכת</w:t>
    </w:r>
    <w:r>
      <w:rPr>
        <w:rFonts w:hAnsi="FrankRuehl" w:cs="FrankRuehl"/>
        <w:color w:val="000000"/>
        <w:sz w:val="28"/>
        <w:szCs w:val="28"/>
        <w:rtl/>
      </w:rPr>
      <w:t xml:space="preserve"> גז טבעי), </w:t>
    </w:r>
    <w:r w:rsidR="004F4B1F">
      <w:rPr>
        <w:rFonts w:hAnsi="FrankRuehl" w:cs="FrankRuehl" w:hint="cs"/>
        <w:color w:val="000000"/>
        <w:sz w:val="28"/>
        <w:szCs w:val="28"/>
        <w:rtl/>
      </w:rPr>
      <w:t>תשע"ח-2018</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70699" w:rsidRDefault="0077069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768"/>
    <w:rsid w:val="00067FE9"/>
    <w:rsid w:val="00146CAF"/>
    <w:rsid w:val="003311D0"/>
    <w:rsid w:val="0034711E"/>
    <w:rsid w:val="00365B72"/>
    <w:rsid w:val="00460768"/>
    <w:rsid w:val="004F4B1F"/>
    <w:rsid w:val="005B2845"/>
    <w:rsid w:val="006662CF"/>
    <w:rsid w:val="00770699"/>
    <w:rsid w:val="007E3394"/>
    <w:rsid w:val="00864B2E"/>
    <w:rsid w:val="00947FD2"/>
    <w:rsid w:val="00950135"/>
    <w:rsid w:val="00A07CED"/>
    <w:rsid w:val="00A83B98"/>
    <w:rsid w:val="00AA515C"/>
    <w:rsid w:val="00C8752C"/>
    <w:rsid w:val="00CA1BA8"/>
    <w:rsid w:val="00D53B61"/>
    <w:rsid w:val="00D72DF2"/>
    <w:rsid w:val="00E46DC3"/>
    <w:rsid w:val="00F541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6CC5968-F3E6-454B-B820-BBD0E048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47FD2"/>
    <w:rPr>
      <w:sz w:val="20"/>
      <w:szCs w:val="20"/>
    </w:rPr>
  </w:style>
  <w:style w:type="character" w:styleId="a6">
    <w:name w:val="footnote reference"/>
    <w:semiHidden/>
    <w:rsid w:val="00947FD2"/>
    <w:rPr>
      <w:vertAlign w:val="superscript"/>
    </w:rPr>
  </w:style>
  <w:style w:type="character" w:customStyle="1" w:styleId="UnresolvedMention">
    <w:name w:val="Unresolved Mention"/>
    <w:uiPriority w:val="99"/>
    <w:semiHidden/>
    <w:unhideWhenUsed/>
    <w:rsid w:val="004F4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ergy.gov.i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3592</CharactersWithSpaces>
  <SharedDoc>false</SharedDoc>
  <HLinks>
    <vt:vector size="60" baseType="variant">
      <vt:variant>
        <vt:i4>393283</vt:i4>
      </vt:variant>
      <vt:variant>
        <vt:i4>45</vt:i4>
      </vt:variant>
      <vt:variant>
        <vt:i4>0</vt:i4>
      </vt:variant>
      <vt:variant>
        <vt:i4>5</vt:i4>
      </vt:variant>
      <vt:variant>
        <vt:lpwstr>http://www.nevo.co.il/advertisements/nevo-100.doc</vt:lpwstr>
      </vt:variant>
      <vt:variant>
        <vt:lpwstr/>
      </vt:variant>
      <vt:variant>
        <vt:i4>5177421</vt:i4>
      </vt:variant>
      <vt:variant>
        <vt:i4>42</vt:i4>
      </vt:variant>
      <vt:variant>
        <vt:i4>0</vt:i4>
      </vt:variant>
      <vt:variant>
        <vt:i4>5</vt:i4>
      </vt:variant>
      <vt:variant>
        <vt:lpwstr>http://www.energy.gov.il/</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7798793</vt:i4>
      </vt:variant>
      <vt:variant>
        <vt:i4>0</vt:i4>
      </vt:variant>
      <vt:variant>
        <vt:i4>0</vt:i4>
      </vt:variant>
      <vt:variant>
        <vt:i4>5</vt:i4>
      </vt:variant>
      <vt:variant>
        <vt:lpwstr>http://www.nevo.co.il/Law_word/law06/TAK-8061.pdf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גז</vt:lpwstr>
  </property>
  <property fmtid="{D5CDD505-2E9C-101B-9397-08002B2CF9AE}" pid="4" name="LAWNAME">
    <vt:lpwstr>צו הגז (בטיחות ורישוי) (מיתקנים להולכת גז טבעי), תשע"ח-2018</vt:lpwstr>
  </property>
  <property fmtid="{D5CDD505-2E9C-101B-9397-08002B2CF9AE}" pid="5" name="LAWNUMBER">
    <vt:lpwstr>0940</vt:lpwstr>
  </property>
  <property fmtid="{D5CDD505-2E9C-101B-9397-08002B2CF9AE}" pid="6" name="TYPE">
    <vt:lpwstr>01</vt:lpwstr>
  </property>
  <property fmtid="{D5CDD505-2E9C-101B-9397-08002B2CF9AE}" pid="7" name="MEKOR_NAME1">
    <vt:lpwstr>חוק הגז (בטיחות ורישוי)</vt:lpwstr>
  </property>
  <property fmtid="{D5CDD505-2E9C-101B-9397-08002B2CF9AE}" pid="8" name="MEKOR_SAIF1">
    <vt:lpwstr>2X;30X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גז</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http://www.nevo.co.il/Law_word/law06/TAK-8061.pdf;‎רשומות - תקנות כלליות#פורסם ק"ת תשע"ח מס' ‏‏8061 #מיום 20.8.2018 עמ' 2672‏</vt:lpwstr>
  </property>
</Properties>
</file>