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DD96" w14:textId="77777777" w:rsidR="00770699" w:rsidRPr="0082624D" w:rsidRDefault="00770699" w:rsidP="00FD13A8">
      <w:pPr>
        <w:pStyle w:val="big-header"/>
        <w:ind w:left="0" w:right="1134"/>
        <w:rPr>
          <w:rFonts w:cs="FrankRuehl" w:hint="cs"/>
        </w:rPr>
      </w:pPr>
      <w:r w:rsidRPr="0082624D">
        <w:rPr>
          <w:rFonts w:cs="FrankRuehl"/>
          <w:rtl/>
        </w:rPr>
        <w:t>צו הגז (בטיחות ורישוי) (</w:t>
      </w:r>
      <w:r w:rsidR="00FD13A8" w:rsidRPr="0082624D">
        <w:rPr>
          <w:rFonts w:cs="FrankRuehl" w:hint="cs"/>
          <w:rtl/>
        </w:rPr>
        <w:t>מכלי גפ"מ מיטלטלים), תשע"ה-2015</w:t>
      </w:r>
    </w:p>
    <w:p w14:paraId="51018760" w14:textId="77777777" w:rsidR="006662CF" w:rsidRPr="0082624D" w:rsidRDefault="006662CF" w:rsidP="006662CF">
      <w:pPr>
        <w:spacing w:line="320" w:lineRule="auto"/>
        <w:jc w:val="left"/>
        <w:rPr>
          <w:rFonts w:cs="FrankRuehl"/>
          <w:sz w:val="20"/>
          <w:szCs w:val="26"/>
          <w:rtl/>
        </w:rPr>
      </w:pPr>
    </w:p>
    <w:p w14:paraId="42B35D72" w14:textId="77777777" w:rsidR="006662CF" w:rsidRPr="0082624D" w:rsidRDefault="006662CF" w:rsidP="006662CF">
      <w:pPr>
        <w:spacing w:line="320" w:lineRule="auto"/>
        <w:jc w:val="left"/>
        <w:rPr>
          <w:sz w:val="20"/>
          <w:rtl/>
        </w:rPr>
      </w:pPr>
    </w:p>
    <w:p w14:paraId="7614A3A5" w14:textId="77777777" w:rsidR="006662CF" w:rsidRPr="0082624D" w:rsidRDefault="006662CF" w:rsidP="006662CF">
      <w:pPr>
        <w:spacing w:line="320" w:lineRule="auto"/>
        <w:jc w:val="left"/>
        <w:rPr>
          <w:rFonts w:cs="Miriam"/>
          <w:sz w:val="20"/>
          <w:szCs w:val="22"/>
          <w:rtl/>
        </w:rPr>
      </w:pPr>
      <w:r w:rsidRPr="0082624D">
        <w:rPr>
          <w:rFonts w:cs="Miriam"/>
          <w:sz w:val="20"/>
          <w:szCs w:val="22"/>
          <w:rtl/>
        </w:rPr>
        <w:t>רשויות ומשפט מנהלי</w:t>
      </w:r>
      <w:r w:rsidRPr="0082624D">
        <w:rPr>
          <w:rFonts w:cs="FrankRuehl"/>
          <w:sz w:val="20"/>
          <w:szCs w:val="26"/>
          <w:rtl/>
        </w:rPr>
        <w:t xml:space="preserve"> – תשתיות – גז</w:t>
      </w:r>
    </w:p>
    <w:p w14:paraId="10D6EADA" w14:textId="77777777" w:rsidR="00770699" w:rsidRPr="0082624D" w:rsidRDefault="00770699">
      <w:pPr>
        <w:pStyle w:val="big-header"/>
        <w:ind w:left="0" w:right="1134"/>
        <w:rPr>
          <w:rFonts w:cs="FrankRuehl"/>
          <w:rtl/>
        </w:rPr>
      </w:pPr>
      <w:r w:rsidRPr="0082624D">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05E4" w:rsidRPr="00C805E4" w14:paraId="5EA9437C" w14:textId="77777777" w:rsidTr="00C805E4">
        <w:tblPrEx>
          <w:tblCellMar>
            <w:top w:w="0" w:type="dxa"/>
            <w:bottom w:w="0" w:type="dxa"/>
          </w:tblCellMar>
        </w:tblPrEx>
        <w:tc>
          <w:tcPr>
            <w:tcW w:w="1247" w:type="dxa"/>
          </w:tcPr>
          <w:p w14:paraId="1FFC750E" w14:textId="77777777" w:rsidR="00C805E4" w:rsidRPr="00C805E4" w:rsidRDefault="00C805E4" w:rsidP="00C805E4">
            <w:pPr>
              <w:spacing w:line="240" w:lineRule="auto"/>
              <w:jc w:val="left"/>
              <w:rPr>
                <w:rFonts w:cs="Frankruhel"/>
                <w:sz w:val="24"/>
                <w:rtl/>
              </w:rPr>
            </w:pPr>
            <w:r>
              <w:rPr>
                <w:sz w:val="24"/>
                <w:rtl/>
              </w:rPr>
              <w:t xml:space="preserve">סעיף 1 </w:t>
            </w:r>
          </w:p>
        </w:tc>
        <w:tc>
          <w:tcPr>
            <w:tcW w:w="5669" w:type="dxa"/>
          </w:tcPr>
          <w:p w14:paraId="332354FB" w14:textId="77777777" w:rsidR="00C805E4" w:rsidRPr="00C805E4" w:rsidRDefault="00C805E4" w:rsidP="00C805E4">
            <w:pPr>
              <w:spacing w:line="240" w:lineRule="auto"/>
              <w:jc w:val="left"/>
              <w:rPr>
                <w:rFonts w:cs="Frankruhel"/>
                <w:sz w:val="24"/>
                <w:rtl/>
              </w:rPr>
            </w:pPr>
            <w:r>
              <w:rPr>
                <w:sz w:val="24"/>
                <w:rtl/>
              </w:rPr>
              <w:t>הגדרות</w:t>
            </w:r>
          </w:p>
        </w:tc>
        <w:tc>
          <w:tcPr>
            <w:tcW w:w="567" w:type="dxa"/>
          </w:tcPr>
          <w:p w14:paraId="6D7FF22E" w14:textId="77777777" w:rsidR="00C805E4" w:rsidRPr="00C805E4" w:rsidRDefault="00C805E4" w:rsidP="00C805E4">
            <w:pPr>
              <w:spacing w:line="240" w:lineRule="auto"/>
              <w:jc w:val="left"/>
              <w:rPr>
                <w:rStyle w:val="Hyperlink"/>
                <w:rtl/>
              </w:rPr>
            </w:pPr>
            <w:hyperlink w:anchor="Seif1" w:tooltip="הגדרות" w:history="1">
              <w:r w:rsidRPr="00C805E4">
                <w:rPr>
                  <w:rStyle w:val="Hyperlink"/>
                </w:rPr>
                <w:t>Go</w:t>
              </w:r>
            </w:hyperlink>
          </w:p>
        </w:tc>
        <w:tc>
          <w:tcPr>
            <w:tcW w:w="850" w:type="dxa"/>
          </w:tcPr>
          <w:p w14:paraId="607AB61C"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05E4" w:rsidRPr="00C805E4" w14:paraId="33ACEA0C" w14:textId="77777777" w:rsidTr="00C805E4">
        <w:tblPrEx>
          <w:tblCellMar>
            <w:top w:w="0" w:type="dxa"/>
            <w:bottom w:w="0" w:type="dxa"/>
          </w:tblCellMar>
        </w:tblPrEx>
        <w:tc>
          <w:tcPr>
            <w:tcW w:w="1247" w:type="dxa"/>
          </w:tcPr>
          <w:p w14:paraId="1E8EDACB" w14:textId="77777777" w:rsidR="00C805E4" w:rsidRPr="00C805E4" w:rsidRDefault="00C805E4" w:rsidP="00C805E4">
            <w:pPr>
              <w:spacing w:line="240" w:lineRule="auto"/>
              <w:jc w:val="left"/>
              <w:rPr>
                <w:rFonts w:cs="Frankruhel"/>
                <w:sz w:val="24"/>
                <w:rtl/>
              </w:rPr>
            </w:pPr>
            <w:r>
              <w:rPr>
                <w:sz w:val="24"/>
                <w:rtl/>
              </w:rPr>
              <w:t xml:space="preserve">סעיף 2 </w:t>
            </w:r>
          </w:p>
        </w:tc>
        <w:tc>
          <w:tcPr>
            <w:tcW w:w="5669" w:type="dxa"/>
          </w:tcPr>
          <w:p w14:paraId="696C630D" w14:textId="77777777" w:rsidR="00C805E4" w:rsidRPr="00C805E4" w:rsidRDefault="00C805E4" w:rsidP="00C805E4">
            <w:pPr>
              <w:spacing w:line="240" w:lineRule="auto"/>
              <w:jc w:val="left"/>
              <w:rPr>
                <w:rFonts w:cs="Frankruhel"/>
                <w:sz w:val="24"/>
                <w:rtl/>
              </w:rPr>
            </w:pPr>
            <w:r>
              <w:rPr>
                <w:sz w:val="24"/>
                <w:rtl/>
              </w:rPr>
              <w:t>איסור שינוי סימון</w:t>
            </w:r>
          </w:p>
        </w:tc>
        <w:tc>
          <w:tcPr>
            <w:tcW w:w="567" w:type="dxa"/>
          </w:tcPr>
          <w:p w14:paraId="7E20EA99" w14:textId="77777777" w:rsidR="00C805E4" w:rsidRPr="00C805E4" w:rsidRDefault="00C805E4" w:rsidP="00C805E4">
            <w:pPr>
              <w:spacing w:line="240" w:lineRule="auto"/>
              <w:jc w:val="left"/>
              <w:rPr>
                <w:rStyle w:val="Hyperlink"/>
                <w:rtl/>
              </w:rPr>
            </w:pPr>
            <w:hyperlink w:anchor="Seif2" w:tooltip="איסור שינוי סימון" w:history="1">
              <w:r w:rsidRPr="00C805E4">
                <w:rPr>
                  <w:rStyle w:val="Hyperlink"/>
                </w:rPr>
                <w:t>Go</w:t>
              </w:r>
            </w:hyperlink>
          </w:p>
        </w:tc>
        <w:tc>
          <w:tcPr>
            <w:tcW w:w="850" w:type="dxa"/>
          </w:tcPr>
          <w:p w14:paraId="4FD4D99B"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05E4" w:rsidRPr="00C805E4" w14:paraId="3246D810" w14:textId="77777777" w:rsidTr="00C805E4">
        <w:tblPrEx>
          <w:tblCellMar>
            <w:top w:w="0" w:type="dxa"/>
            <w:bottom w:w="0" w:type="dxa"/>
          </w:tblCellMar>
        </w:tblPrEx>
        <w:tc>
          <w:tcPr>
            <w:tcW w:w="1247" w:type="dxa"/>
          </w:tcPr>
          <w:p w14:paraId="0B9BA6EE" w14:textId="77777777" w:rsidR="00C805E4" w:rsidRPr="00C805E4" w:rsidRDefault="00C805E4" w:rsidP="00C805E4">
            <w:pPr>
              <w:spacing w:line="240" w:lineRule="auto"/>
              <w:jc w:val="left"/>
              <w:rPr>
                <w:rFonts w:cs="Frankruhel"/>
                <w:sz w:val="24"/>
                <w:rtl/>
              </w:rPr>
            </w:pPr>
            <w:r>
              <w:rPr>
                <w:sz w:val="24"/>
                <w:rtl/>
              </w:rPr>
              <w:t xml:space="preserve">סעיף 3 </w:t>
            </w:r>
          </w:p>
        </w:tc>
        <w:tc>
          <w:tcPr>
            <w:tcW w:w="5669" w:type="dxa"/>
          </w:tcPr>
          <w:p w14:paraId="6D5FA065" w14:textId="77777777" w:rsidR="00C805E4" w:rsidRPr="00C805E4" w:rsidRDefault="00C805E4" w:rsidP="00C805E4">
            <w:pPr>
              <w:spacing w:line="240" w:lineRule="auto"/>
              <w:jc w:val="left"/>
              <w:rPr>
                <w:rFonts w:cs="Frankruhel"/>
                <w:sz w:val="24"/>
                <w:rtl/>
              </w:rPr>
            </w:pPr>
            <w:r>
              <w:rPr>
                <w:sz w:val="24"/>
                <w:rtl/>
              </w:rPr>
              <w:t>איסור שימוש במכל גפ"מ שאינו מסומן בסימון שם ספק הגז</w:t>
            </w:r>
          </w:p>
        </w:tc>
        <w:tc>
          <w:tcPr>
            <w:tcW w:w="567" w:type="dxa"/>
          </w:tcPr>
          <w:p w14:paraId="08993BC7" w14:textId="77777777" w:rsidR="00C805E4" w:rsidRPr="00C805E4" w:rsidRDefault="00C805E4" w:rsidP="00C805E4">
            <w:pPr>
              <w:spacing w:line="240" w:lineRule="auto"/>
              <w:jc w:val="left"/>
              <w:rPr>
                <w:rStyle w:val="Hyperlink"/>
                <w:rtl/>
              </w:rPr>
            </w:pPr>
            <w:hyperlink w:anchor="Seif3" w:tooltip="איסור שימוש במכל גפמ שאינו מסומן בסימון שם ספק הגז" w:history="1">
              <w:r w:rsidRPr="00C805E4">
                <w:rPr>
                  <w:rStyle w:val="Hyperlink"/>
                </w:rPr>
                <w:t>Go</w:t>
              </w:r>
            </w:hyperlink>
          </w:p>
        </w:tc>
        <w:tc>
          <w:tcPr>
            <w:tcW w:w="850" w:type="dxa"/>
          </w:tcPr>
          <w:p w14:paraId="79970925"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05E4" w:rsidRPr="00C805E4" w14:paraId="2C17D83C" w14:textId="77777777" w:rsidTr="00C805E4">
        <w:tblPrEx>
          <w:tblCellMar>
            <w:top w:w="0" w:type="dxa"/>
            <w:bottom w:w="0" w:type="dxa"/>
          </w:tblCellMar>
        </w:tblPrEx>
        <w:tc>
          <w:tcPr>
            <w:tcW w:w="1247" w:type="dxa"/>
          </w:tcPr>
          <w:p w14:paraId="62DBAEF5" w14:textId="77777777" w:rsidR="00C805E4" w:rsidRPr="00C805E4" w:rsidRDefault="00C805E4" w:rsidP="00C805E4">
            <w:pPr>
              <w:spacing w:line="240" w:lineRule="auto"/>
              <w:jc w:val="left"/>
              <w:rPr>
                <w:rFonts w:cs="Frankruhel"/>
                <w:sz w:val="24"/>
                <w:rtl/>
              </w:rPr>
            </w:pPr>
            <w:r>
              <w:rPr>
                <w:sz w:val="24"/>
                <w:rtl/>
              </w:rPr>
              <w:t xml:space="preserve">סעיף 4 </w:t>
            </w:r>
          </w:p>
        </w:tc>
        <w:tc>
          <w:tcPr>
            <w:tcW w:w="5669" w:type="dxa"/>
          </w:tcPr>
          <w:p w14:paraId="20D3E258" w14:textId="77777777" w:rsidR="00C805E4" w:rsidRPr="00C805E4" w:rsidRDefault="00C805E4" w:rsidP="00C805E4">
            <w:pPr>
              <w:spacing w:line="240" w:lineRule="auto"/>
              <w:jc w:val="left"/>
              <w:rPr>
                <w:rFonts w:cs="Frankruhel"/>
                <w:sz w:val="24"/>
                <w:rtl/>
              </w:rPr>
            </w:pPr>
            <w:r>
              <w:rPr>
                <w:sz w:val="24"/>
                <w:rtl/>
              </w:rPr>
              <w:t>מילוי מכל בגפ"מ</w:t>
            </w:r>
          </w:p>
        </w:tc>
        <w:tc>
          <w:tcPr>
            <w:tcW w:w="567" w:type="dxa"/>
          </w:tcPr>
          <w:p w14:paraId="7B9F0EAD" w14:textId="77777777" w:rsidR="00C805E4" w:rsidRPr="00C805E4" w:rsidRDefault="00C805E4" w:rsidP="00C805E4">
            <w:pPr>
              <w:spacing w:line="240" w:lineRule="auto"/>
              <w:jc w:val="left"/>
              <w:rPr>
                <w:rStyle w:val="Hyperlink"/>
                <w:rtl/>
              </w:rPr>
            </w:pPr>
            <w:hyperlink w:anchor="Seif4" w:tooltip="מילוי מכל בגפמ" w:history="1">
              <w:r w:rsidRPr="00C805E4">
                <w:rPr>
                  <w:rStyle w:val="Hyperlink"/>
                </w:rPr>
                <w:t>Go</w:t>
              </w:r>
            </w:hyperlink>
          </w:p>
        </w:tc>
        <w:tc>
          <w:tcPr>
            <w:tcW w:w="850" w:type="dxa"/>
          </w:tcPr>
          <w:p w14:paraId="2002F258"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5E4" w:rsidRPr="00C805E4" w14:paraId="79468211" w14:textId="77777777" w:rsidTr="00C805E4">
        <w:tblPrEx>
          <w:tblCellMar>
            <w:top w:w="0" w:type="dxa"/>
            <w:bottom w:w="0" w:type="dxa"/>
          </w:tblCellMar>
        </w:tblPrEx>
        <w:tc>
          <w:tcPr>
            <w:tcW w:w="1247" w:type="dxa"/>
          </w:tcPr>
          <w:p w14:paraId="29CF4D77" w14:textId="77777777" w:rsidR="00C805E4" w:rsidRPr="00C805E4" w:rsidRDefault="00C805E4" w:rsidP="00C805E4">
            <w:pPr>
              <w:spacing w:line="240" w:lineRule="auto"/>
              <w:jc w:val="left"/>
              <w:rPr>
                <w:rFonts w:cs="Frankruhel"/>
                <w:sz w:val="24"/>
                <w:rtl/>
              </w:rPr>
            </w:pPr>
            <w:r>
              <w:rPr>
                <w:sz w:val="24"/>
                <w:rtl/>
              </w:rPr>
              <w:t xml:space="preserve">סעיף 5 </w:t>
            </w:r>
          </w:p>
        </w:tc>
        <w:tc>
          <w:tcPr>
            <w:tcW w:w="5669" w:type="dxa"/>
          </w:tcPr>
          <w:p w14:paraId="10DB95A4" w14:textId="77777777" w:rsidR="00C805E4" w:rsidRPr="00C805E4" w:rsidRDefault="00C805E4" w:rsidP="00C805E4">
            <w:pPr>
              <w:spacing w:line="240" w:lineRule="auto"/>
              <w:jc w:val="left"/>
              <w:rPr>
                <w:rFonts w:cs="Frankruhel"/>
                <w:sz w:val="24"/>
                <w:rtl/>
              </w:rPr>
            </w:pPr>
            <w:r>
              <w:rPr>
                <w:sz w:val="24"/>
                <w:rtl/>
              </w:rPr>
              <w:t>שיווק מכל גפ"מ</w:t>
            </w:r>
          </w:p>
        </w:tc>
        <w:tc>
          <w:tcPr>
            <w:tcW w:w="567" w:type="dxa"/>
          </w:tcPr>
          <w:p w14:paraId="53086C06" w14:textId="77777777" w:rsidR="00C805E4" w:rsidRPr="00C805E4" w:rsidRDefault="00C805E4" w:rsidP="00C805E4">
            <w:pPr>
              <w:spacing w:line="240" w:lineRule="auto"/>
              <w:jc w:val="left"/>
              <w:rPr>
                <w:rStyle w:val="Hyperlink"/>
                <w:rtl/>
              </w:rPr>
            </w:pPr>
            <w:hyperlink w:anchor="Seif5" w:tooltip="שיווק מכל גפמ" w:history="1">
              <w:r w:rsidRPr="00C805E4">
                <w:rPr>
                  <w:rStyle w:val="Hyperlink"/>
                </w:rPr>
                <w:t>Go</w:t>
              </w:r>
            </w:hyperlink>
          </w:p>
        </w:tc>
        <w:tc>
          <w:tcPr>
            <w:tcW w:w="850" w:type="dxa"/>
          </w:tcPr>
          <w:p w14:paraId="05250BE8"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5E4" w:rsidRPr="00C805E4" w14:paraId="144825AF" w14:textId="77777777" w:rsidTr="00C805E4">
        <w:tblPrEx>
          <w:tblCellMar>
            <w:top w:w="0" w:type="dxa"/>
            <w:bottom w:w="0" w:type="dxa"/>
          </w:tblCellMar>
        </w:tblPrEx>
        <w:tc>
          <w:tcPr>
            <w:tcW w:w="1247" w:type="dxa"/>
          </w:tcPr>
          <w:p w14:paraId="20F8CE9F" w14:textId="77777777" w:rsidR="00C805E4" w:rsidRPr="00C805E4" w:rsidRDefault="00C805E4" w:rsidP="00C805E4">
            <w:pPr>
              <w:spacing w:line="240" w:lineRule="auto"/>
              <w:jc w:val="left"/>
              <w:rPr>
                <w:rFonts w:cs="Frankruhel"/>
                <w:sz w:val="24"/>
                <w:rtl/>
              </w:rPr>
            </w:pPr>
            <w:r>
              <w:rPr>
                <w:sz w:val="24"/>
                <w:rtl/>
              </w:rPr>
              <w:t xml:space="preserve">סעיף 6 </w:t>
            </w:r>
          </w:p>
        </w:tc>
        <w:tc>
          <w:tcPr>
            <w:tcW w:w="5669" w:type="dxa"/>
          </w:tcPr>
          <w:p w14:paraId="041B7AC3" w14:textId="77777777" w:rsidR="00C805E4" w:rsidRPr="00C805E4" w:rsidRDefault="00C805E4" w:rsidP="00C805E4">
            <w:pPr>
              <w:spacing w:line="240" w:lineRule="auto"/>
              <w:jc w:val="left"/>
              <w:rPr>
                <w:rFonts w:cs="Frankruhel"/>
                <w:sz w:val="24"/>
                <w:rtl/>
              </w:rPr>
            </w:pPr>
            <w:r>
              <w:rPr>
                <w:sz w:val="24"/>
                <w:rtl/>
              </w:rPr>
              <w:t>הכנסת מכלי גפ"מ לישראל</w:t>
            </w:r>
          </w:p>
        </w:tc>
        <w:tc>
          <w:tcPr>
            <w:tcW w:w="567" w:type="dxa"/>
          </w:tcPr>
          <w:p w14:paraId="2D414BE1" w14:textId="77777777" w:rsidR="00C805E4" w:rsidRPr="00C805E4" w:rsidRDefault="00C805E4" w:rsidP="00C805E4">
            <w:pPr>
              <w:spacing w:line="240" w:lineRule="auto"/>
              <w:jc w:val="left"/>
              <w:rPr>
                <w:rStyle w:val="Hyperlink"/>
                <w:rtl/>
              </w:rPr>
            </w:pPr>
            <w:hyperlink w:anchor="Seif6" w:tooltip="הכנסת מכלי גפמ לישראל" w:history="1">
              <w:r w:rsidRPr="00C805E4">
                <w:rPr>
                  <w:rStyle w:val="Hyperlink"/>
                </w:rPr>
                <w:t>Go</w:t>
              </w:r>
            </w:hyperlink>
          </w:p>
        </w:tc>
        <w:tc>
          <w:tcPr>
            <w:tcW w:w="850" w:type="dxa"/>
          </w:tcPr>
          <w:p w14:paraId="3D08C3B1"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5E4" w:rsidRPr="00C805E4" w14:paraId="661A8C21" w14:textId="77777777" w:rsidTr="00C805E4">
        <w:tblPrEx>
          <w:tblCellMar>
            <w:top w:w="0" w:type="dxa"/>
            <w:bottom w:w="0" w:type="dxa"/>
          </w:tblCellMar>
        </w:tblPrEx>
        <w:tc>
          <w:tcPr>
            <w:tcW w:w="1247" w:type="dxa"/>
          </w:tcPr>
          <w:p w14:paraId="2EDA6FE2" w14:textId="77777777" w:rsidR="00C805E4" w:rsidRPr="00C805E4" w:rsidRDefault="00C805E4" w:rsidP="00C805E4">
            <w:pPr>
              <w:spacing w:line="240" w:lineRule="auto"/>
              <w:jc w:val="left"/>
              <w:rPr>
                <w:rFonts w:cs="Frankruhel"/>
                <w:sz w:val="24"/>
                <w:rtl/>
              </w:rPr>
            </w:pPr>
            <w:r>
              <w:rPr>
                <w:sz w:val="24"/>
                <w:rtl/>
              </w:rPr>
              <w:t xml:space="preserve">סעיף 7 </w:t>
            </w:r>
          </w:p>
        </w:tc>
        <w:tc>
          <w:tcPr>
            <w:tcW w:w="5669" w:type="dxa"/>
          </w:tcPr>
          <w:p w14:paraId="0D030B9E" w14:textId="77777777" w:rsidR="00C805E4" w:rsidRPr="00C805E4" w:rsidRDefault="00C805E4" w:rsidP="00C805E4">
            <w:pPr>
              <w:spacing w:line="240" w:lineRule="auto"/>
              <w:jc w:val="left"/>
              <w:rPr>
                <w:rFonts w:cs="Frankruhel"/>
                <w:sz w:val="24"/>
                <w:rtl/>
              </w:rPr>
            </w:pPr>
            <w:r>
              <w:rPr>
                <w:sz w:val="24"/>
                <w:rtl/>
              </w:rPr>
              <w:t>הוצאת מכלי גפ"מ מישראל לאזור</w:t>
            </w:r>
          </w:p>
        </w:tc>
        <w:tc>
          <w:tcPr>
            <w:tcW w:w="567" w:type="dxa"/>
          </w:tcPr>
          <w:p w14:paraId="48E1700F" w14:textId="77777777" w:rsidR="00C805E4" w:rsidRPr="00C805E4" w:rsidRDefault="00C805E4" w:rsidP="00C805E4">
            <w:pPr>
              <w:spacing w:line="240" w:lineRule="auto"/>
              <w:jc w:val="left"/>
              <w:rPr>
                <w:rStyle w:val="Hyperlink"/>
                <w:rtl/>
              </w:rPr>
            </w:pPr>
            <w:hyperlink w:anchor="Seif7" w:tooltip="הוצאת מכלי גפמ מישראל לאזור" w:history="1">
              <w:r w:rsidRPr="00C805E4">
                <w:rPr>
                  <w:rStyle w:val="Hyperlink"/>
                </w:rPr>
                <w:t>Go</w:t>
              </w:r>
            </w:hyperlink>
          </w:p>
        </w:tc>
        <w:tc>
          <w:tcPr>
            <w:tcW w:w="850" w:type="dxa"/>
          </w:tcPr>
          <w:p w14:paraId="0B94CA1E"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5E4" w:rsidRPr="00C805E4" w14:paraId="063D1240" w14:textId="77777777" w:rsidTr="00C805E4">
        <w:tblPrEx>
          <w:tblCellMar>
            <w:top w:w="0" w:type="dxa"/>
            <w:bottom w:w="0" w:type="dxa"/>
          </w:tblCellMar>
        </w:tblPrEx>
        <w:tc>
          <w:tcPr>
            <w:tcW w:w="1247" w:type="dxa"/>
          </w:tcPr>
          <w:p w14:paraId="237EC6C6" w14:textId="77777777" w:rsidR="00C805E4" w:rsidRPr="00C805E4" w:rsidRDefault="00C805E4" w:rsidP="00C805E4">
            <w:pPr>
              <w:spacing w:line="240" w:lineRule="auto"/>
              <w:jc w:val="left"/>
              <w:rPr>
                <w:rFonts w:cs="Frankruhel"/>
                <w:sz w:val="24"/>
                <w:rtl/>
              </w:rPr>
            </w:pPr>
            <w:r>
              <w:rPr>
                <w:sz w:val="24"/>
                <w:rtl/>
              </w:rPr>
              <w:t xml:space="preserve">סעיף 8 </w:t>
            </w:r>
          </w:p>
        </w:tc>
        <w:tc>
          <w:tcPr>
            <w:tcW w:w="5669" w:type="dxa"/>
          </w:tcPr>
          <w:p w14:paraId="519C6C46" w14:textId="77777777" w:rsidR="00C805E4" w:rsidRPr="00C805E4" w:rsidRDefault="00C805E4" w:rsidP="00C805E4">
            <w:pPr>
              <w:spacing w:line="240" w:lineRule="auto"/>
              <w:jc w:val="left"/>
              <w:rPr>
                <w:rFonts w:cs="Frankruhel"/>
                <w:sz w:val="24"/>
                <w:rtl/>
              </w:rPr>
            </w:pPr>
            <w:r>
              <w:rPr>
                <w:sz w:val="24"/>
                <w:rtl/>
              </w:rPr>
              <w:t>שמירת דינים</w:t>
            </w:r>
          </w:p>
        </w:tc>
        <w:tc>
          <w:tcPr>
            <w:tcW w:w="567" w:type="dxa"/>
          </w:tcPr>
          <w:p w14:paraId="78F2AB2B" w14:textId="77777777" w:rsidR="00C805E4" w:rsidRPr="00C805E4" w:rsidRDefault="00C805E4" w:rsidP="00C805E4">
            <w:pPr>
              <w:spacing w:line="240" w:lineRule="auto"/>
              <w:jc w:val="left"/>
              <w:rPr>
                <w:rStyle w:val="Hyperlink"/>
                <w:rtl/>
              </w:rPr>
            </w:pPr>
            <w:hyperlink w:anchor="Seif8" w:tooltip="שמירת דינים" w:history="1">
              <w:r w:rsidRPr="00C805E4">
                <w:rPr>
                  <w:rStyle w:val="Hyperlink"/>
                </w:rPr>
                <w:t>Go</w:t>
              </w:r>
            </w:hyperlink>
          </w:p>
        </w:tc>
        <w:tc>
          <w:tcPr>
            <w:tcW w:w="850" w:type="dxa"/>
          </w:tcPr>
          <w:p w14:paraId="109D867D"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5E4" w:rsidRPr="00C805E4" w14:paraId="0FFDB456" w14:textId="77777777" w:rsidTr="00C805E4">
        <w:tblPrEx>
          <w:tblCellMar>
            <w:top w:w="0" w:type="dxa"/>
            <w:bottom w:w="0" w:type="dxa"/>
          </w:tblCellMar>
        </w:tblPrEx>
        <w:tc>
          <w:tcPr>
            <w:tcW w:w="1247" w:type="dxa"/>
          </w:tcPr>
          <w:p w14:paraId="6FF1D480" w14:textId="77777777" w:rsidR="00C805E4" w:rsidRPr="00C805E4" w:rsidRDefault="00C805E4" w:rsidP="00C805E4">
            <w:pPr>
              <w:spacing w:line="240" w:lineRule="auto"/>
              <w:jc w:val="left"/>
              <w:rPr>
                <w:rFonts w:cs="Frankruhel"/>
                <w:sz w:val="24"/>
                <w:rtl/>
              </w:rPr>
            </w:pPr>
            <w:r>
              <w:rPr>
                <w:sz w:val="24"/>
                <w:rtl/>
              </w:rPr>
              <w:t xml:space="preserve">סעיף 9 </w:t>
            </w:r>
          </w:p>
        </w:tc>
        <w:tc>
          <w:tcPr>
            <w:tcW w:w="5669" w:type="dxa"/>
          </w:tcPr>
          <w:p w14:paraId="2B7215A2" w14:textId="77777777" w:rsidR="00C805E4" w:rsidRPr="00C805E4" w:rsidRDefault="00C805E4" w:rsidP="00C805E4">
            <w:pPr>
              <w:spacing w:line="240" w:lineRule="auto"/>
              <w:jc w:val="left"/>
              <w:rPr>
                <w:rFonts w:cs="Frankruhel"/>
                <w:sz w:val="24"/>
                <w:rtl/>
              </w:rPr>
            </w:pPr>
            <w:r>
              <w:rPr>
                <w:sz w:val="24"/>
                <w:rtl/>
              </w:rPr>
              <w:t>דיווח לכנסת</w:t>
            </w:r>
          </w:p>
        </w:tc>
        <w:tc>
          <w:tcPr>
            <w:tcW w:w="567" w:type="dxa"/>
          </w:tcPr>
          <w:p w14:paraId="52B4A751" w14:textId="77777777" w:rsidR="00C805E4" w:rsidRPr="00C805E4" w:rsidRDefault="00C805E4" w:rsidP="00C805E4">
            <w:pPr>
              <w:spacing w:line="240" w:lineRule="auto"/>
              <w:jc w:val="left"/>
              <w:rPr>
                <w:rStyle w:val="Hyperlink"/>
                <w:rtl/>
              </w:rPr>
            </w:pPr>
            <w:hyperlink w:anchor="Seif9" w:tooltip="דיווח לכנסת" w:history="1">
              <w:r w:rsidRPr="00C805E4">
                <w:rPr>
                  <w:rStyle w:val="Hyperlink"/>
                </w:rPr>
                <w:t>Go</w:t>
              </w:r>
            </w:hyperlink>
          </w:p>
        </w:tc>
        <w:tc>
          <w:tcPr>
            <w:tcW w:w="850" w:type="dxa"/>
          </w:tcPr>
          <w:p w14:paraId="7783A27E"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05E4" w:rsidRPr="00C805E4" w14:paraId="6D1CC25C" w14:textId="77777777" w:rsidTr="00C805E4">
        <w:tblPrEx>
          <w:tblCellMar>
            <w:top w:w="0" w:type="dxa"/>
            <w:bottom w:w="0" w:type="dxa"/>
          </w:tblCellMar>
        </w:tblPrEx>
        <w:tc>
          <w:tcPr>
            <w:tcW w:w="1247" w:type="dxa"/>
          </w:tcPr>
          <w:p w14:paraId="12FC04C3" w14:textId="77777777" w:rsidR="00C805E4" w:rsidRPr="00C805E4" w:rsidRDefault="00C805E4" w:rsidP="00C805E4">
            <w:pPr>
              <w:spacing w:line="240" w:lineRule="auto"/>
              <w:jc w:val="left"/>
              <w:rPr>
                <w:rFonts w:cs="Frankruhel"/>
                <w:sz w:val="24"/>
                <w:rtl/>
              </w:rPr>
            </w:pPr>
            <w:r>
              <w:rPr>
                <w:sz w:val="24"/>
                <w:rtl/>
              </w:rPr>
              <w:t xml:space="preserve">סעיף 10 </w:t>
            </w:r>
          </w:p>
        </w:tc>
        <w:tc>
          <w:tcPr>
            <w:tcW w:w="5669" w:type="dxa"/>
          </w:tcPr>
          <w:p w14:paraId="694F652F" w14:textId="77777777" w:rsidR="00C805E4" w:rsidRPr="00C805E4" w:rsidRDefault="00C805E4" w:rsidP="00C805E4">
            <w:pPr>
              <w:spacing w:line="240" w:lineRule="auto"/>
              <w:jc w:val="left"/>
              <w:rPr>
                <w:rFonts w:cs="Frankruhel"/>
                <w:sz w:val="24"/>
                <w:rtl/>
              </w:rPr>
            </w:pPr>
            <w:r>
              <w:rPr>
                <w:sz w:val="24"/>
                <w:rtl/>
              </w:rPr>
              <w:t>תחילה</w:t>
            </w:r>
          </w:p>
        </w:tc>
        <w:tc>
          <w:tcPr>
            <w:tcW w:w="567" w:type="dxa"/>
          </w:tcPr>
          <w:p w14:paraId="25E9ACB1" w14:textId="77777777" w:rsidR="00C805E4" w:rsidRPr="00C805E4" w:rsidRDefault="00C805E4" w:rsidP="00C805E4">
            <w:pPr>
              <w:spacing w:line="240" w:lineRule="auto"/>
              <w:jc w:val="left"/>
              <w:rPr>
                <w:rStyle w:val="Hyperlink"/>
                <w:rtl/>
              </w:rPr>
            </w:pPr>
            <w:hyperlink w:anchor="Seif10" w:tooltip="תחילה" w:history="1">
              <w:r w:rsidRPr="00C805E4">
                <w:rPr>
                  <w:rStyle w:val="Hyperlink"/>
                </w:rPr>
                <w:t>Go</w:t>
              </w:r>
            </w:hyperlink>
          </w:p>
        </w:tc>
        <w:tc>
          <w:tcPr>
            <w:tcW w:w="850" w:type="dxa"/>
          </w:tcPr>
          <w:p w14:paraId="1092DC5E" w14:textId="77777777" w:rsidR="00C805E4" w:rsidRPr="00C805E4" w:rsidRDefault="00C805E4" w:rsidP="00C805E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35936D1" w14:textId="77777777" w:rsidR="00770699" w:rsidRPr="0082624D" w:rsidRDefault="00770699">
      <w:pPr>
        <w:pStyle w:val="big-header"/>
        <w:ind w:left="0" w:right="1134"/>
        <w:rPr>
          <w:rFonts w:cs="FrankRuehl"/>
          <w:rtl/>
        </w:rPr>
      </w:pPr>
    </w:p>
    <w:p w14:paraId="109898EA" w14:textId="77777777" w:rsidR="00770699" w:rsidRPr="0082624D" w:rsidRDefault="00770699" w:rsidP="00FD13A8">
      <w:pPr>
        <w:pStyle w:val="big-header"/>
        <w:ind w:left="0" w:right="1134"/>
        <w:rPr>
          <w:rStyle w:val="default"/>
          <w:rFonts w:cs="FrankRuehl" w:hint="cs"/>
          <w:sz w:val="20"/>
          <w:rtl/>
        </w:rPr>
      </w:pPr>
      <w:r w:rsidRPr="0082624D">
        <w:rPr>
          <w:rtl/>
        </w:rPr>
        <w:br w:type="page"/>
      </w:r>
      <w:r w:rsidRPr="0082624D">
        <w:rPr>
          <w:rFonts w:cs="FrankRuehl"/>
          <w:rtl/>
        </w:rPr>
        <w:lastRenderedPageBreak/>
        <w:t>צו</w:t>
      </w:r>
      <w:r w:rsidRPr="0082624D">
        <w:rPr>
          <w:rFonts w:cs="FrankRuehl" w:hint="cs"/>
          <w:rtl/>
        </w:rPr>
        <w:t xml:space="preserve"> הגז (בטיחות ורישוי) (</w:t>
      </w:r>
      <w:r w:rsidR="00FD13A8" w:rsidRPr="0082624D">
        <w:rPr>
          <w:rFonts w:cs="FrankRuehl" w:hint="cs"/>
          <w:rtl/>
        </w:rPr>
        <w:t>מכלי גפ"מ מיטלטלים), תשע"ה-2015</w:t>
      </w:r>
      <w:r w:rsidR="00947FD2" w:rsidRPr="0082624D">
        <w:rPr>
          <w:rStyle w:val="a6"/>
          <w:rFonts w:cs="FrankRuehl"/>
          <w:rtl/>
        </w:rPr>
        <w:footnoteReference w:customMarkFollows="1" w:id="1"/>
        <w:t>*</w:t>
      </w:r>
    </w:p>
    <w:p w14:paraId="492F0A32" w14:textId="77777777" w:rsidR="00770699" w:rsidRPr="0082624D" w:rsidRDefault="00770699" w:rsidP="0082624D">
      <w:pPr>
        <w:pStyle w:val="P00"/>
        <w:spacing w:before="72"/>
        <w:ind w:left="0" w:right="1134"/>
        <w:rPr>
          <w:rStyle w:val="default"/>
          <w:rFonts w:cs="FrankRuehl" w:hint="cs"/>
          <w:sz w:val="20"/>
          <w:rtl/>
        </w:rPr>
      </w:pPr>
      <w:r w:rsidRPr="0082624D">
        <w:rPr>
          <w:rFonts w:cs="FrankRuehl"/>
          <w:rtl/>
        </w:rPr>
        <w:tab/>
      </w:r>
      <w:r w:rsidRPr="0082624D">
        <w:rPr>
          <w:rStyle w:val="default"/>
          <w:rFonts w:cs="FrankRuehl"/>
          <w:sz w:val="20"/>
          <w:rtl/>
        </w:rPr>
        <w:t>בת</w:t>
      </w:r>
      <w:r w:rsidRPr="0082624D">
        <w:rPr>
          <w:rStyle w:val="default"/>
          <w:rFonts w:cs="FrankRuehl" w:hint="cs"/>
          <w:sz w:val="20"/>
          <w:rtl/>
        </w:rPr>
        <w:t>וקף סמכותי לפי סעיפים 2</w:t>
      </w:r>
      <w:r w:rsidR="00FD13A8" w:rsidRPr="0082624D">
        <w:rPr>
          <w:rStyle w:val="default"/>
          <w:rFonts w:cs="FrankRuehl" w:hint="cs"/>
          <w:sz w:val="20"/>
          <w:rtl/>
        </w:rPr>
        <w:t>, 29</w:t>
      </w:r>
      <w:r w:rsidRPr="0082624D">
        <w:rPr>
          <w:rStyle w:val="default"/>
          <w:rFonts w:cs="FrankRuehl" w:hint="cs"/>
          <w:sz w:val="20"/>
          <w:rtl/>
        </w:rPr>
        <w:t xml:space="preserve"> ו-30 לחוק הגז (בטיחות ורישוי), </w:t>
      </w:r>
      <w:r w:rsidR="00CA1BA8" w:rsidRPr="0082624D">
        <w:rPr>
          <w:rStyle w:val="default"/>
          <w:rFonts w:cs="FrankRuehl" w:hint="cs"/>
          <w:sz w:val="20"/>
          <w:rtl/>
        </w:rPr>
        <w:t>ה</w:t>
      </w:r>
      <w:r w:rsidRPr="0082624D">
        <w:rPr>
          <w:rStyle w:val="default"/>
          <w:rFonts w:cs="FrankRuehl" w:hint="cs"/>
          <w:sz w:val="20"/>
          <w:rtl/>
        </w:rPr>
        <w:t>תשמ"ט</w:t>
      </w:r>
      <w:r w:rsidR="00947FD2" w:rsidRPr="0082624D">
        <w:rPr>
          <w:rStyle w:val="default"/>
          <w:rFonts w:cs="FrankRuehl" w:hint="cs"/>
          <w:sz w:val="20"/>
          <w:rtl/>
        </w:rPr>
        <w:t>-</w:t>
      </w:r>
      <w:r w:rsidRPr="0082624D">
        <w:rPr>
          <w:rStyle w:val="default"/>
          <w:rFonts w:cs="FrankRuehl"/>
          <w:sz w:val="20"/>
          <w:rtl/>
        </w:rPr>
        <w:t>1989</w:t>
      </w:r>
      <w:r w:rsidR="0082624D" w:rsidRPr="0082624D">
        <w:rPr>
          <w:rStyle w:val="default"/>
          <w:rFonts w:cs="FrankRuehl" w:hint="cs"/>
          <w:sz w:val="20"/>
          <w:rtl/>
        </w:rPr>
        <w:t xml:space="preserve"> (להלן </w:t>
      </w:r>
      <w:r w:rsidR="0082624D" w:rsidRPr="0082624D">
        <w:rPr>
          <w:rStyle w:val="default"/>
          <w:rFonts w:cs="FrankRuehl"/>
          <w:sz w:val="20"/>
          <w:rtl/>
        </w:rPr>
        <w:t>–</w:t>
      </w:r>
      <w:r w:rsidR="0082624D" w:rsidRPr="0082624D">
        <w:rPr>
          <w:rStyle w:val="default"/>
          <w:rFonts w:cs="FrankRuehl" w:hint="cs"/>
          <w:sz w:val="20"/>
          <w:rtl/>
        </w:rPr>
        <w:t xml:space="preserve"> החוק)</w:t>
      </w:r>
      <w:r w:rsidRPr="0082624D">
        <w:rPr>
          <w:rStyle w:val="default"/>
          <w:rFonts w:cs="FrankRuehl"/>
          <w:sz w:val="20"/>
          <w:rtl/>
        </w:rPr>
        <w:t xml:space="preserve">, </w:t>
      </w:r>
      <w:r w:rsidR="0082624D" w:rsidRPr="0082624D">
        <w:rPr>
          <w:rStyle w:val="default"/>
          <w:rFonts w:cs="FrankRuehl" w:hint="cs"/>
          <w:sz w:val="20"/>
          <w:rtl/>
        </w:rPr>
        <w:t xml:space="preserve">בהתייעצות עם שר הכלכלה, </w:t>
      </w:r>
      <w:r w:rsidRPr="0082624D">
        <w:rPr>
          <w:rStyle w:val="default"/>
          <w:rFonts w:cs="FrankRuehl" w:hint="cs"/>
          <w:sz w:val="20"/>
          <w:rtl/>
        </w:rPr>
        <w:t xml:space="preserve">בהסכמת שר </w:t>
      </w:r>
      <w:r w:rsidR="0082624D" w:rsidRPr="0082624D">
        <w:rPr>
          <w:rStyle w:val="default"/>
          <w:rFonts w:cs="FrankRuehl" w:hint="cs"/>
          <w:sz w:val="20"/>
          <w:rtl/>
        </w:rPr>
        <w:t xml:space="preserve">התחבורה והבטיחות בדרכים, </w:t>
      </w:r>
      <w:r w:rsidRPr="0082624D">
        <w:rPr>
          <w:rStyle w:val="default"/>
          <w:rFonts w:cs="FrankRuehl" w:hint="cs"/>
          <w:sz w:val="20"/>
          <w:rtl/>
        </w:rPr>
        <w:t>ובאישור ועדת הכלכלה של הכנסת, אני מצווה לאמור:</w:t>
      </w:r>
    </w:p>
    <w:p w14:paraId="2CA6FB0E" w14:textId="77777777" w:rsidR="00770699" w:rsidRPr="0082624D" w:rsidRDefault="00770699">
      <w:pPr>
        <w:pStyle w:val="P00"/>
        <w:spacing w:before="72"/>
        <w:ind w:left="0" w:right="1134"/>
        <w:rPr>
          <w:rStyle w:val="default"/>
          <w:rFonts w:cs="FrankRuehl" w:hint="cs"/>
          <w:sz w:val="20"/>
          <w:rtl/>
        </w:rPr>
      </w:pPr>
      <w:bookmarkStart w:id="0" w:name="Seif1"/>
      <w:bookmarkEnd w:id="0"/>
      <w:r w:rsidRPr="0082624D">
        <w:rPr>
          <w:lang w:val="he-IL"/>
        </w:rPr>
        <w:pict w14:anchorId="64580B69">
          <v:rect id="_x0000_s1026" style="position:absolute;left:0;text-align:left;margin-left:464.5pt;margin-top:8.05pt;width:75.05pt;height:15.4pt;z-index:251653120" o:allowincell="f" filled="f" stroked="f" strokecolor="lime" strokeweight=".25pt">
            <v:textbox inset="0,0,0,0">
              <w:txbxContent>
                <w:p w14:paraId="181BBCE4" w14:textId="77777777" w:rsidR="00770699" w:rsidRDefault="0077069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82624D">
        <w:rPr>
          <w:rStyle w:val="big-number"/>
          <w:rFonts w:cs="Miriam"/>
          <w:sz w:val="20"/>
          <w:rtl/>
        </w:rPr>
        <w:t>1.</w:t>
      </w:r>
      <w:r w:rsidRPr="0082624D">
        <w:rPr>
          <w:rStyle w:val="big-number"/>
          <w:rFonts w:cs="Miriam"/>
          <w:sz w:val="20"/>
          <w:rtl/>
        </w:rPr>
        <w:tab/>
      </w:r>
      <w:r w:rsidRPr="0082624D">
        <w:rPr>
          <w:rStyle w:val="default"/>
          <w:rFonts w:cs="FrankRuehl"/>
          <w:sz w:val="20"/>
          <w:rtl/>
        </w:rPr>
        <w:t>בצ</w:t>
      </w:r>
      <w:r w:rsidRPr="0082624D">
        <w:rPr>
          <w:rStyle w:val="default"/>
          <w:rFonts w:cs="FrankRuehl" w:hint="cs"/>
          <w:sz w:val="20"/>
          <w:rtl/>
        </w:rPr>
        <w:t xml:space="preserve">ו זה </w:t>
      </w:r>
      <w:r w:rsidR="00947FD2" w:rsidRPr="0082624D">
        <w:rPr>
          <w:rStyle w:val="default"/>
          <w:rFonts w:cs="FrankRuehl"/>
          <w:sz w:val="20"/>
          <w:rtl/>
        </w:rPr>
        <w:t>–</w:t>
      </w:r>
    </w:p>
    <w:p w14:paraId="1CFA083A"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"אזור" </w:t>
      </w:r>
      <w:r w:rsidRPr="0082624D">
        <w:rPr>
          <w:rStyle w:val="default"/>
          <w:rFonts w:cs="FrankRuehl"/>
          <w:sz w:val="20"/>
          <w:rtl/>
        </w:rPr>
        <w:t>–</w:t>
      </w:r>
      <w:r w:rsidRPr="0082624D">
        <w:rPr>
          <w:rStyle w:val="default"/>
          <w:rFonts w:cs="FrankRuehl" w:hint="cs"/>
          <w:sz w:val="20"/>
          <w:rtl/>
        </w:rPr>
        <w:t xml:space="preserve"> כהגדרתו בתוספת לחוק לתיקון ולהארכת תוקפן של תקנות שעת חירום (יהודה והשומרון </w:t>
      </w:r>
      <w:r w:rsidRPr="0082624D">
        <w:rPr>
          <w:rStyle w:val="default"/>
          <w:rFonts w:cs="FrankRuehl"/>
          <w:sz w:val="20"/>
          <w:rtl/>
        </w:rPr>
        <w:t>–</w:t>
      </w:r>
      <w:r w:rsidRPr="0082624D">
        <w:rPr>
          <w:rStyle w:val="default"/>
          <w:rFonts w:cs="FrankRuehl" w:hint="cs"/>
          <w:sz w:val="20"/>
          <w:rtl/>
        </w:rPr>
        <w:t xml:space="preserve"> שיפוט בעבירות ועזרה משפטית), התשס"ז-2007;</w:t>
      </w:r>
    </w:p>
    <w:p w14:paraId="3F1A5F21"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"גפ"מ" </w:t>
      </w:r>
      <w:r w:rsidRPr="0082624D">
        <w:rPr>
          <w:rStyle w:val="default"/>
          <w:rFonts w:cs="FrankRuehl"/>
          <w:sz w:val="20"/>
          <w:rtl/>
        </w:rPr>
        <w:t>–</w:t>
      </w:r>
      <w:r w:rsidRPr="0082624D">
        <w:rPr>
          <w:rStyle w:val="default"/>
          <w:rFonts w:cs="FrankRuehl" w:hint="cs"/>
          <w:sz w:val="20"/>
          <w:rtl/>
        </w:rPr>
        <w:t xml:space="preserve"> גז פחמימני מעובה כהגדרתו בחוק;</w:t>
      </w:r>
    </w:p>
    <w:p w14:paraId="71C04875"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"חוק התקנים" </w:t>
      </w:r>
      <w:r w:rsidRPr="0082624D">
        <w:rPr>
          <w:rStyle w:val="default"/>
          <w:rFonts w:cs="FrankRuehl"/>
          <w:sz w:val="20"/>
          <w:rtl/>
        </w:rPr>
        <w:t>–</w:t>
      </w:r>
      <w:r w:rsidRPr="0082624D">
        <w:rPr>
          <w:rStyle w:val="default"/>
          <w:rFonts w:cs="FrankRuehl" w:hint="cs"/>
          <w:sz w:val="20"/>
          <w:rtl/>
        </w:rPr>
        <w:t xml:space="preserve"> חוק התקנים, התשי"ג-1953;</w:t>
      </w:r>
    </w:p>
    <w:p w14:paraId="78A897AD"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"מכון התקנים" </w:t>
      </w:r>
      <w:r w:rsidRPr="0082624D">
        <w:rPr>
          <w:rStyle w:val="default"/>
          <w:rFonts w:cs="FrankRuehl"/>
          <w:sz w:val="20"/>
          <w:rtl/>
        </w:rPr>
        <w:t>–</w:t>
      </w:r>
      <w:r w:rsidRPr="0082624D">
        <w:rPr>
          <w:rStyle w:val="default"/>
          <w:rFonts w:cs="FrankRuehl" w:hint="cs"/>
          <w:sz w:val="20"/>
          <w:rtl/>
        </w:rPr>
        <w:t xml:space="preserve"> כמשמעותו בסעיף 2 לחוק התקנים;</w:t>
      </w:r>
    </w:p>
    <w:p w14:paraId="76CFCCB1"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"מכל", "מכל גפ"מ" </w:t>
      </w:r>
      <w:r w:rsidRPr="0082624D">
        <w:rPr>
          <w:rStyle w:val="default"/>
          <w:rFonts w:cs="FrankRuehl"/>
          <w:sz w:val="20"/>
          <w:rtl/>
        </w:rPr>
        <w:t>–</w:t>
      </w:r>
      <w:r w:rsidRPr="0082624D">
        <w:rPr>
          <w:rStyle w:val="default"/>
          <w:rFonts w:cs="FrankRuehl" w:hint="cs"/>
          <w:sz w:val="20"/>
          <w:rtl/>
        </w:rPr>
        <w:t xml:space="preserve"> כלי קיבול מיטלטל המיועד לאחסון גפ"מ אשר תקן ישראלי ת"י 70 או תקן ישראלי ת"י 844 חל עליו;</w:t>
      </w:r>
    </w:p>
    <w:p w14:paraId="1CECA474"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"המנהל" </w:t>
      </w:r>
      <w:r w:rsidRPr="0082624D">
        <w:rPr>
          <w:rStyle w:val="default"/>
          <w:rFonts w:cs="FrankRuehl"/>
          <w:sz w:val="20"/>
          <w:rtl/>
        </w:rPr>
        <w:t>–</w:t>
      </w:r>
      <w:r w:rsidRPr="0082624D">
        <w:rPr>
          <w:rStyle w:val="default"/>
          <w:rFonts w:cs="FrankRuehl" w:hint="cs"/>
          <w:sz w:val="20"/>
          <w:rtl/>
        </w:rPr>
        <w:t xml:space="preserve"> מי שמונה לפי סעיף 3(א) לחוק, למנהל ענייני גז פחמימני מעובה;</w:t>
      </w:r>
    </w:p>
    <w:p w14:paraId="3D6DBD40"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"מעבדה מאושרת" </w:t>
      </w:r>
      <w:r w:rsidRPr="0082624D">
        <w:rPr>
          <w:rStyle w:val="default"/>
          <w:rFonts w:cs="FrankRuehl"/>
          <w:sz w:val="20"/>
          <w:rtl/>
        </w:rPr>
        <w:t>–</w:t>
      </w:r>
      <w:r w:rsidRPr="0082624D">
        <w:rPr>
          <w:rStyle w:val="default"/>
          <w:rFonts w:cs="FrankRuehl" w:hint="cs"/>
          <w:sz w:val="20"/>
          <w:rtl/>
        </w:rPr>
        <w:t xml:space="preserve"> כמשמעותה בסעיף 12(א) לחוק התקנים;</w:t>
      </w:r>
    </w:p>
    <w:p w14:paraId="36020230"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"מחסן גפ"מ" </w:t>
      </w:r>
      <w:r w:rsidRPr="0082624D">
        <w:rPr>
          <w:rStyle w:val="default"/>
          <w:rFonts w:cs="FrankRuehl"/>
          <w:sz w:val="20"/>
          <w:rtl/>
        </w:rPr>
        <w:t>–</w:t>
      </w:r>
      <w:r w:rsidRPr="0082624D">
        <w:rPr>
          <w:rStyle w:val="default"/>
          <w:rFonts w:cs="FrankRuehl" w:hint="cs"/>
          <w:sz w:val="20"/>
          <w:rtl/>
        </w:rPr>
        <w:t xml:space="preserve"> אתר שבו מאחסנים גפ"מ למטרות מחסריות במכלים שסך כל קיבולם עולה על 1,000 ליטר;</w:t>
      </w:r>
    </w:p>
    <w:p w14:paraId="061ABF49" w14:textId="77777777" w:rsidR="0082624D" w:rsidRPr="0082624D" w:rsidRDefault="0082624D">
      <w:pPr>
        <w:pStyle w:val="P00"/>
        <w:spacing w:before="72"/>
        <w:ind w:left="0" w:right="1134"/>
        <w:rPr>
          <w:rStyle w:val="default"/>
          <w:rFonts w:cs="FrankRuehl" w:hint="cs"/>
          <w:sz w:val="20"/>
          <w:rtl/>
        </w:rPr>
      </w:pPr>
      <w:r w:rsidRPr="0082624D">
        <w:rPr>
          <w:rStyle w:val="default"/>
          <w:rFonts w:cs="FrankRuehl" w:hint="cs"/>
          <w:sz w:val="20"/>
          <w:rtl/>
        </w:rPr>
        <w:tab/>
        <w:t xml:space="preserve">"ספק גז יוצא", "ספק גז נכנס", "צרכן גז" </w:t>
      </w:r>
      <w:r w:rsidRPr="0082624D">
        <w:rPr>
          <w:rStyle w:val="default"/>
          <w:rFonts w:cs="FrankRuehl"/>
          <w:sz w:val="20"/>
          <w:rtl/>
        </w:rPr>
        <w:t>–</w:t>
      </w:r>
      <w:r w:rsidRPr="0082624D">
        <w:rPr>
          <w:rStyle w:val="default"/>
          <w:rFonts w:cs="FrankRuehl" w:hint="cs"/>
          <w:sz w:val="20"/>
          <w:rtl/>
        </w:rPr>
        <w:t xml:space="preserve"> כהגדרתם בסעיף 14 לחוק הסדרים במשק המדינה (תיקוני חקיקה), התשמ"ט-1989;</w:t>
      </w:r>
    </w:p>
    <w:p w14:paraId="4B2910CF" w14:textId="77777777" w:rsidR="0082624D" w:rsidRDefault="0082624D" w:rsidP="0082624D">
      <w:pPr>
        <w:pStyle w:val="P00"/>
        <w:spacing w:before="72"/>
        <w:ind w:left="0" w:right="1134"/>
        <w:rPr>
          <w:rStyle w:val="default"/>
          <w:rFonts w:cs="FrankRuehl" w:hint="cs"/>
          <w:sz w:val="20"/>
          <w:rtl/>
        </w:rPr>
      </w:pPr>
      <w:r w:rsidRPr="0082624D">
        <w:rPr>
          <w:rStyle w:val="default"/>
          <w:rFonts w:cs="FrankRuehl" w:hint="cs"/>
          <w:sz w:val="20"/>
          <w:rtl/>
        </w:rPr>
        <w:tab/>
        <w:t xml:space="preserve">"תקן ישראלי" </w:t>
      </w:r>
      <w:r w:rsidRPr="0082624D">
        <w:rPr>
          <w:rStyle w:val="default"/>
          <w:rFonts w:cs="FrankRuehl"/>
          <w:sz w:val="20"/>
          <w:rtl/>
        </w:rPr>
        <w:t>–</w:t>
      </w:r>
      <w:r w:rsidRPr="0082624D">
        <w:rPr>
          <w:rStyle w:val="default"/>
          <w:rFonts w:cs="FrankRuehl" w:hint="cs"/>
          <w:sz w:val="20"/>
          <w:rtl/>
        </w:rPr>
        <w:t xml:space="preserve"> אחד מאלה לפי העניין וכתוקפו מזמן לזמן לפי חוק התקנים, שעותק שלו מופקד לעיון הציבור במשרדי מכון התקנים הישראלי והפניה אליו מצויה באתר האינטרנט של משרד התשתיות הלאומיות האנרגיה והמים שכתובתו </w:t>
      </w:r>
      <w:hyperlink r:id="rId6" w:history="1">
        <w:r w:rsidRPr="00B6759F">
          <w:rPr>
            <w:rStyle w:val="Hyperlink"/>
            <w:rFonts w:cs="FrankRuehl"/>
          </w:rPr>
          <w:t>www.energy.gov.il</w:t>
        </w:r>
      </w:hyperlink>
      <w:r>
        <w:rPr>
          <w:rStyle w:val="default"/>
          <w:rFonts w:cs="FrankRuehl" w:hint="cs"/>
          <w:sz w:val="20"/>
          <w:rtl/>
        </w:rPr>
        <w:t>; בהעדר הפניה כאמור, לא יהיה תוקף לתקן לעניין צו זה:</w:t>
      </w:r>
    </w:p>
    <w:p w14:paraId="0176C55F" w14:textId="77777777" w:rsidR="0082624D" w:rsidRDefault="0082624D" w:rsidP="0082624D">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ת"י 70 </w:t>
      </w:r>
      <w:r>
        <w:rPr>
          <w:rStyle w:val="default"/>
          <w:rFonts w:cs="FrankRuehl"/>
          <w:sz w:val="20"/>
          <w:rtl/>
        </w:rPr>
        <w:t>–</w:t>
      </w:r>
      <w:r>
        <w:rPr>
          <w:rStyle w:val="default"/>
          <w:rFonts w:cs="FrankRuehl" w:hint="cs"/>
          <w:sz w:val="20"/>
          <w:rtl/>
        </w:rPr>
        <w:t xml:space="preserve"> "מכלים למילוי חוזר לגזים פחמימניים מעובים (גפ"מ)";</w:t>
      </w:r>
    </w:p>
    <w:p w14:paraId="447E7DC4" w14:textId="77777777" w:rsidR="0082624D" w:rsidRPr="0082624D" w:rsidRDefault="0082624D" w:rsidP="0082624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ת"י 844 </w:t>
      </w:r>
      <w:r>
        <w:rPr>
          <w:rStyle w:val="default"/>
          <w:rFonts w:cs="FrankRuehl"/>
          <w:sz w:val="20"/>
          <w:rtl/>
        </w:rPr>
        <w:t>–</w:t>
      </w:r>
      <w:r>
        <w:rPr>
          <w:rStyle w:val="default"/>
          <w:rFonts w:cs="FrankRuehl" w:hint="cs"/>
          <w:sz w:val="20"/>
          <w:rtl/>
        </w:rPr>
        <w:t xml:space="preserve"> "מכלים שלא למילוי חוזר, לגז פחמימני מעובה (גפ"מ)".</w:t>
      </w:r>
    </w:p>
    <w:p w14:paraId="43ABA125" w14:textId="77777777" w:rsidR="00770699" w:rsidRPr="0082624D" w:rsidRDefault="00770699" w:rsidP="0082624D">
      <w:pPr>
        <w:pStyle w:val="P00"/>
        <w:spacing w:before="72"/>
        <w:ind w:left="0" w:right="1134"/>
        <w:rPr>
          <w:rStyle w:val="default"/>
          <w:rFonts w:cs="FrankRuehl" w:hint="cs"/>
          <w:sz w:val="20"/>
          <w:rtl/>
        </w:rPr>
      </w:pPr>
      <w:bookmarkStart w:id="1" w:name="Seif2"/>
      <w:bookmarkEnd w:id="1"/>
      <w:r w:rsidRPr="0082624D">
        <w:rPr>
          <w:lang w:val="he-IL"/>
        </w:rPr>
        <w:pict w14:anchorId="20BA99B5">
          <v:rect id="_x0000_s1027" style="position:absolute;left:0;text-align:left;margin-left:464.5pt;margin-top:8.05pt;width:75.05pt;height:10.05pt;z-index:251654144" o:allowincell="f" filled="f" stroked="f" strokecolor="lime" strokeweight=".25pt">
            <v:textbox inset="0,0,0,0">
              <w:txbxContent>
                <w:p w14:paraId="1B412889" w14:textId="77777777" w:rsidR="00770699" w:rsidRDefault="0082624D" w:rsidP="00CA1BA8">
                  <w:pPr>
                    <w:spacing w:line="160" w:lineRule="exact"/>
                    <w:jc w:val="left"/>
                    <w:rPr>
                      <w:rFonts w:cs="Miriam" w:hint="cs"/>
                      <w:noProof/>
                      <w:sz w:val="18"/>
                      <w:szCs w:val="18"/>
                      <w:rtl/>
                    </w:rPr>
                  </w:pPr>
                  <w:r>
                    <w:rPr>
                      <w:rFonts w:cs="Miriam" w:hint="cs"/>
                      <w:sz w:val="18"/>
                      <w:szCs w:val="18"/>
                      <w:rtl/>
                    </w:rPr>
                    <w:t>איסור שינוי סימון</w:t>
                  </w:r>
                </w:p>
              </w:txbxContent>
            </v:textbox>
            <w10:anchorlock/>
          </v:rect>
        </w:pict>
      </w:r>
      <w:r w:rsidRPr="0082624D">
        <w:rPr>
          <w:rStyle w:val="big-number"/>
          <w:rFonts w:cs="Miriam"/>
          <w:sz w:val="20"/>
          <w:rtl/>
        </w:rPr>
        <w:t>2.</w:t>
      </w:r>
      <w:r w:rsidRPr="0082624D">
        <w:rPr>
          <w:rStyle w:val="big-number"/>
          <w:rFonts w:cs="Miriam"/>
          <w:sz w:val="20"/>
          <w:rtl/>
        </w:rPr>
        <w:tab/>
      </w:r>
      <w:r w:rsidR="0082624D">
        <w:rPr>
          <w:rStyle w:val="default"/>
          <w:rFonts w:cs="FrankRuehl" w:hint="cs"/>
          <w:sz w:val="20"/>
          <w:rtl/>
        </w:rPr>
        <w:t xml:space="preserve">לא ישחית אדם, לא ימחק, לא יוסיף, לא ישנה ולא יסתיר סימון על מכל גפ"מ (בסעיף זה </w:t>
      </w:r>
      <w:r w:rsidR="0082624D">
        <w:rPr>
          <w:rStyle w:val="default"/>
          <w:rFonts w:cs="FrankRuehl"/>
          <w:sz w:val="20"/>
          <w:rtl/>
        </w:rPr>
        <w:t>–</w:t>
      </w:r>
      <w:r w:rsidR="0082624D">
        <w:rPr>
          <w:rStyle w:val="default"/>
          <w:rFonts w:cs="FrankRuehl" w:hint="cs"/>
          <w:sz w:val="20"/>
          <w:rtl/>
        </w:rPr>
        <w:t xml:space="preserve"> שינוי); הוראה זו לא תחול על שינוי שמבצעים לפי תקן ישראלי מכון התקנים, מעבדה מאושרת, או אדם באישור אחד מהם, והכול לאחר שניתנה הסכמה בכתב של בעל מכל הגפ"מ שהסימון שלו מוטבע על המכל.</w:t>
      </w:r>
    </w:p>
    <w:p w14:paraId="2A51DEAF" w14:textId="77777777" w:rsidR="00770699" w:rsidRDefault="00770699" w:rsidP="0082624D">
      <w:pPr>
        <w:pStyle w:val="P00"/>
        <w:spacing w:before="72"/>
        <w:ind w:left="0" w:right="1134"/>
        <w:rPr>
          <w:rStyle w:val="default"/>
          <w:rFonts w:cs="FrankRuehl" w:hint="cs"/>
          <w:sz w:val="20"/>
          <w:rtl/>
        </w:rPr>
      </w:pPr>
      <w:bookmarkStart w:id="2" w:name="Seif3"/>
      <w:bookmarkEnd w:id="2"/>
      <w:r w:rsidRPr="0082624D">
        <w:rPr>
          <w:lang w:val="he-IL"/>
        </w:rPr>
        <w:pict w14:anchorId="31A77113">
          <v:rect id="_x0000_s1028" style="position:absolute;left:0;text-align:left;margin-left:464.5pt;margin-top:8.05pt;width:75.05pt;height:29.5pt;z-index:251655168" o:allowincell="f" filled="f" stroked="f" strokecolor="lime" strokeweight=".25pt">
            <v:textbox style="mso-next-textbox:#_x0000_s1028" inset="0,0,0,0">
              <w:txbxContent>
                <w:p w14:paraId="41EAE7E6" w14:textId="77777777" w:rsidR="00770699" w:rsidRDefault="0082624D">
                  <w:pPr>
                    <w:spacing w:line="160" w:lineRule="exact"/>
                    <w:jc w:val="left"/>
                    <w:rPr>
                      <w:rFonts w:cs="Miriam" w:hint="cs"/>
                      <w:noProof/>
                      <w:sz w:val="18"/>
                      <w:szCs w:val="18"/>
                      <w:rtl/>
                    </w:rPr>
                  </w:pPr>
                  <w:r>
                    <w:rPr>
                      <w:rFonts w:cs="Miriam" w:hint="cs"/>
                      <w:sz w:val="18"/>
                      <w:szCs w:val="18"/>
                      <w:rtl/>
                    </w:rPr>
                    <w:t>איסור שימוש במכל גפ"מ שאינו מסומן בסימון שם ספק הגז</w:t>
                  </w:r>
                </w:p>
              </w:txbxContent>
            </v:textbox>
            <w10:anchorlock/>
          </v:rect>
        </w:pict>
      </w:r>
      <w:r w:rsidRPr="0082624D">
        <w:rPr>
          <w:rStyle w:val="big-number"/>
          <w:rFonts w:cs="Miriam"/>
          <w:sz w:val="20"/>
          <w:rtl/>
        </w:rPr>
        <w:t>3.</w:t>
      </w:r>
      <w:r w:rsidRPr="0082624D">
        <w:rPr>
          <w:rStyle w:val="big-number"/>
          <w:rFonts w:cs="Miriam"/>
          <w:sz w:val="20"/>
          <w:rtl/>
        </w:rPr>
        <w:tab/>
      </w:r>
      <w:r w:rsidR="0082624D">
        <w:rPr>
          <w:rStyle w:val="default"/>
          <w:rFonts w:cs="FrankRuehl" w:hint="cs"/>
          <w:sz w:val="20"/>
          <w:rtl/>
        </w:rPr>
        <w:t>(א)</w:t>
      </w:r>
      <w:r w:rsidR="0082624D">
        <w:rPr>
          <w:rStyle w:val="default"/>
          <w:rFonts w:cs="FrankRuehl" w:hint="cs"/>
          <w:sz w:val="20"/>
          <w:rtl/>
        </w:rPr>
        <w:tab/>
        <w:t>ספק גז לא ימלא, לא יוליך, לא יוביל, לא יחזיק, לא ימכור או לא ישווק, בדרך כלשהי, מכל גפ"מ שאינו מסומן בשם ספק הגז, לפי דרישות תקן ישראלי</w:t>
      </w:r>
      <w:r w:rsidR="00CA1BA8" w:rsidRPr="0082624D">
        <w:rPr>
          <w:rStyle w:val="default"/>
          <w:rFonts w:cs="FrankRuehl" w:hint="cs"/>
          <w:sz w:val="20"/>
          <w:rtl/>
        </w:rPr>
        <w:t>.</w:t>
      </w:r>
    </w:p>
    <w:p w14:paraId="21D8BC0A" w14:textId="77777777" w:rsidR="0082624D" w:rsidRDefault="0082624D" w:rsidP="0082624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על אף האמור בסעיף קטן (א) </w:t>
      </w:r>
      <w:r>
        <w:rPr>
          <w:rStyle w:val="default"/>
          <w:rFonts w:cs="FrankRuehl"/>
          <w:sz w:val="20"/>
          <w:rtl/>
        </w:rPr>
        <w:t>–</w:t>
      </w:r>
    </w:p>
    <w:p w14:paraId="12B284A8" w14:textId="77777777" w:rsidR="0082624D" w:rsidRDefault="0082624D" w:rsidP="0082624D">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המנהל רשאי להתיר אחת או יותר מהפעולות המפורטות להלן, לספקי גז שביקשו זאת בכתב וצירפו לבקשתם התחייבות משותפת לקיום כל הוראת דין, וקיום תנאי ההיתר שנתן המנהל למיתקן הגז לפי סעיף 4 לחוק, ורשאי הוא שלא להתיר כאמור, אם אחד מספקי הגז הפר הוראה מהוראות כל דין או תנאי מתנאי היתר כאמור:</w:t>
      </w:r>
    </w:p>
    <w:p w14:paraId="6597DD46" w14:textId="77777777" w:rsidR="0082624D" w:rsidRDefault="0082624D" w:rsidP="0082624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למלא גפ"מ במכלים המסומנים בשמם לפי סעיף קטן (א), במיתקן גז השייך לאחד מהם;</w:t>
      </w:r>
    </w:p>
    <w:p w14:paraId="0E10A1C5" w14:textId="77777777" w:rsidR="0082624D" w:rsidRDefault="0082624D" w:rsidP="0082624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לאחסן מכלי גפ"מ המסומנים בשמם כאמור במחסן גפ"מ השייך לאחד מהם ובלבד שיאוחסנו בשטח מגודר ומשולט בנפרד;</w:t>
      </w:r>
    </w:p>
    <w:p w14:paraId="2F1AC627" w14:textId="77777777" w:rsidR="0082624D" w:rsidRDefault="0082624D" w:rsidP="0082624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המנהל רשאי להתיר לספק גז להוביל ולאחסן מכלי גפ"מ שיש עליהם סימון </w:t>
      </w:r>
      <w:r>
        <w:rPr>
          <w:rStyle w:val="default"/>
          <w:rFonts w:cs="FrankRuehl" w:hint="cs"/>
          <w:sz w:val="20"/>
          <w:rtl/>
        </w:rPr>
        <w:lastRenderedPageBreak/>
        <w:t>שמו של ספק גז אחר, לרבות בצד מכלי הגפ"מ שעליהם הסימון שלו, באחד מאלה:</w:t>
      </w:r>
    </w:p>
    <w:p w14:paraId="313099DD" w14:textId="77777777" w:rsidR="0082624D" w:rsidRDefault="0082624D" w:rsidP="0082624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במקרים חריגים ובהחלטה מנומקת בכתב;</w:t>
      </w:r>
    </w:p>
    <w:p w14:paraId="308B8901" w14:textId="77777777" w:rsidR="0082624D" w:rsidRDefault="0082624D" w:rsidP="0082624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לשם הובלה ואחסון של מכלי גפ"מ שנתפסו לפי החוק;</w:t>
      </w:r>
    </w:p>
    <w:p w14:paraId="7413BD68" w14:textId="77777777" w:rsidR="0082624D" w:rsidRDefault="0082624D" w:rsidP="005A108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ספק גז המורשה להוביל מכלי גפ"מ ואינו מורשה לשווק לצרכני גז גפ"מ, רשאי להוביל מכלי גפ"מ שיש עליהם סימון שמו של ספק גז אחר, ובלבד שלא יוביל באותו זמן מכלי גפ"מ של יותר מספק גז אחד;</w:t>
      </w:r>
    </w:p>
    <w:p w14:paraId="34563B03" w14:textId="77777777" w:rsidR="0082624D" w:rsidRPr="0082624D" w:rsidRDefault="0082624D" w:rsidP="005A108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ספק גז נכנס רשאי להוביל מכלי גפ"מ של ספק גז יוצא שלא פירק את מכלי הגפ"מ שלו, כאמור בתקנה 3(ב) לתקנות הסדרים במשק המדינה (תיקוני חקיקה) (משק הגז </w:t>
      </w:r>
      <w:r>
        <w:rPr>
          <w:rStyle w:val="default"/>
          <w:rFonts w:cs="FrankRuehl"/>
          <w:sz w:val="20"/>
          <w:rtl/>
        </w:rPr>
        <w:t>–</w:t>
      </w:r>
      <w:r>
        <w:rPr>
          <w:rStyle w:val="default"/>
          <w:rFonts w:cs="FrankRuehl" w:hint="cs"/>
          <w:sz w:val="20"/>
          <w:rtl/>
        </w:rPr>
        <w:t xml:space="preserve"> החלפת ספק גז), התשנ"א-1991, או בסעיף 2(ג) לתוספת לחוק המקרקעין (החלפת ספק גז בבית משותף), התשנ"א-1991, לפי העניין, לרבות הובלתם בצד מכלי </w:t>
      </w:r>
      <w:r w:rsidR="005A1086">
        <w:rPr>
          <w:rStyle w:val="default"/>
          <w:rFonts w:cs="FrankRuehl" w:hint="cs"/>
          <w:sz w:val="20"/>
          <w:rtl/>
        </w:rPr>
        <w:t>הגפ"מ שעליהם הסימון שלו, וכן לאחסנם במיתקן גז השייך לו בשטח מגודר ומשולט בנפרד, ובלבד שניתן לו ייפוי כוח בכתב לפי החיקוקים האמורים ושייפוי הכוח יימצא בידי ספק הגז הנכנס אשר מוביל את המכלים בזמן הובלתם, ובמיתקן הגז השייך לו בזמן אחסונם.</w:t>
      </w:r>
    </w:p>
    <w:p w14:paraId="6B22C238" w14:textId="77777777" w:rsidR="00770699" w:rsidRPr="0082624D" w:rsidRDefault="00770699" w:rsidP="005A1086">
      <w:pPr>
        <w:pStyle w:val="P00"/>
        <w:spacing w:before="72"/>
        <w:ind w:left="0" w:right="1134"/>
        <w:rPr>
          <w:rStyle w:val="default"/>
          <w:rFonts w:cs="FrankRuehl" w:hint="cs"/>
          <w:sz w:val="20"/>
          <w:rtl/>
        </w:rPr>
      </w:pPr>
      <w:bookmarkStart w:id="3" w:name="Seif4"/>
      <w:bookmarkEnd w:id="3"/>
      <w:r w:rsidRPr="0082624D">
        <w:rPr>
          <w:lang w:val="he-IL"/>
        </w:rPr>
        <w:pict w14:anchorId="7FA9A1D7">
          <v:rect id="_x0000_s1029" style="position:absolute;left:0;text-align:left;margin-left:464.5pt;margin-top:8.05pt;width:75.05pt;height:15.5pt;z-index:251656192" o:allowincell="f" filled="f" stroked="f" strokecolor="lime" strokeweight=".25pt">
            <v:textbox style="mso-next-textbox:#_x0000_s1029" inset="0,0,0,0">
              <w:txbxContent>
                <w:p w14:paraId="06CB91B2" w14:textId="77777777" w:rsidR="00770699" w:rsidRDefault="005A1086">
                  <w:pPr>
                    <w:spacing w:line="160" w:lineRule="exact"/>
                    <w:jc w:val="left"/>
                    <w:rPr>
                      <w:rFonts w:cs="Miriam" w:hint="cs"/>
                      <w:noProof/>
                      <w:sz w:val="18"/>
                      <w:szCs w:val="18"/>
                      <w:rtl/>
                    </w:rPr>
                  </w:pPr>
                  <w:r>
                    <w:rPr>
                      <w:rFonts w:cs="Miriam" w:hint="cs"/>
                      <w:sz w:val="18"/>
                      <w:szCs w:val="18"/>
                      <w:rtl/>
                    </w:rPr>
                    <w:t>מילוי מכל בגפ"מ</w:t>
                  </w:r>
                </w:p>
              </w:txbxContent>
            </v:textbox>
            <w10:anchorlock/>
          </v:rect>
        </w:pict>
      </w:r>
      <w:r w:rsidRPr="0082624D">
        <w:rPr>
          <w:rStyle w:val="big-number"/>
          <w:rFonts w:cs="Miriam"/>
          <w:sz w:val="20"/>
          <w:rtl/>
        </w:rPr>
        <w:t>4</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לא ימלא ספק גז מכל בגפ"מ אלא במיתקן גז שהמנהל נתן לו היתר לפי סעיף 4 לחוק, לפי תנאי ההיתר ורק לאחר שווידא כי מכל הגפ"מ נבדק לפי דרישות תקן ישראלי ת"י 70 ועומד בכל דרישותיו.</w:t>
      </w:r>
    </w:p>
    <w:p w14:paraId="2F81E045" w14:textId="77777777" w:rsidR="00FD13A8" w:rsidRPr="0082624D" w:rsidRDefault="00FD13A8" w:rsidP="005A1086">
      <w:pPr>
        <w:pStyle w:val="P00"/>
        <w:spacing w:before="72"/>
        <w:ind w:left="0" w:right="1134"/>
        <w:rPr>
          <w:rStyle w:val="default"/>
          <w:rFonts w:cs="FrankRuehl" w:hint="cs"/>
          <w:sz w:val="20"/>
          <w:rtl/>
        </w:rPr>
      </w:pPr>
      <w:bookmarkStart w:id="4" w:name="Seif5"/>
      <w:bookmarkEnd w:id="4"/>
      <w:r w:rsidRPr="0082624D">
        <w:rPr>
          <w:lang w:val="he-IL"/>
        </w:rPr>
        <w:pict w14:anchorId="29B2C14C">
          <v:rect id="_x0000_s1031" style="position:absolute;left:0;text-align:left;margin-left:464.5pt;margin-top:8.05pt;width:75.05pt;height:15.5pt;z-index:251657216" o:allowincell="f" filled="f" stroked="f" strokecolor="lime" strokeweight=".25pt">
            <v:textbox style="mso-next-textbox:#_x0000_s1031" inset="0,0,0,0">
              <w:txbxContent>
                <w:p w14:paraId="21B55667" w14:textId="77777777" w:rsidR="00FD13A8" w:rsidRDefault="005A1086" w:rsidP="00FD13A8">
                  <w:pPr>
                    <w:spacing w:line="160" w:lineRule="exact"/>
                    <w:jc w:val="left"/>
                    <w:rPr>
                      <w:rFonts w:cs="Miriam" w:hint="cs"/>
                      <w:noProof/>
                      <w:sz w:val="18"/>
                      <w:szCs w:val="18"/>
                      <w:rtl/>
                    </w:rPr>
                  </w:pPr>
                  <w:r>
                    <w:rPr>
                      <w:rFonts w:cs="Miriam" w:hint="cs"/>
                      <w:sz w:val="18"/>
                      <w:szCs w:val="18"/>
                      <w:rtl/>
                    </w:rPr>
                    <w:t>שיווק מכל גפ"מ</w:t>
                  </w:r>
                </w:p>
              </w:txbxContent>
            </v:textbox>
            <w10:anchorlock/>
          </v:rect>
        </w:pict>
      </w:r>
      <w:r w:rsidR="005A1086">
        <w:rPr>
          <w:rStyle w:val="big-number"/>
          <w:rFonts w:cs="Miriam" w:hint="cs"/>
          <w:sz w:val="20"/>
          <w:rtl/>
        </w:rPr>
        <w:t>5</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לא יחבר ספק גז מכל גפ"מ למיתקן גז שאליו מותקן מכל גפ"מ שאינו מסומן בשמו.</w:t>
      </w:r>
    </w:p>
    <w:p w14:paraId="24858FB5" w14:textId="77777777" w:rsidR="00FD13A8" w:rsidRDefault="00FD13A8" w:rsidP="005A1086">
      <w:pPr>
        <w:pStyle w:val="P00"/>
        <w:spacing w:before="72"/>
        <w:ind w:left="0" w:right="1134"/>
        <w:rPr>
          <w:rStyle w:val="default"/>
          <w:rFonts w:cs="FrankRuehl" w:hint="cs"/>
          <w:sz w:val="20"/>
          <w:rtl/>
        </w:rPr>
      </w:pPr>
      <w:bookmarkStart w:id="5" w:name="Seif6"/>
      <w:bookmarkEnd w:id="5"/>
      <w:r w:rsidRPr="0082624D">
        <w:rPr>
          <w:lang w:val="he-IL"/>
        </w:rPr>
        <w:pict w14:anchorId="49AE54C1">
          <v:rect id="_x0000_s1032" style="position:absolute;left:0;text-align:left;margin-left:464.5pt;margin-top:8.05pt;width:75.05pt;height:15.5pt;z-index:251658240" o:allowincell="f" filled="f" stroked="f" strokecolor="lime" strokeweight=".25pt">
            <v:textbox style="mso-next-textbox:#_x0000_s1032" inset="0,0,0,0">
              <w:txbxContent>
                <w:p w14:paraId="28B0050C" w14:textId="77777777" w:rsidR="00FD13A8" w:rsidRDefault="005A1086" w:rsidP="00FD13A8">
                  <w:pPr>
                    <w:spacing w:line="160" w:lineRule="exact"/>
                    <w:jc w:val="left"/>
                    <w:rPr>
                      <w:rFonts w:cs="Miriam" w:hint="cs"/>
                      <w:noProof/>
                      <w:sz w:val="18"/>
                      <w:szCs w:val="18"/>
                      <w:rtl/>
                    </w:rPr>
                  </w:pPr>
                  <w:r>
                    <w:rPr>
                      <w:rFonts w:cs="Miriam" w:hint="cs"/>
                      <w:sz w:val="18"/>
                      <w:szCs w:val="18"/>
                      <w:rtl/>
                    </w:rPr>
                    <w:t>הכנסת מכלי גפ"מ לישראל</w:t>
                  </w:r>
                </w:p>
              </w:txbxContent>
            </v:textbox>
            <w10:anchorlock/>
          </v:rect>
        </w:pict>
      </w:r>
      <w:r w:rsidR="005A1086">
        <w:rPr>
          <w:rStyle w:val="big-number"/>
          <w:rFonts w:cs="Miriam" w:hint="cs"/>
          <w:sz w:val="20"/>
          <w:rtl/>
        </w:rPr>
        <w:t>6</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(א)</w:t>
      </w:r>
      <w:r w:rsidR="005A1086">
        <w:rPr>
          <w:rStyle w:val="default"/>
          <w:rFonts w:cs="FrankRuehl" w:hint="cs"/>
          <w:sz w:val="20"/>
          <w:rtl/>
        </w:rPr>
        <w:tab/>
        <w:t>לא יכניס אדם לישראל ולא ייבא אליה מכלי גפ"מ שמולאו בגפ"מ במיתקן גז מחוץ לתחומי השיפוט של מדינת ישראל.</w:t>
      </w:r>
    </w:p>
    <w:p w14:paraId="32E6E806" w14:textId="77777777" w:rsidR="005A1086" w:rsidRPr="0082624D" w:rsidRDefault="005A1086" w:rsidP="005A108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הוראות סעיף קטן (א) לא יחולו על ייבוא מכלי גפ"מ שלא למילוי חוזר שתקן ישראלי ת"י 844 חל עליהם, וקיבולת כל אחד מהם אינה עולה על 1 ליטר.</w:t>
      </w:r>
    </w:p>
    <w:p w14:paraId="5F5FFCC7" w14:textId="77777777" w:rsidR="00FD13A8" w:rsidRPr="0082624D" w:rsidRDefault="00FD13A8" w:rsidP="005A1086">
      <w:pPr>
        <w:pStyle w:val="P00"/>
        <w:spacing w:before="72"/>
        <w:ind w:left="0" w:right="1134"/>
        <w:rPr>
          <w:rStyle w:val="default"/>
          <w:rFonts w:cs="FrankRuehl" w:hint="cs"/>
          <w:sz w:val="20"/>
          <w:rtl/>
        </w:rPr>
      </w:pPr>
      <w:bookmarkStart w:id="6" w:name="Seif7"/>
      <w:bookmarkEnd w:id="6"/>
      <w:r w:rsidRPr="0082624D">
        <w:rPr>
          <w:lang w:val="he-IL"/>
        </w:rPr>
        <w:pict w14:anchorId="3FF64947">
          <v:rect id="_x0000_s1033" style="position:absolute;left:0;text-align:left;margin-left:464.5pt;margin-top:8.05pt;width:75.05pt;height:20.4pt;z-index:251659264" o:allowincell="f" filled="f" stroked="f" strokecolor="lime" strokeweight=".25pt">
            <v:textbox style="mso-next-textbox:#_x0000_s1033" inset="0,0,0,0">
              <w:txbxContent>
                <w:p w14:paraId="3ADEC8FF" w14:textId="77777777" w:rsidR="00FD13A8" w:rsidRDefault="005A1086" w:rsidP="00FD13A8">
                  <w:pPr>
                    <w:spacing w:line="160" w:lineRule="exact"/>
                    <w:jc w:val="left"/>
                    <w:rPr>
                      <w:rFonts w:cs="Miriam" w:hint="cs"/>
                      <w:noProof/>
                      <w:sz w:val="18"/>
                      <w:szCs w:val="18"/>
                      <w:rtl/>
                    </w:rPr>
                  </w:pPr>
                  <w:r>
                    <w:rPr>
                      <w:rFonts w:cs="Miriam" w:hint="cs"/>
                      <w:sz w:val="18"/>
                      <w:szCs w:val="18"/>
                      <w:rtl/>
                    </w:rPr>
                    <w:t>הוצאת מכלי גפ"מ מישראל לאזור</w:t>
                  </w:r>
                </w:p>
              </w:txbxContent>
            </v:textbox>
            <w10:anchorlock/>
          </v:rect>
        </w:pict>
      </w:r>
      <w:r w:rsidR="005A1086">
        <w:rPr>
          <w:rStyle w:val="big-number"/>
          <w:rFonts w:cs="Miriam" w:hint="cs"/>
          <w:sz w:val="20"/>
          <w:rtl/>
        </w:rPr>
        <w:t>7</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לא יוציא אדם מכלי גפ"מ מישראל לאזור, בין שהמכלים מולאו בישראל בגפ"מ ובין שהמכלים ריקים, אלא אם כן המכלים הובלו ממדינת ישראל לאזור לפי הדין החל באזור ולפי הדין בישראל, לפי העניין.</w:t>
      </w:r>
    </w:p>
    <w:p w14:paraId="00714CE4" w14:textId="77777777" w:rsidR="00FD13A8" w:rsidRPr="0082624D" w:rsidRDefault="00FD13A8" w:rsidP="005A1086">
      <w:pPr>
        <w:pStyle w:val="P00"/>
        <w:spacing w:before="72"/>
        <w:ind w:left="0" w:right="1134"/>
        <w:rPr>
          <w:rStyle w:val="default"/>
          <w:rFonts w:cs="FrankRuehl" w:hint="cs"/>
          <w:sz w:val="20"/>
          <w:rtl/>
        </w:rPr>
      </w:pPr>
      <w:bookmarkStart w:id="7" w:name="Seif8"/>
      <w:bookmarkEnd w:id="7"/>
      <w:r w:rsidRPr="0082624D">
        <w:rPr>
          <w:lang w:val="he-IL"/>
        </w:rPr>
        <w:pict w14:anchorId="66660879">
          <v:rect id="_x0000_s1034" style="position:absolute;left:0;text-align:left;margin-left:464.5pt;margin-top:8.05pt;width:75.05pt;height:15.5pt;z-index:251660288" o:allowincell="f" filled="f" stroked="f" strokecolor="lime" strokeweight=".25pt">
            <v:textbox style="mso-next-textbox:#_x0000_s1034" inset="0,0,0,0">
              <w:txbxContent>
                <w:p w14:paraId="7A34C249" w14:textId="77777777" w:rsidR="00FD13A8" w:rsidRDefault="005A1086" w:rsidP="00FD13A8">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5A1086">
        <w:rPr>
          <w:rStyle w:val="big-number"/>
          <w:rFonts w:cs="Miriam" w:hint="cs"/>
          <w:sz w:val="20"/>
          <w:rtl/>
        </w:rPr>
        <w:t>8</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הוראות צו זה באות להוסיף על הוראות כל דין ולא לגרוע מהן.</w:t>
      </w:r>
    </w:p>
    <w:p w14:paraId="159F7E34" w14:textId="77777777" w:rsidR="00FD13A8" w:rsidRPr="0082624D" w:rsidRDefault="00FD13A8" w:rsidP="005A1086">
      <w:pPr>
        <w:pStyle w:val="P00"/>
        <w:spacing w:before="72"/>
        <w:ind w:left="0" w:right="1134"/>
        <w:rPr>
          <w:rStyle w:val="default"/>
          <w:rFonts w:cs="FrankRuehl" w:hint="cs"/>
          <w:sz w:val="20"/>
          <w:rtl/>
        </w:rPr>
      </w:pPr>
      <w:bookmarkStart w:id="8" w:name="Seif9"/>
      <w:bookmarkEnd w:id="8"/>
      <w:r w:rsidRPr="0082624D">
        <w:rPr>
          <w:lang w:val="he-IL"/>
        </w:rPr>
        <w:pict w14:anchorId="7360086F">
          <v:rect id="_x0000_s1035" style="position:absolute;left:0;text-align:left;margin-left:464.5pt;margin-top:8.05pt;width:75.05pt;height:15.5pt;z-index:251661312" o:allowincell="f" filled="f" stroked="f" strokecolor="lime" strokeweight=".25pt">
            <v:textbox style="mso-next-textbox:#_x0000_s1035" inset="0,0,0,0">
              <w:txbxContent>
                <w:p w14:paraId="2263AC83" w14:textId="77777777" w:rsidR="00FD13A8" w:rsidRDefault="005A1086" w:rsidP="00FD13A8">
                  <w:pPr>
                    <w:spacing w:line="160" w:lineRule="exact"/>
                    <w:jc w:val="left"/>
                    <w:rPr>
                      <w:rFonts w:cs="Miriam" w:hint="cs"/>
                      <w:noProof/>
                      <w:sz w:val="18"/>
                      <w:szCs w:val="18"/>
                      <w:rtl/>
                    </w:rPr>
                  </w:pPr>
                  <w:r>
                    <w:rPr>
                      <w:rFonts w:cs="Miriam" w:hint="cs"/>
                      <w:sz w:val="18"/>
                      <w:szCs w:val="18"/>
                      <w:rtl/>
                    </w:rPr>
                    <w:t>דיווח לכנסת</w:t>
                  </w:r>
                </w:p>
              </w:txbxContent>
            </v:textbox>
            <w10:anchorlock/>
          </v:rect>
        </w:pict>
      </w:r>
      <w:r w:rsidR="005A1086">
        <w:rPr>
          <w:rStyle w:val="big-number"/>
          <w:rFonts w:cs="Miriam" w:hint="cs"/>
          <w:sz w:val="20"/>
          <w:rtl/>
        </w:rPr>
        <w:t>9</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המנהל ידווח לוועדת הכלכלה של הכנסת, בתום שנתיים מיום תחילתו של צו זה, בדיון שתקיים הוועדה בהשתתפותו ובהשתתפות המנהל הכללי של משרד התשתיות הלאומיות האנרגיה והמים, על יישום הוראות צו זה, ובכלל זה על פיקוח ואכיפה של הוראותיו.</w:t>
      </w:r>
    </w:p>
    <w:p w14:paraId="22B94D49" w14:textId="77777777" w:rsidR="00FD13A8" w:rsidRPr="0082624D" w:rsidRDefault="00FD13A8" w:rsidP="005A1086">
      <w:pPr>
        <w:pStyle w:val="P00"/>
        <w:spacing w:before="72"/>
        <w:ind w:left="0" w:right="1134"/>
        <w:rPr>
          <w:rStyle w:val="default"/>
          <w:rFonts w:cs="FrankRuehl" w:hint="cs"/>
          <w:sz w:val="20"/>
          <w:rtl/>
        </w:rPr>
      </w:pPr>
      <w:bookmarkStart w:id="9" w:name="Seif10"/>
      <w:bookmarkEnd w:id="9"/>
      <w:r w:rsidRPr="0082624D">
        <w:rPr>
          <w:lang w:val="he-IL"/>
        </w:rPr>
        <w:pict w14:anchorId="46307B8A">
          <v:rect id="_x0000_s1036" style="position:absolute;left:0;text-align:left;margin-left:464.5pt;margin-top:8.05pt;width:75.05pt;height:15.5pt;z-index:251662336" o:allowincell="f" filled="f" stroked="f" strokecolor="lime" strokeweight=".25pt">
            <v:textbox style="mso-next-textbox:#_x0000_s1036" inset="0,0,0,0">
              <w:txbxContent>
                <w:p w14:paraId="2EDAD1A1" w14:textId="77777777" w:rsidR="00FD13A8" w:rsidRDefault="005A1086" w:rsidP="00FD13A8">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5A1086">
        <w:rPr>
          <w:rStyle w:val="big-number"/>
          <w:rFonts w:cs="Miriam" w:hint="cs"/>
          <w:sz w:val="20"/>
          <w:rtl/>
        </w:rPr>
        <w:t>10</w:t>
      </w:r>
      <w:r w:rsidRPr="0082624D">
        <w:rPr>
          <w:rStyle w:val="default"/>
          <w:rFonts w:cs="FrankRuehl"/>
          <w:sz w:val="20"/>
          <w:rtl/>
        </w:rPr>
        <w:t>.</w:t>
      </w:r>
      <w:r w:rsidRPr="0082624D">
        <w:rPr>
          <w:rStyle w:val="default"/>
          <w:rFonts w:cs="FrankRuehl"/>
          <w:sz w:val="20"/>
          <w:rtl/>
        </w:rPr>
        <w:tab/>
      </w:r>
      <w:r w:rsidR="005A1086">
        <w:rPr>
          <w:rStyle w:val="default"/>
          <w:rFonts w:cs="FrankRuehl" w:hint="cs"/>
          <w:sz w:val="20"/>
          <w:rtl/>
        </w:rPr>
        <w:t xml:space="preserve">תחילתו של צו זה ביום תחילתם של צו הפיקוח על מצרכים ושירותים (סימון ומילוי מכלי גז) (ביטול), התשע"ה-2015, צו הפיקוח על מצרכים ושירותים (מכלי גז) (ביטול), התשע"ה-2015 ותיקון תקנות העבירות המינהליות (קנס מינהלי </w:t>
      </w:r>
      <w:r w:rsidR="005A1086">
        <w:rPr>
          <w:rStyle w:val="default"/>
          <w:rFonts w:cs="FrankRuehl"/>
          <w:sz w:val="20"/>
          <w:rtl/>
        </w:rPr>
        <w:t>–</w:t>
      </w:r>
      <w:r w:rsidR="005A1086">
        <w:rPr>
          <w:rStyle w:val="default"/>
          <w:rFonts w:cs="FrankRuehl" w:hint="cs"/>
          <w:sz w:val="20"/>
          <w:rtl/>
        </w:rPr>
        <w:t xml:space="preserve"> בטיחות גפ"מ), התשס"ג-2003, לעניין קביעת עבירות לפי צו זה </w:t>
      </w:r>
      <w:r w:rsidR="005A1086">
        <w:rPr>
          <w:rStyle w:val="default"/>
          <w:rFonts w:cs="FrankRuehl"/>
          <w:sz w:val="20"/>
          <w:rtl/>
        </w:rPr>
        <w:t>–</w:t>
      </w:r>
      <w:r w:rsidR="005A1086">
        <w:rPr>
          <w:rStyle w:val="default"/>
          <w:rFonts w:cs="FrankRuehl" w:hint="cs"/>
          <w:sz w:val="20"/>
          <w:rtl/>
        </w:rPr>
        <w:t xml:space="preserve"> לפי המאוחר.</w:t>
      </w:r>
    </w:p>
    <w:p w14:paraId="39D6B7EF" w14:textId="77777777" w:rsidR="00CA1BA8" w:rsidRPr="0082624D" w:rsidRDefault="00CA1BA8">
      <w:pPr>
        <w:pStyle w:val="P00"/>
        <w:spacing w:before="72"/>
        <w:ind w:left="0" w:right="1134"/>
        <w:rPr>
          <w:rStyle w:val="default"/>
          <w:rFonts w:cs="FrankRuehl" w:hint="cs"/>
          <w:sz w:val="20"/>
          <w:rtl/>
        </w:rPr>
      </w:pPr>
    </w:p>
    <w:p w14:paraId="7D5B15D0" w14:textId="77777777" w:rsidR="00947FD2" w:rsidRPr="0082624D" w:rsidRDefault="00947FD2">
      <w:pPr>
        <w:pStyle w:val="P00"/>
        <w:spacing w:before="72"/>
        <w:ind w:left="0" w:right="1134"/>
        <w:rPr>
          <w:rStyle w:val="default"/>
          <w:rFonts w:cs="FrankRuehl" w:hint="cs"/>
          <w:sz w:val="20"/>
          <w:rtl/>
        </w:rPr>
      </w:pPr>
    </w:p>
    <w:p w14:paraId="2A60C7BF" w14:textId="77777777" w:rsidR="00770699" w:rsidRPr="0082624D" w:rsidRDefault="005A1086" w:rsidP="005A108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Pr>
          <w:rStyle w:val="default"/>
          <w:rFonts w:cs="FrankRuehl" w:hint="cs"/>
          <w:sz w:val="20"/>
          <w:rtl/>
        </w:rPr>
        <w:t>כ"א בשבט התשע"ה (10 בפברואר 2015</w:t>
      </w:r>
      <w:r w:rsidR="00770699" w:rsidRPr="0082624D">
        <w:rPr>
          <w:rStyle w:val="default"/>
          <w:rFonts w:cs="FrankRuehl" w:hint="cs"/>
          <w:sz w:val="20"/>
          <w:rtl/>
        </w:rPr>
        <w:t>)</w:t>
      </w:r>
      <w:r w:rsidR="00770699" w:rsidRPr="0082624D">
        <w:rPr>
          <w:rStyle w:val="default"/>
          <w:rFonts w:cs="FrankRuehl"/>
          <w:sz w:val="20"/>
          <w:rtl/>
        </w:rPr>
        <w:tab/>
      </w:r>
      <w:r>
        <w:rPr>
          <w:rStyle w:val="default"/>
          <w:rFonts w:cs="FrankRuehl" w:hint="cs"/>
          <w:sz w:val="20"/>
          <w:rtl/>
        </w:rPr>
        <w:t>סילבן שלום</w:t>
      </w:r>
    </w:p>
    <w:p w14:paraId="5DDBB58A" w14:textId="77777777" w:rsidR="00770699" w:rsidRDefault="00770699" w:rsidP="003311D0">
      <w:pPr>
        <w:pStyle w:val="sig-1"/>
        <w:widowControl/>
        <w:tabs>
          <w:tab w:val="clear" w:pos="851"/>
          <w:tab w:val="clear" w:pos="2835"/>
          <w:tab w:val="clear" w:pos="4820"/>
          <w:tab w:val="center" w:pos="5670"/>
        </w:tabs>
        <w:ind w:left="0" w:right="1134"/>
        <w:rPr>
          <w:rStyle w:val="default"/>
          <w:rFonts w:cs="FrankRuehl" w:hint="cs"/>
          <w:sz w:val="20"/>
          <w:szCs w:val="22"/>
          <w:rtl/>
        </w:rPr>
      </w:pPr>
      <w:r w:rsidRPr="0082624D">
        <w:rPr>
          <w:rFonts w:cs="FrankRuehl"/>
          <w:rtl/>
        </w:rPr>
        <w:tab/>
      </w:r>
      <w:r w:rsidRPr="0082624D">
        <w:rPr>
          <w:rStyle w:val="default"/>
          <w:rFonts w:cs="FrankRuehl"/>
          <w:sz w:val="20"/>
          <w:szCs w:val="22"/>
          <w:rtl/>
        </w:rPr>
        <w:t>שר</w:t>
      </w:r>
      <w:r w:rsidRPr="0082624D">
        <w:rPr>
          <w:rStyle w:val="default"/>
          <w:rFonts w:cs="FrankRuehl" w:hint="cs"/>
          <w:sz w:val="20"/>
          <w:szCs w:val="22"/>
          <w:rtl/>
        </w:rPr>
        <w:t xml:space="preserve"> התשתי</w:t>
      </w:r>
      <w:r w:rsidRPr="0082624D">
        <w:rPr>
          <w:rStyle w:val="default"/>
          <w:rFonts w:cs="FrankRuehl"/>
          <w:sz w:val="20"/>
          <w:szCs w:val="22"/>
          <w:rtl/>
        </w:rPr>
        <w:t>ו</w:t>
      </w:r>
      <w:r w:rsidRPr="0082624D">
        <w:rPr>
          <w:rStyle w:val="default"/>
          <w:rFonts w:cs="FrankRuehl" w:hint="cs"/>
          <w:sz w:val="20"/>
          <w:szCs w:val="22"/>
          <w:rtl/>
        </w:rPr>
        <w:t>ת הלאומיות</w:t>
      </w:r>
      <w:r w:rsidR="005A1086">
        <w:rPr>
          <w:rStyle w:val="default"/>
          <w:rFonts w:cs="FrankRuehl" w:hint="cs"/>
          <w:sz w:val="20"/>
          <w:szCs w:val="22"/>
          <w:rtl/>
        </w:rPr>
        <w:t xml:space="preserve"> </w:t>
      </w:r>
    </w:p>
    <w:p w14:paraId="50D05017" w14:textId="77777777" w:rsidR="005A1086" w:rsidRPr="0082624D" w:rsidRDefault="005A1086" w:rsidP="003311D0">
      <w:pPr>
        <w:pStyle w:val="sig-1"/>
        <w:widowControl/>
        <w:tabs>
          <w:tab w:val="clear" w:pos="851"/>
          <w:tab w:val="clear" w:pos="2835"/>
          <w:tab w:val="clear" w:pos="4820"/>
          <w:tab w:val="center" w:pos="5670"/>
        </w:tabs>
        <w:ind w:left="0" w:right="1134"/>
        <w:rPr>
          <w:rStyle w:val="default"/>
          <w:rFonts w:cs="FrankRuehl" w:hint="cs"/>
          <w:sz w:val="20"/>
          <w:szCs w:val="22"/>
          <w:rtl/>
        </w:rPr>
      </w:pPr>
      <w:r>
        <w:rPr>
          <w:rStyle w:val="default"/>
          <w:rFonts w:cs="FrankRuehl" w:hint="cs"/>
          <w:sz w:val="20"/>
          <w:szCs w:val="22"/>
          <w:rtl/>
        </w:rPr>
        <w:tab/>
        <w:t>האנרגיה והמים</w:t>
      </w:r>
    </w:p>
    <w:p w14:paraId="629D5DD7" w14:textId="77777777" w:rsidR="00FD13A8" w:rsidRPr="0082624D" w:rsidRDefault="00FD13A8" w:rsidP="00947FD2">
      <w:pPr>
        <w:pStyle w:val="P00"/>
        <w:spacing w:before="72"/>
        <w:ind w:left="0" w:right="1134"/>
        <w:rPr>
          <w:rStyle w:val="default"/>
          <w:rFonts w:cs="FrankRuehl" w:hint="cs"/>
          <w:sz w:val="20"/>
          <w:rtl/>
        </w:rPr>
      </w:pPr>
    </w:p>
    <w:p w14:paraId="4A25F8FE" w14:textId="77777777" w:rsidR="00947FD2" w:rsidRPr="0082624D" w:rsidRDefault="00947FD2" w:rsidP="00947FD2">
      <w:pPr>
        <w:pStyle w:val="P00"/>
        <w:spacing w:before="72"/>
        <w:ind w:left="0" w:right="1134"/>
        <w:rPr>
          <w:rStyle w:val="default"/>
          <w:rFonts w:cs="FrankRuehl" w:hint="cs"/>
          <w:sz w:val="20"/>
          <w:rtl/>
        </w:rPr>
      </w:pPr>
    </w:p>
    <w:p w14:paraId="2DCDF3BA" w14:textId="77777777" w:rsidR="00770699" w:rsidRPr="0082624D" w:rsidRDefault="00770699" w:rsidP="00947FD2">
      <w:pPr>
        <w:pStyle w:val="P00"/>
        <w:spacing w:before="72"/>
        <w:ind w:left="0" w:right="1134"/>
        <w:rPr>
          <w:rStyle w:val="default"/>
          <w:rFonts w:cs="FrankRuehl"/>
          <w:sz w:val="20"/>
          <w:rtl/>
        </w:rPr>
      </w:pPr>
      <w:bookmarkStart w:id="10" w:name="LawPartEnd"/>
    </w:p>
    <w:bookmarkEnd w:id="10"/>
    <w:p w14:paraId="510BFD09" w14:textId="77777777" w:rsidR="00F328B9" w:rsidRDefault="00F328B9" w:rsidP="00947FD2">
      <w:pPr>
        <w:pStyle w:val="P00"/>
        <w:spacing w:before="72"/>
        <w:ind w:left="0" w:right="1134"/>
        <w:rPr>
          <w:rStyle w:val="default"/>
          <w:rFonts w:cs="FrankRuehl"/>
          <w:sz w:val="20"/>
          <w:rtl/>
        </w:rPr>
      </w:pPr>
    </w:p>
    <w:p w14:paraId="53F733A3" w14:textId="77777777" w:rsidR="00F328B9" w:rsidRDefault="00F328B9" w:rsidP="00947FD2">
      <w:pPr>
        <w:pStyle w:val="P00"/>
        <w:spacing w:before="72"/>
        <w:ind w:left="0" w:right="1134"/>
        <w:rPr>
          <w:rStyle w:val="default"/>
          <w:rFonts w:cs="FrankRuehl"/>
          <w:sz w:val="20"/>
          <w:rtl/>
        </w:rPr>
      </w:pPr>
    </w:p>
    <w:p w14:paraId="4D84C73C" w14:textId="77777777" w:rsidR="00F328B9" w:rsidRDefault="00F328B9" w:rsidP="00F328B9">
      <w:pPr>
        <w:pStyle w:val="P00"/>
        <w:spacing w:before="72"/>
        <w:ind w:left="0" w:right="1134"/>
        <w:jc w:val="center"/>
        <w:rPr>
          <w:rStyle w:val="default"/>
          <w:rFonts w:cs="David"/>
          <w:color w:val="0000FF"/>
          <w:sz w:val="20"/>
          <w:szCs w:val="24"/>
          <w:u w:val="single"/>
          <w:rtl/>
        </w:rPr>
      </w:pPr>
      <w:hyperlink r:id="rId7"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14:paraId="79DC2C86" w14:textId="77777777" w:rsidR="00C805E4" w:rsidRDefault="00C805E4" w:rsidP="00F328B9">
      <w:pPr>
        <w:pStyle w:val="P00"/>
        <w:spacing w:before="72"/>
        <w:ind w:left="0" w:right="1134"/>
        <w:jc w:val="center"/>
        <w:rPr>
          <w:rStyle w:val="default"/>
          <w:rFonts w:cs="David"/>
          <w:color w:val="0000FF"/>
          <w:sz w:val="20"/>
          <w:szCs w:val="24"/>
          <w:u w:val="single"/>
          <w:rtl/>
        </w:rPr>
      </w:pPr>
    </w:p>
    <w:p w14:paraId="0EA507D2" w14:textId="77777777" w:rsidR="00C805E4" w:rsidRDefault="00C805E4" w:rsidP="00F328B9">
      <w:pPr>
        <w:pStyle w:val="P00"/>
        <w:spacing w:before="72"/>
        <w:ind w:left="0" w:right="1134"/>
        <w:jc w:val="center"/>
        <w:rPr>
          <w:rStyle w:val="default"/>
          <w:rFonts w:cs="David"/>
          <w:color w:val="0000FF"/>
          <w:sz w:val="20"/>
          <w:szCs w:val="24"/>
          <w:u w:val="single"/>
          <w:rtl/>
        </w:rPr>
      </w:pPr>
    </w:p>
    <w:p w14:paraId="6C29AF92" w14:textId="77777777" w:rsidR="00C805E4" w:rsidRDefault="00C805E4" w:rsidP="00C805E4">
      <w:pPr>
        <w:pStyle w:val="P00"/>
        <w:spacing w:before="72"/>
        <w:ind w:left="0" w:right="1134"/>
        <w:jc w:val="center"/>
        <w:rPr>
          <w:rStyle w:val="default"/>
          <w:rFonts w:cs="David"/>
          <w:color w:val="0000FF"/>
          <w:sz w:val="20"/>
          <w:szCs w:val="24"/>
          <w:u w:val="single"/>
          <w:rtl/>
        </w:rPr>
      </w:pPr>
      <w:hyperlink r:id="rId8"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14:paraId="16415B4B" w14:textId="77777777" w:rsidR="00A83B98" w:rsidRPr="00C805E4" w:rsidRDefault="00A83B98" w:rsidP="00C805E4">
      <w:pPr>
        <w:pStyle w:val="P00"/>
        <w:spacing w:before="72"/>
        <w:ind w:left="0" w:right="1134"/>
        <w:jc w:val="center"/>
        <w:rPr>
          <w:rStyle w:val="default"/>
          <w:rFonts w:cs="David"/>
          <w:color w:val="0000FF"/>
          <w:sz w:val="20"/>
          <w:szCs w:val="24"/>
          <w:u w:val="single"/>
          <w:rtl/>
        </w:rPr>
      </w:pPr>
    </w:p>
    <w:sectPr w:rsidR="00A83B98" w:rsidRPr="00C805E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EA10" w14:textId="77777777" w:rsidR="005C6886" w:rsidRDefault="005C6886">
      <w:r>
        <w:separator/>
      </w:r>
    </w:p>
  </w:endnote>
  <w:endnote w:type="continuationSeparator" w:id="0">
    <w:p w14:paraId="5000DB03" w14:textId="77777777" w:rsidR="005C6886" w:rsidRDefault="005C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61DB" w14:textId="77777777"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B28BB37" w14:textId="77777777"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A310B7" w14:textId="77777777"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05E4">
      <w:rPr>
        <w:rFonts w:cs="TopType Jerushalmi"/>
        <w:noProof/>
        <w:color w:val="000000"/>
        <w:sz w:val="14"/>
        <w:szCs w:val="14"/>
      </w:rPr>
      <w:t>Z:\000-law\yael\2015\2015-02-25\tav\Laws\501_192.doc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6B31" w14:textId="77777777"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05E4">
      <w:rPr>
        <w:rFonts w:hAnsi="FrankRuehl" w:cs="FrankRuehl"/>
        <w:noProof/>
        <w:sz w:val="24"/>
        <w:szCs w:val="24"/>
        <w:rtl/>
      </w:rPr>
      <w:t>3</w:t>
    </w:r>
    <w:r>
      <w:rPr>
        <w:rFonts w:hAnsi="FrankRuehl" w:cs="FrankRuehl"/>
        <w:sz w:val="24"/>
        <w:szCs w:val="24"/>
        <w:rtl/>
      </w:rPr>
      <w:fldChar w:fldCharType="end"/>
    </w:r>
  </w:p>
  <w:p w14:paraId="3366325C" w14:textId="77777777"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A6BB20" w14:textId="77777777"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05E4">
      <w:rPr>
        <w:rFonts w:cs="TopType Jerushalmi"/>
        <w:noProof/>
        <w:color w:val="000000"/>
        <w:sz w:val="14"/>
        <w:szCs w:val="14"/>
      </w:rPr>
      <w:t>Z:\000-law\yael\2015\2015-02-25\tav\Laws\501_192.doc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48A8" w14:textId="77777777" w:rsidR="005C6886" w:rsidRDefault="005C6886" w:rsidP="00947FD2">
      <w:pPr>
        <w:spacing w:before="60" w:line="240" w:lineRule="auto"/>
        <w:ind w:right="1134"/>
      </w:pPr>
      <w:r>
        <w:separator/>
      </w:r>
    </w:p>
  </w:footnote>
  <w:footnote w:type="continuationSeparator" w:id="0">
    <w:p w14:paraId="7D462992" w14:textId="77777777" w:rsidR="005C6886" w:rsidRDefault="005C6886">
      <w:r>
        <w:continuationSeparator/>
      </w:r>
    </w:p>
  </w:footnote>
  <w:footnote w:id="1">
    <w:p w14:paraId="17E0C4D8" w14:textId="77777777" w:rsidR="00892CF1" w:rsidRPr="00947FD2" w:rsidRDefault="00947FD2" w:rsidP="00892CF1">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sidRPr="00947FD2">
        <w:rPr>
          <w:rStyle w:val="default"/>
          <w:rFonts w:cs="FrankRuehl"/>
          <w:sz w:val="22"/>
          <w:szCs w:val="22"/>
          <w:rtl/>
        </w:rPr>
        <w:t xml:space="preserve">* </w:t>
      </w:r>
      <w:r w:rsidRPr="00460768">
        <w:rPr>
          <w:rStyle w:val="default"/>
          <w:rFonts w:cs="FrankRuehl"/>
          <w:sz w:val="22"/>
          <w:szCs w:val="22"/>
          <w:rtl/>
        </w:rPr>
        <w:t>פו</w:t>
      </w:r>
      <w:r w:rsidRPr="00460768">
        <w:rPr>
          <w:rStyle w:val="default"/>
          <w:rFonts w:cs="FrankRuehl" w:hint="cs"/>
          <w:sz w:val="22"/>
          <w:szCs w:val="22"/>
          <w:rtl/>
        </w:rPr>
        <w:t xml:space="preserve">רסם </w:t>
      </w:r>
      <w:hyperlink r:id="rId1" w:history="1">
        <w:r w:rsidRPr="00892CF1">
          <w:rPr>
            <w:rStyle w:val="Hyperlink"/>
            <w:rFonts w:cs="FrankRuehl" w:hint="cs"/>
            <w:rtl/>
          </w:rPr>
          <w:t>ק"ת תש</w:t>
        </w:r>
        <w:r w:rsidR="00FD13A8" w:rsidRPr="00892CF1">
          <w:rPr>
            <w:rStyle w:val="Hyperlink"/>
            <w:rFonts w:cs="FrankRuehl" w:hint="cs"/>
            <w:rtl/>
          </w:rPr>
          <w:t>ע"ה</w:t>
        </w:r>
        <w:r w:rsidRPr="00892CF1">
          <w:rPr>
            <w:rStyle w:val="Hyperlink"/>
            <w:rFonts w:cs="FrankRuehl" w:hint="cs"/>
            <w:rtl/>
          </w:rPr>
          <w:t xml:space="preserve"> מס' </w:t>
        </w:r>
        <w:r w:rsidR="00FD13A8" w:rsidRPr="00892CF1">
          <w:rPr>
            <w:rStyle w:val="Hyperlink"/>
            <w:rFonts w:cs="FrankRuehl" w:hint="cs"/>
            <w:rtl/>
          </w:rPr>
          <w:t>7494</w:t>
        </w:r>
      </w:hyperlink>
      <w:r w:rsidRPr="00460768">
        <w:rPr>
          <w:rStyle w:val="default"/>
          <w:rFonts w:cs="FrankRuehl" w:hint="cs"/>
          <w:sz w:val="22"/>
          <w:szCs w:val="22"/>
          <w:rtl/>
        </w:rPr>
        <w:t xml:space="preserve"> מיום </w:t>
      </w:r>
      <w:r w:rsidR="00FD13A8">
        <w:rPr>
          <w:rStyle w:val="default"/>
          <w:rFonts w:cs="FrankRuehl" w:hint="cs"/>
          <w:sz w:val="22"/>
          <w:szCs w:val="22"/>
          <w:rtl/>
        </w:rPr>
        <w:t>23.2.2015</w:t>
      </w:r>
      <w:r w:rsidRPr="00460768">
        <w:rPr>
          <w:rStyle w:val="default"/>
          <w:rFonts w:cs="FrankRuehl" w:hint="cs"/>
          <w:sz w:val="22"/>
          <w:szCs w:val="22"/>
          <w:rtl/>
        </w:rPr>
        <w:t xml:space="preserve"> עמ' </w:t>
      </w:r>
      <w:r w:rsidR="00FD13A8">
        <w:rPr>
          <w:rStyle w:val="default"/>
          <w:rFonts w:cs="FrankRuehl" w:hint="cs"/>
          <w:sz w:val="22"/>
          <w:szCs w:val="22"/>
          <w:rtl/>
        </w:rPr>
        <w:t>950</w:t>
      </w:r>
      <w:r w:rsidRPr="00460768">
        <w:rPr>
          <w:rStyle w:val="default"/>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474F" w14:textId="77777777" w:rsidR="00770699" w:rsidRDefault="007706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הגז (בטיחות ורישוי) (מיתקנים לחלוקת גז טבעי), תשנ"ט–1999</w:t>
    </w:r>
  </w:p>
  <w:p w14:paraId="7EF08474"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163F6A"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9D60" w14:textId="77777777" w:rsidR="00770699" w:rsidRDefault="00770699" w:rsidP="00FD13A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צו הגז (בטיחות ורישוי) (</w:t>
    </w:r>
    <w:r w:rsidR="00FD13A8">
      <w:rPr>
        <w:rFonts w:hAnsi="FrankRuehl" w:cs="FrankRuehl" w:hint="cs"/>
        <w:color w:val="000000"/>
        <w:sz w:val="28"/>
        <w:szCs w:val="28"/>
        <w:rtl/>
      </w:rPr>
      <w:t>מכלי גפ"מ מיטלטלים), תשע"ה-2015</w:t>
    </w:r>
  </w:p>
  <w:p w14:paraId="2DAB1709"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9F7FBA" w14:textId="77777777"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768"/>
    <w:rsid w:val="00146CAF"/>
    <w:rsid w:val="003311D0"/>
    <w:rsid w:val="00365B72"/>
    <w:rsid w:val="00460768"/>
    <w:rsid w:val="005A1086"/>
    <w:rsid w:val="005B2845"/>
    <w:rsid w:val="005C6886"/>
    <w:rsid w:val="006662CF"/>
    <w:rsid w:val="00770699"/>
    <w:rsid w:val="0082624D"/>
    <w:rsid w:val="00864B2E"/>
    <w:rsid w:val="00892CF1"/>
    <w:rsid w:val="00947FD2"/>
    <w:rsid w:val="00950135"/>
    <w:rsid w:val="00A83B98"/>
    <w:rsid w:val="00C805E4"/>
    <w:rsid w:val="00C8752C"/>
    <w:rsid w:val="00CA1BA8"/>
    <w:rsid w:val="00D53B61"/>
    <w:rsid w:val="00D72DF2"/>
    <w:rsid w:val="00EA053D"/>
    <w:rsid w:val="00ED4FB6"/>
    <w:rsid w:val="00F328B9"/>
    <w:rsid w:val="00F54102"/>
    <w:rsid w:val="00FD1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B1F480"/>
  <w15:chartTrackingRefBased/>
  <w15:docId w15:val="{6149CE74-3574-42E1-82E3-4701A99B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47FD2"/>
    <w:rPr>
      <w:sz w:val="20"/>
      <w:szCs w:val="20"/>
    </w:rPr>
  </w:style>
  <w:style w:type="character" w:styleId="a6">
    <w:name w:val="footnote reference"/>
    <w:basedOn w:val="a0"/>
    <w:semiHidden/>
    <w:rsid w:val="00947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ergy.gov.i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6003</CharactersWithSpaces>
  <SharedDoc>false</SharedDoc>
  <HLinks>
    <vt:vector size="84" baseType="variant">
      <vt:variant>
        <vt:i4>393283</vt:i4>
      </vt:variant>
      <vt:variant>
        <vt:i4>66</vt:i4>
      </vt:variant>
      <vt:variant>
        <vt:i4>0</vt:i4>
      </vt:variant>
      <vt:variant>
        <vt:i4>5</vt:i4>
      </vt:variant>
      <vt:variant>
        <vt:lpwstr>http://www.nevo.co.il/advertisements/nevo-100.doc</vt:lpwstr>
      </vt:variant>
      <vt:variant>
        <vt:lpwstr/>
      </vt:variant>
      <vt:variant>
        <vt:i4>393283</vt:i4>
      </vt:variant>
      <vt:variant>
        <vt:i4>63</vt:i4>
      </vt:variant>
      <vt:variant>
        <vt:i4>0</vt:i4>
      </vt:variant>
      <vt:variant>
        <vt:i4>5</vt:i4>
      </vt:variant>
      <vt:variant>
        <vt:lpwstr>http://www.nevo.co.il/advertisements/nevo-100.doc</vt:lpwstr>
      </vt:variant>
      <vt:variant>
        <vt:lpwstr/>
      </vt:variant>
      <vt:variant>
        <vt:i4>5177421</vt:i4>
      </vt:variant>
      <vt:variant>
        <vt:i4>60</vt:i4>
      </vt:variant>
      <vt:variant>
        <vt:i4>0</vt:i4>
      </vt:variant>
      <vt:variant>
        <vt:i4>5</vt:i4>
      </vt:variant>
      <vt:variant>
        <vt:lpwstr>http://www.energy.gov.il/</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7798792</vt:i4>
      </vt:variant>
      <vt:variant>
        <vt:i4>0</vt:i4>
      </vt:variant>
      <vt:variant>
        <vt:i4>0</vt:i4>
      </vt:variant>
      <vt:variant>
        <vt:i4>5</vt:i4>
      </vt:variant>
      <vt:variant>
        <vt:lpwstr>http://www.nevo.co.il/Law_word/law06/tak-7494.pdf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גז</vt:lpwstr>
  </property>
  <property fmtid="{D5CDD505-2E9C-101B-9397-08002B2CF9AE}" pid="4" name="LAWNAME">
    <vt:lpwstr>צו הגז (בטיחות ורישוי) (מכלי גפ"מ מיטלטלים), תשע"ה-2015</vt:lpwstr>
  </property>
  <property fmtid="{D5CDD505-2E9C-101B-9397-08002B2CF9AE}" pid="5" name="LAWNUMBER">
    <vt:lpwstr>0192</vt:lpwstr>
  </property>
  <property fmtid="{D5CDD505-2E9C-101B-9397-08002B2CF9AE}" pid="6" name="TYPE">
    <vt:lpwstr>01</vt:lpwstr>
  </property>
  <property fmtid="{D5CDD505-2E9C-101B-9397-08002B2CF9AE}" pid="7" name="MEKOR_NAME1">
    <vt:lpwstr>חוק הגז (בטיחות ורישוי)</vt:lpwstr>
  </property>
  <property fmtid="{D5CDD505-2E9C-101B-9397-08002B2CF9AE}" pid="8" name="MEKOR_SAIF1">
    <vt:lpwstr>2X;29X;30X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גז</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http://www.nevo.co.il/Law_word/law06/tak-7494.pdf;‎רשומות - תקנות כלליות#פורסם ק"ת תשע"ה מס' 7494 ‏‏#מיום 23.2.2015 עמ' 950‏</vt:lpwstr>
  </property>
</Properties>
</file>