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901" w:rsidRDefault="002F1901">
      <w:pPr>
        <w:pStyle w:val="big-header"/>
        <w:ind w:left="0" w:right="1134"/>
        <w:rPr>
          <w:rFonts w:cs="FrankRuehl"/>
          <w:sz w:val="32"/>
        </w:rPr>
      </w:pPr>
      <w:r>
        <w:rPr>
          <w:rFonts w:cs="FrankRuehl"/>
          <w:sz w:val="32"/>
          <w:rtl/>
        </w:rPr>
        <w:t>צו ההגבלים העסקיים (דרכי הספקה של בירה), תש"ל</w:t>
      </w:r>
      <w:r>
        <w:rPr>
          <w:rFonts w:cs="FrankRuehl" w:hint="cs"/>
          <w:sz w:val="32"/>
          <w:rtl/>
        </w:rPr>
        <w:t>-</w:t>
      </w:r>
      <w:r>
        <w:rPr>
          <w:rFonts w:cs="FrankRuehl"/>
          <w:sz w:val="32"/>
          <w:rtl/>
        </w:rPr>
        <w:t>1970</w:t>
      </w:r>
    </w:p>
    <w:p w:rsidR="00AC3383" w:rsidRPr="00AC3383" w:rsidRDefault="00AC3383" w:rsidP="00AC3383">
      <w:pPr>
        <w:spacing w:line="320" w:lineRule="auto"/>
        <w:jc w:val="left"/>
        <w:rPr>
          <w:rFonts w:cs="FrankRuehl"/>
          <w:szCs w:val="26"/>
          <w:rtl/>
        </w:rPr>
      </w:pPr>
    </w:p>
    <w:p w:rsidR="00AC3383" w:rsidRDefault="00AC3383" w:rsidP="00AC3383">
      <w:pPr>
        <w:spacing w:line="320" w:lineRule="auto"/>
        <w:jc w:val="left"/>
        <w:rPr>
          <w:rtl/>
        </w:rPr>
      </w:pPr>
    </w:p>
    <w:p w:rsidR="00AC3383" w:rsidRPr="00AC3383" w:rsidRDefault="00AC3383" w:rsidP="00AC3383">
      <w:pPr>
        <w:spacing w:line="320" w:lineRule="auto"/>
        <w:jc w:val="left"/>
        <w:rPr>
          <w:rFonts w:cs="Miriam"/>
          <w:szCs w:val="22"/>
          <w:rtl/>
        </w:rPr>
      </w:pPr>
      <w:r w:rsidRPr="00AC3383">
        <w:rPr>
          <w:rFonts w:cs="Miriam"/>
          <w:szCs w:val="22"/>
          <w:rtl/>
        </w:rPr>
        <w:t>משפט פרטי וכלכלה</w:t>
      </w:r>
      <w:r w:rsidRPr="00AC3383">
        <w:rPr>
          <w:rFonts w:cs="FrankRuehl"/>
          <w:szCs w:val="26"/>
          <w:rtl/>
        </w:rPr>
        <w:t xml:space="preserve"> – מסחר  – הגבלים עסקיים</w:t>
      </w:r>
    </w:p>
    <w:p w:rsidR="002F1901" w:rsidRDefault="002F190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0" w:tooltip="הגדרות" w:history="1">
              <w:r>
                <w:rPr>
                  <w:rStyle w:val="Hyperlink"/>
                </w:rPr>
                <w:t>Go</w:t>
              </w:r>
            </w:hyperlink>
          </w:p>
        </w:tc>
        <w:tc>
          <w:tcPr>
            <w:tcW w:w="5669" w:type="dxa"/>
          </w:tcPr>
          <w:p w:rsidR="002F1901" w:rsidRDefault="002F1901">
            <w:pPr>
              <w:spacing w:line="240" w:lineRule="auto"/>
              <w:rPr>
                <w:sz w:val="24"/>
                <w:rtl/>
              </w:rPr>
            </w:pPr>
            <w:r>
              <w:rPr>
                <w:sz w:val="24"/>
                <w:rtl/>
              </w:rPr>
              <w:t>הגדרות</w:t>
            </w:r>
          </w:p>
        </w:tc>
        <w:tc>
          <w:tcPr>
            <w:tcW w:w="1247" w:type="dxa"/>
          </w:tcPr>
          <w:p w:rsidR="002F1901" w:rsidRDefault="002F1901">
            <w:pPr>
              <w:spacing w:line="240" w:lineRule="auto"/>
              <w:rPr>
                <w:sz w:val="24"/>
              </w:rPr>
            </w:pPr>
            <w:r>
              <w:rPr>
                <w:sz w:val="24"/>
                <w:rtl/>
              </w:rPr>
              <w:t xml:space="preserve">סעיף 1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1" w:tooltip="הספקת בירה" w:history="1">
              <w:r>
                <w:rPr>
                  <w:rStyle w:val="Hyperlink"/>
                </w:rPr>
                <w:t>Go</w:t>
              </w:r>
            </w:hyperlink>
          </w:p>
        </w:tc>
        <w:tc>
          <w:tcPr>
            <w:tcW w:w="5669" w:type="dxa"/>
          </w:tcPr>
          <w:p w:rsidR="002F1901" w:rsidRDefault="002F1901">
            <w:pPr>
              <w:spacing w:line="240" w:lineRule="auto"/>
              <w:rPr>
                <w:sz w:val="24"/>
                <w:rtl/>
              </w:rPr>
            </w:pPr>
            <w:r>
              <w:rPr>
                <w:sz w:val="24"/>
                <w:rtl/>
              </w:rPr>
              <w:t>הספקת בירה</w:t>
            </w:r>
          </w:p>
        </w:tc>
        <w:tc>
          <w:tcPr>
            <w:tcW w:w="1247" w:type="dxa"/>
          </w:tcPr>
          <w:p w:rsidR="002F1901" w:rsidRDefault="002F1901">
            <w:pPr>
              <w:spacing w:line="240" w:lineRule="auto"/>
              <w:rPr>
                <w:sz w:val="24"/>
              </w:rPr>
            </w:pPr>
            <w:r>
              <w:rPr>
                <w:sz w:val="24"/>
                <w:rtl/>
              </w:rPr>
              <w:t xml:space="preserve">סעיף 2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2" w:tooltip="איסור התנאה על מכר" w:history="1">
              <w:r>
                <w:rPr>
                  <w:rStyle w:val="Hyperlink"/>
                </w:rPr>
                <w:t>Go</w:t>
              </w:r>
            </w:hyperlink>
          </w:p>
        </w:tc>
        <w:tc>
          <w:tcPr>
            <w:tcW w:w="5669" w:type="dxa"/>
          </w:tcPr>
          <w:p w:rsidR="002F1901" w:rsidRDefault="002F1901">
            <w:pPr>
              <w:spacing w:line="240" w:lineRule="auto"/>
              <w:rPr>
                <w:sz w:val="24"/>
                <w:rtl/>
              </w:rPr>
            </w:pPr>
            <w:r>
              <w:rPr>
                <w:sz w:val="24"/>
                <w:rtl/>
              </w:rPr>
              <w:t>איסור התנאה על מכר</w:t>
            </w:r>
          </w:p>
        </w:tc>
        <w:tc>
          <w:tcPr>
            <w:tcW w:w="1247" w:type="dxa"/>
          </w:tcPr>
          <w:p w:rsidR="002F1901" w:rsidRDefault="002F1901">
            <w:pPr>
              <w:spacing w:line="240" w:lineRule="auto"/>
              <w:rPr>
                <w:sz w:val="24"/>
              </w:rPr>
            </w:pPr>
            <w:r>
              <w:rPr>
                <w:sz w:val="24"/>
                <w:rtl/>
              </w:rPr>
              <w:t xml:space="preserve">סעיף 3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3" w:tooltip="איסור התנאה בקשר למוצרים נוספים" w:history="1">
              <w:r>
                <w:rPr>
                  <w:rStyle w:val="Hyperlink"/>
                </w:rPr>
                <w:t>Go</w:t>
              </w:r>
            </w:hyperlink>
          </w:p>
        </w:tc>
        <w:tc>
          <w:tcPr>
            <w:tcW w:w="5669" w:type="dxa"/>
          </w:tcPr>
          <w:p w:rsidR="002F1901" w:rsidRDefault="002F1901">
            <w:pPr>
              <w:spacing w:line="240" w:lineRule="auto"/>
              <w:rPr>
                <w:sz w:val="24"/>
                <w:rtl/>
              </w:rPr>
            </w:pPr>
            <w:r>
              <w:rPr>
                <w:sz w:val="24"/>
                <w:rtl/>
              </w:rPr>
              <w:t>איסור התנאה בקשר למוצרים נוספים</w:t>
            </w:r>
          </w:p>
        </w:tc>
        <w:tc>
          <w:tcPr>
            <w:tcW w:w="1247" w:type="dxa"/>
          </w:tcPr>
          <w:p w:rsidR="002F1901" w:rsidRDefault="002F1901">
            <w:pPr>
              <w:spacing w:line="240" w:lineRule="auto"/>
              <w:rPr>
                <w:sz w:val="24"/>
              </w:rPr>
            </w:pPr>
            <w:r>
              <w:rPr>
                <w:sz w:val="24"/>
                <w:rtl/>
              </w:rPr>
              <w:t xml:space="preserve">סעיף 4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4" w:tooltip="התנאה על הפצת מוצרים דומים" w:history="1">
              <w:r>
                <w:rPr>
                  <w:rStyle w:val="Hyperlink"/>
                </w:rPr>
                <w:t>Go</w:t>
              </w:r>
            </w:hyperlink>
          </w:p>
        </w:tc>
        <w:tc>
          <w:tcPr>
            <w:tcW w:w="5669" w:type="dxa"/>
          </w:tcPr>
          <w:p w:rsidR="002F1901" w:rsidRDefault="002F1901">
            <w:pPr>
              <w:spacing w:line="240" w:lineRule="auto"/>
              <w:rPr>
                <w:sz w:val="24"/>
                <w:rtl/>
              </w:rPr>
            </w:pPr>
            <w:r>
              <w:rPr>
                <w:sz w:val="24"/>
                <w:rtl/>
              </w:rPr>
              <w:t>התנאה על הפצת מוצרים דומים</w:t>
            </w:r>
          </w:p>
        </w:tc>
        <w:tc>
          <w:tcPr>
            <w:tcW w:w="1247" w:type="dxa"/>
          </w:tcPr>
          <w:p w:rsidR="002F1901" w:rsidRDefault="002F1901">
            <w:pPr>
              <w:spacing w:line="240" w:lineRule="auto"/>
              <w:rPr>
                <w:sz w:val="24"/>
              </w:rPr>
            </w:pPr>
            <w:r>
              <w:rPr>
                <w:sz w:val="24"/>
                <w:rtl/>
              </w:rPr>
              <w:t xml:space="preserve">סעיף 5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5" w:tooltip="לחץ על מפיץ או לקוח" w:history="1">
              <w:r>
                <w:rPr>
                  <w:rStyle w:val="Hyperlink"/>
                </w:rPr>
                <w:t>Go</w:t>
              </w:r>
            </w:hyperlink>
          </w:p>
        </w:tc>
        <w:tc>
          <w:tcPr>
            <w:tcW w:w="5669" w:type="dxa"/>
          </w:tcPr>
          <w:p w:rsidR="002F1901" w:rsidRDefault="002F1901">
            <w:pPr>
              <w:spacing w:line="240" w:lineRule="auto"/>
              <w:rPr>
                <w:sz w:val="24"/>
                <w:rtl/>
              </w:rPr>
            </w:pPr>
            <w:r>
              <w:rPr>
                <w:sz w:val="24"/>
                <w:rtl/>
              </w:rPr>
              <w:t>לחץ על מפיץ או לקוח</w:t>
            </w:r>
          </w:p>
        </w:tc>
        <w:tc>
          <w:tcPr>
            <w:tcW w:w="1247" w:type="dxa"/>
          </w:tcPr>
          <w:p w:rsidR="002F1901" w:rsidRDefault="002F1901">
            <w:pPr>
              <w:spacing w:line="240" w:lineRule="auto"/>
              <w:rPr>
                <w:sz w:val="24"/>
              </w:rPr>
            </w:pPr>
            <w:r>
              <w:rPr>
                <w:sz w:val="24"/>
                <w:rtl/>
              </w:rPr>
              <w:t xml:space="preserve">סעיף 6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F1901" w:rsidRDefault="002F1901">
            <w:pPr>
              <w:spacing w:line="240" w:lineRule="auto"/>
              <w:rPr>
                <w:sz w:val="24"/>
              </w:rPr>
            </w:pPr>
            <w:hyperlink w:anchor="Seif6" w:tooltip="ועדה מייעצת" w:history="1">
              <w:r>
                <w:rPr>
                  <w:rStyle w:val="Hyperlink"/>
                </w:rPr>
                <w:t>Go</w:t>
              </w:r>
            </w:hyperlink>
          </w:p>
        </w:tc>
        <w:tc>
          <w:tcPr>
            <w:tcW w:w="5669" w:type="dxa"/>
          </w:tcPr>
          <w:p w:rsidR="002F1901" w:rsidRDefault="002F1901">
            <w:pPr>
              <w:spacing w:line="240" w:lineRule="auto"/>
              <w:rPr>
                <w:sz w:val="24"/>
                <w:rtl/>
              </w:rPr>
            </w:pPr>
            <w:r>
              <w:rPr>
                <w:sz w:val="24"/>
                <w:rtl/>
              </w:rPr>
              <w:t>ועדה מייעצת</w:t>
            </w:r>
          </w:p>
        </w:tc>
        <w:tc>
          <w:tcPr>
            <w:tcW w:w="1247" w:type="dxa"/>
          </w:tcPr>
          <w:p w:rsidR="002F1901" w:rsidRDefault="002F1901">
            <w:pPr>
              <w:spacing w:line="240" w:lineRule="auto"/>
              <w:rPr>
                <w:sz w:val="24"/>
              </w:rPr>
            </w:pPr>
            <w:r>
              <w:rPr>
                <w:sz w:val="24"/>
                <w:rtl/>
              </w:rPr>
              <w:t xml:space="preserve">סעיף 7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F1901" w:rsidRDefault="002F1901">
            <w:pPr>
              <w:spacing w:line="240" w:lineRule="auto"/>
              <w:rPr>
                <w:sz w:val="24"/>
              </w:rPr>
            </w:pPr>
            <w:hyperlink w:anchor="Seif7" w:tooltip="תפקידי הועדה וסמכויותיה" w:history="1">
              <w:r>
                <w:rPr>
                  <w:rStyle w:val="Hyperlink"/>
                </w:rPr>
                <w:t>Go</w:t>
              </w:r>
            </w:hyperlink>
          </w:p>
        </w:tc>
        <w:tc>
          <w:tcPr>
            <w:tcW w:w="5669" w:type="dxa"/>
          </w:tcPr>
          <w:p w:rsidR="002F1901" w:rsidRDefault="002F1901">
            <w:pPr>
              <w:spacing w:line="240" w:lineRule="auto"/>
              <w:rPr>
                <w:sz w:val="24"/>
                <w:rtl/>
              </w:rPr>
            </w:pPr>
            <w:r>
              <w:rPr>
                <w:sz w:val="24"/>
                <w:rtl/>
              </w:rPr>
              <w:t>תפקידי הועדה וסמכויותיה</w:t>
            </w:r>
          </w:p>
        </w:tc>
        <w:tc>
          <w:tcPr>
            <w:tcW w:w="1247" w:type="dxa"/>
          </w:tcPr>
          <w:p w:rsidR="002F1901" w:rsidRDefault="002F1901">
            <w:pPr>
              <w:spacing w:line="240" w:lineRule="auto"/>
              <w:rPr>
                <w:sz w:val="24"/>
              </w:rPr>
            </w:pPr>
            <w:r>
              <w:rPr>
                <w:sz w:val="24"/>
                <w:rtl/>
              </w:rPr>
              <w:t xml:space="preserve">סעיף 8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F1901" w:rsidRDefault="002F1901">
            <w:pPr>
              <w:spacing w:line="240" w:lineRule="auto"/>
              <w:rPr>
                <w:sz w:val="24"/>
              </w:rPr>
            </w:pPr>
            <w:hyperlink w:anchor="Seif8" w:tooltip="שמירת דינים" w:history="1">
              <w:r>
                <w:rPr>
                  <w:rStyle w:val="Hyperlink"/>
                </w:rPr>
                <w:t>Go</w:t>
              </w:r>
            </w:hyperlink>
          </w:p>
        </w:tc>
        <w:tc>
          <w:tcPr>
            <w:tcW w:w="5669" w:type="dxa"/>
          </w:tcPr>
          <w:p w:rsidR="002F1901" w:rsidRDefault="002F1901">
            <w:pPr>
              <w:spacing w:line="240" w:lineRule="auto"/>
              <w:rPr>
                <w:sz w:val="24"/>
                <w:rtl/>
              </w:rPr>
            </w:pPr>
            <w:r>
              <w:rPr>
                <w:sz w:val="24"/>
                <w:rtl/>
              </w:rPr>
              <w:t>שמירת דינים</w:t>
            </w:r>
          </w:p>
        </w:tc>
        <w:tc>
          <w:tcPr>
            <w:tcW w:w="1247" w:type="dxa"/>
          </w:tcPr>
          <w:p w:rsidR="002F1901" w:rsidRDefault="002F1901">
            <w:pPr>
              <w:spacing w:line="240" w:lineRule="auto"/>
              <w:rPr>
                <w:sz w:val="24"/>
              </w:rPr>
            </w:pPr>
            <w:r>
              <w:rPr>
                <w:sz w:val="24"/>
                <w:rtl/>
              </w:rPr>
              <w:t xml:space="preserve">סעיף 9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F1901" w:rsidRDefault="002F1901">
            <w:pPr>
              <w:spacing w:line="240" w:lineRule="auto"/>
              <w:rPr>
                <w:sz w:val="24"/>
              </w:rPr>
            </w:pPr>
            <w:hyperlink w:anchor="Seif9" w:tooltip="תחילת תוקף" w:history="1">
              <w:r>
                <w:rPr>
                  <w:rStyle w:val="Hyperlink"/>
                </w:rPr>
                <w:t>Go</w:t>
              </w:r>
            </w:hyperlink>
          </w:p>
        </w:tc>
        <w:tc>
          <w:tcPr>
            <w:tcW w:w="5669" w:type="dxa"/>
          </w:tcPr>
          <w:p w:rsidR="002F1901" w:rsidRDefault="002F1901">
            <w:pPr>
              <w:spacing w:line="240" w:lineRule="auto"/>
              <w:rPr>
                <w:sz w:val="24"/>
                <w:rtl/>
              </w:rPr>
            </w:pPr>
            <w:r>
              <w:rPr>
                <w:sz w:val="24"/>
                <w:rtl/>
              </w:rPr>
              <w:t>תחילת תוקף</w:t>
            </w:r>
          </w:p>
        </w:tc>
        <w:tc>
          <w:tcPr>
            <w:tcW w:w="1247" w:type="dxa"/>
          </w:tcPr>
          <w:p w:rsidR="002F1901" w:rsidRDefault="002F1901">
            <w:pPr>
              <w:spacing w:line="240" w:lineRule="auto"/>
              <w:rPr>
                <w:sz w:val="24"/>
              </w:rPr>
            </w:pPr>
            <w:r>
              <w:rPr>
                <w:sz w:val="24"/>
                <w:rtl/>
              </w:rPr>
              <w:t xml:space="preserve">סעיף 10 </w:t>
            </w:r>
          </w:p>
        </w:tc>
      </w:tr>
      <w:tr w:rsidR="002F1901">
        <w:tblPrEx>
          <w:tblCellMar>
            <w:top w:w="0" w:type="dxa"/>
            <w:bottom w:w="0" w:type="dxa"/>
          </w:tblCellMar>
        </w:tblPrEx>
        <w:tc>
          <w:tcPr>
            <w:tcW w:w="850" w:type="dxa"/>
          </w:tcPr>
          <w:p w:rsidR="002F1901" w:rsidRDefault="002F190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F1901" w:rsidRDefault="002F1901">
            <w:pPr>
              <w:spacing w:line="240" w:lineRule="auto"/>
              <w:rPr>
                <w:sz w:val="24"/>
              </w:rPr>
            </w:pPr>
            <w:hyperlink w:anchor="Seif10" w:tooltip="השם" w:history="1">
              <w:r>
                <w:rPr>
                  <w:rStyle w:val="Hyperlink"/>
                </w:rPr>
                <w:t>Go</w:t>
              </w:r>
            </w:hyperlink>
          </w:p>
        </w:tc>
        <w:tc>
          <w:tcPr>
            <w:tcW w:w="5669" w:type="dxa"/>
          </w:tcPr>
          <w:p w:rsidR="002F1901" w:rsidRDefault="002F1901">
            <w:pPr>
              <w:spacing w:line="240" w:lineRule="auto"/>
              <w:rPr>
                <w:sz w:val="24"/>
                <w:rtl/>
              </w:rPr>
            </w:pPr>
            <w:r>
              <w:rPr>
                <w:sz w:val="24"/>
                <w:rtl/>
              </w:rPr>
              <w:t>השם</w:t>
            </w:r>
          </w:p>
        </w:tc>
        <w:tc>
          <w:tcPr>
            <w:tcW w:w="1247" w:type="dxa"/>
          </w:tcPr>
          <w:p w:rsidR="002F1901" w:rsidRDefault="002F1901">
            <w:pPr>
              <w:spacing w:line="240" w:lineRule="auto"/>
              <w:rPr>
                <w:sz w:val="24"/>
              </w:rPr>
            </w:pPr>
            <w:r>
              <w:rPr>
                <w:sz w:val="24"/>
                <w:rtl/>
              </w:rPr>
              <w:t xml:space="preserve">סעיף 11 </w:t>
            </w:r>
          </w:p>
        </w:tc>
      </w:tr>
    </w:tbl>
    <w:p w:rsidR="002F1901" w:rsidRDefault="002F1901">
      <w:pPr>
        <w:pStyle w:val="big-header"/>
        <w:ind w:left="0" w:right="1134"/>
        <w:rPr>
          <w:rFonts w:cs="FrankRuehl"/>
          <w:sz w:val="32"/>
          <w:rtl/>
        </w:rPr>
      </w:pPr>
    </w:p>
    <w:p w:rsidR="002F1901" w:rsidRDefault="002F1901" w:rsidP="00AC3383">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ההגבלים העסקיים (דרכי הספקה של בירה), ת</w:t>
      </w:r>
      <w:r>
        <w:rPr>
          <w:rFonts w:cs="FrankRuehl"/>
          <w:sz w:val="32"/>
          <w:rtl/>
        </w:rPr>
        <w:t>ש</w:t>
      </w:r>
      <w:r>
        <w:rPr>
          <w:rFonts w:cs="FrankRuehl" w:hint="cs"/>
          <w:sz w:val="32"/>
          <w:rtl/>
        </w:rPr>
        <w:t>"ל-</w:t>
      </w:r>
      <w:r>
        <w:rPr>
          <w:rFonts w:cs="FrankRuehl"/>
          <w:sz w:val="32"/>
          <w:rtl/>
        </w:rPr>
        <w:t>1970</w:t>
      </w:r>
      <w:r>
        <w:rPr>
          <w:rStyle w:val="default"/>
          <w:rtl/>
        </w:rPr>
        <w:footnoteReference w:customMarkFollows="1" w:id="1"/>
        <w:t>*</w:t>
      </w:r>
    </w:p>
    <w:p w:rsidR="002F1901" w:rsidRDefault="002F190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31 לחוק ההגבלים העסקיים, תשי"ט-</w:t>
      </w:r>
      <w:r>
        <w:rPr>
          <w:rStyle w:val="default"/>
          <w:rFonts w:cs="FrankRuehl"/>
          <w:rtl/>
        </w:rPr>
        <w:t xml:space="preserve">1959, </w:t>
      </w:r>
      <w:r>
        <w:rPr>
          <w:rStyle w:val="default"/>
          <w:rFonts w:cs="FrankRuehl" w:hint="cs"/>
          <w:rtl/>
        </w:rPr>
        <w:t>ואחרי שהובאה בפני הצעתו של הממונה באישור המועצה ובהתאם להצעה האמורה, אני קובע בזה הוראות בדבר דרכי הספקה של בירה שנקבעה</w:t>
      </w:r>
      <w:r>
        <w:rPr>
          <w:rStyle w:val="default"/>
          <w:rFonts w:cs="FrankRuehl"/>
          <w:rtl/>
        </w:rPr>
        <w:t xml:space="preserve"> כ</w:t>
      </w:r>
      <w:r>
        <w:rPr>
          <w:rStyle w:val="default"/>
          <w:rFonts w:cs="FrankRuehl" w:hint="cs"/>
          <w:rtl/>
        </w:rPr>
        <w:t>מונופולין בצו הגבלים עסקיים (קביעת מונופולין), תש"ל-</w:t>
      </w:r>
      <w:r>
        <w:rPr>
          <w:rStyle w:val="default"/>
          <w:rFonts w:cs="FrankRuehl"/>
          <w:rtl/>
        </w:rPr>
        <w:t>1969</w:t>
      </w:r>
      <w:r>
        <w:rPr>
          <w:rStyle w:val="default"/>
          <w:rFonts w:cs="FrankRuehl" w:hint="cs"/>
          <w:rtl/>
        </w:rPr>
        <w:t>:</w:t>
      </w:r>
    </w:p>
    <w:p w:rsidR="002F1901" w:rsidRDefault="002F1901">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9.1pt;z-index:251652608"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ו זה, "המונופולין" -</w:t>
      </w:r>
      <w:r>
        <w:rPr>
          <w:rStyle w:val="default"/>
          <w:rFonts w:cs="FrankRuehl"/>
          <w:rtl/>
        </w:rPr>
        <w:t xml:space="preserve"> </w:t>
      </w:r>
      <w:r>
        <w:rPr>
          <w:rStyle w:val="default"/>
          <w:rFonts w:cs="FrankRuehl" w:hint="cs"/>
          <w:rtl/>
        </w:rPr>
        <w:t xml:space="preserve">הספקה של בירה. </w:t>
      </w:r>
    </w:p>
    <w:p w:rsidR="002F1901" w:rsidRDefault="002F190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1.6pt;z-index:251653632"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הס</w:t>
                  </w:r>
                  <w:r>
                    <w:rPr>
                      <w:rFonts w:cs="Miriam" w:hint="cs"/>
                      <w:sz w:val="18"/>
                      <w:szCs w:val="18"/>
                      <w:rtl/>
                    </w:rPr>
                    <w:t>פקת בירה</w:t>
                  </w:r>
                </w:p>
              </w:txbxContent>
            </v:textbox>
            <w10:anchorlock/>
          </v:rect>
        </w:pict>
      </w:r>
      <w:r>
        <w:rPr>
          <w:rStyle w:val="big-number"/>
          <w:rFonts w:cs="Miriam"/>
          <w:rtl/>
        </w:rPr>
        <w:t>2.</w:t>
      </w:r>
      <w:r>
        <w:rPr>
          <w:rStyle w:val="big-number"/>
          <w:rFonts w:cs="Miriam"/>
          <w:rtl/>
        </w:rPr>
        <w:tab/>
      </w:r>
      <w:r>
        <w:rPr>
          <w:rStyle w:val="default"/>
          <w:rFonts w:cs="FrankRuehl"/>
          <w:rtl/>
        </w:rPr>
        <w:t>יצ</w:t>
      </w:r>
      <w:r>
        <w:rPr>
          <w:rStyle w:val="default"/>
          <w:rFonts w:cs="FrankRuehl" w:hint="cs"/>
          <w:rtl/>
        </w:rPr>
        <w:t xml:space="preserve">רן בירה יספק כל סוג בירה שהוא מייצר לצורך שיווק בישראל באמצעות מנגנון שיווק או מנגנוני שיווק שתחום פעולתו או פעולתם, לפי המקרה, מכסה ככל האפשר את </w:t>
      </w:r>
      <w:r>
        <w:rPr>
          <w:rStyle w:val="default"/>
          <w:rFonts w:cs="FrankRuehl"/>
          <w:rtl/>
        </w:rPr>
        <w:t>שט</w:t>
      </w:r>
      <w:r>
        <w:rPr>
          <w:rStyle w:val="default"/>
          <w:rFonts w:cs="FrankRuehl" w:hint="cs"/>
          <w:rtl/>
        </w:rPr>
        <w:t xml:space="preserve">ח המדינה. </w:t>
      </w:r>
    </w:p>
    <w:p w:rsidR="002F1901" w:rsidRDefault="002F1901">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7.9pt;z-index:251654656"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אי</w:t>
                  </w:r>
                  <w:r>
                    <w:rPr>
                      <w:rFonts w:cs="Miriam" w:hint="cs"/>
                      <w:sz w:val="18"/>
                      <w:szCs w:val="18"/>
                      <w:rtl/>
                    </w:rPr>
                    <w:t>סור הת</w:t>
                  </w:r>
                  <w:r>
                    <w:rPr>
                      <w:rFonts w:cs="Miriam"/>
                      <w:sz w:val="18"/>
                      <w:szCs w:val="18"/>
                      <w:rtl/>
                    </w:rPr>
                    <w:t>נא</w:t>
                  </w:r>
                  <w:r>
                    <w:rPr>
                      <w:rFonts w:cs="Miriam" w:hint="cs"/>
                      <w:sz w:val="18"/>
                      <w:szCs w:val="18"/>
                      <w:rtl/>
                    </w:rPr>
                    <w:t xml:space="preserve">ה </w:t>
                  </w:r>
                  <w:r>
                    <w:rPr>
                      <w:rFonts w:cs="Miriam"/>
                      <w:sz w:val="18"/>
                      <w:szCs w:val="18"/>
                      <w:rtl/>
                    </w:rPr>
                    <w:t>על</w:t>
                  </w:r>
                  <w:r>
                    <w:rPr>
                      <w:rFonts w:cs="Miriam" w:hint="cs"/>
                      <w:sz w:val="18"/>
                      <w:szCs w:val="18"/>
                      <w:rtl/>
                    </w:rPr>
                    <w:t xml:space="preserve"> מכר</w:t>
                  </w:r>
                </w:p>
              </w:txbxContent>
            </v:textbox>
            <w10:anchorlock/>
          </v:rect>
        </w:pict>
      </w:r>
      <w:r>
        <w:rPr>
          <w:rStyle w:val="big-number"/>
          <w:rFonts w:cs="Miriam"/>
          <w:rtl/>
        </w:rPr>
        <w:t>3.</w:t>
      </w:r>
      <w:r>
        <w:rPr>
          <w:rStyle w:val="big-number"/>
          <w:rFonts w:cs="Miriam"/>
          <w:rtl/>
        </w:rPr>
        <w:tab/>
      </w:r>
      <w:r>
        <w:rPr>
          <w:rStyle w:val="default"/>
          <w:rFonts w:cs="FrankRuehl"/>
          <w:rtl/>
        </w:rPr>
        <w:t>יצ</w:t>
      </w:r>
      <w:r>
        <w:rPr>
          <w:rStyle w:val="default"/>
          <w:rFonts w:cs="FrankRuehl" w:hint="cs"/>
          <w:rtl/>
        </w:rPr>
        <w:t>רן בירה לא יאסור על מפיץ בירה לקנות או להפיץ משקאות (לרבות תרכיזים ומרכיבים של משקאות) משל אחרים מכל סוג שהוא שאינו במונופולין, כתנאי</w:t>
      </w:r>
      <w:r>
        <w:rPr>
          <w:rStyle w:val="default"/>
          <w:rFonts w:cs="FrankRuehl"/>
          <w:rtl/>
        </w:rPr>
        <w:t xml:space="preserve"> ל</w:t>
      </w:r>
      <w:r>
        <w:rPr>
          <w:rStyle w:val="default"/>
          <w:rFonts w:cs="FrankRuehl" w:hint="cs"/>
          <w:rtl/>
        </w:rPr>
        <w:t xml:space="preserve">הספקת בירה, ומפיץ בירה לא יתנה התנאה כאמור ללקוחו, ואולם יצרן בירה יהיה רשאי לאסור על מפיץ בירה לקנות או להפיץ בירה שאינה מייצורו של אותו יצרן. </w:t>
      </w:r>
    </w:p>
    <w:p w:rsidR="002F1901" w:rsidRDefault="002F1901">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6.15pt;z-index:251655680"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התנאה </w:t>
                  </w:r>
                  <w:r>
                    <w:rPr>
                      <w:rFonts w:cs="Miriam"/>
                      <w:sz w:val="18"/>
                      <w:szCs w:val="18"/>
                      <w:rtl/>
                    </w:rPr>
                    <w:t>בק</w:t>
                  </w:r>
                  <w:r>
                    <w:rPr>
                      <w:rFonts w:cs="Miriam" w:hint="cs"/>
                      <w:sz w:val="18"/>
                      <w:szCs w:val="18"/>
                      <w:rtl/>
                    </w:rPr>
                    <w:t xml:space="preserve">שר למוצרים </w:t>
                  </w:r>
                  <w:r>
                    <w:rPr>
                      <w:rFonts w:cs="Miriam"/>
                      <w:sz w:val="18"/>
                      <w:szCs w:val="18"/>
                      <w:rtl/>
                    </w:rPr>
                    <w:t>נו</w:t>
                  </w:r>
                  <w:r>
                    <w:rPr>
                      <w:rFonts w:cs="Miriam" w:hint="cs"/>
                      <w:sz w:val="18"/>
                      <w:szCs w:val="18"/>
                      <w:rtl/>
                    </w:rPr>
                    <w:t>ספים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צרן בירה לא יעביר למפיץ יחד עם בירה, או כתנאי למכירת בירה, מוצר שאינו בגדר המונופולין א</w:t>
      </w:r>
      <w:r>
        <w:rPr>
          <w:rStyle w:val="default"/>
          <w:rFonts w:cs="FrankRuehl"/>
          <w:rtl/>
        </w:rPr>
        <w:t>ל</w:t>
      </w:r>
      <w:r>
        <w:rPr>
          <w:rStyle w:val="default"/>
          <w:rFonts w:cs="FrankRuehl" w:hint="cs"/>
          <w:rtl/>
        </w:rPr>
        <w:t xml:space="preserve">א לפי הזמנת </w:t>
      </w:r>
      <w:r>
        <w:rPr>
          <w:rStyle w:val="default"/>
          <w:rFonts w:cs="FrankRuehl"/>
          <w:rtl/>
        </w:rPr>
        <w:t>המ</w:t>
      </w:r>
      <w:r>
        <w:rPr>
          <w:rStyle w:val="default"/>
          <w:rFonts w:cs="FrankRuehl" w:hint="cs"/>
          <w:rtl/>
        </w:rPr>
        <w:t xml:space="preserve">פיץ. </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מפיץ של בירה גם מפיץ של מוצר אחר שאינו בגדר המונופולין, לא יקבע יצרן בירה מכסות מחייבות של מכירת המוצרים האחרים כתנאי להספקת בירה, ומפיץ לא יקבע מכסות כאמור ללקוחותיו.</w:t>
      </w:r>
    </w:p>
    <w:p w:rsidR="002F1901" w:rsidRDefault="002F190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4pt;z-index:251656704"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נאה על </w:t>
                  </w:r>
                  <w:r>
                    <w:rPr>
                      <w:rFonts w:cs="Miriam"/>
                      <w:sz w:val="18"/>
                      <w:szCs w:val="18"/>
                      <w:rtl/>
                    </w:rPr>
                    <w:t>הפ</w:t>
                  </w:r>
                  <w:r>
                    <w:rPr>
                      <w:rFonts w:cs="Miriam" w:hint="cs"/>
                      <w:sz w:val="18"/>
                      <w:szCs w:val="18"/>
                      <w:rtl/>
                    </w:rPr>
                    <w:t xml:space="preserve">צת מוצרים </w:t>
                  </w:r>
                  <w:r>
                    <w:rPr>
                      <w:rFonts w:cs="Miriam"/>
                      <w:sz w:val="18"/>
                      <w:szCs w:val="18"/>
                      <w:rtl/>
                    </w:rPr>
                    <w:t>דו</w:t>
                  </w:r>
                  <w:r>
                    <w:rPr>
                      <w:rFonts w:cs="Miriam" w:hint="cs"/>
                      <w:sz w:val="18"/>
                      <w:szCs w:val="18"/>
                      <w:rtl/>
                    </w:rPr>
                    <w:t>מים</w:t>
                  </w:r>
                </w:p>
              </w:txbxContent>
            </v:textbox>
            <w10:anchorlock/>
          </v:rect>
        </w:pict>
      </w:r>
      <w:r>
        <w:rPr>
          <w:rStyle w:val="big-number"/>
          <w:rFonts w:cs="Miriam"/>
          <w:rtl/>
        </w:rPr>
        <w:t>5.</w:t>
      </w:r>
      <w:r>
        <w:rPr>
          <w:rStyle w:val="big-number"/>
          <w:rFonts w:cs="Miriam"/>
          <w:rtl/>
        </w:rPr>
        <w:tab/>
      </w:r>
      <w:r>
        <w:rPr>
          <w:rStyle w:val="default"/>
          <w:rFonts w:cs="FrankRuehl"/>
          <w:rtl/>
        </w:rPr>
        <w:t>יצ</w:t>
      </w:r>
      <w:r>
        <w:rPr>
          <w:rStyle w:val="default"/>
          <w:rFonts w:cs="FrankRuehl" w:hint="cs"/>
          <w:rtl/>
        </w:rPr>
        <w:t>רן בירה לא יאסור על מפי</w:t>
      </w:r>
      <w:r>
        <w:rPr>
          <w:rStyle w:val="default"/>
          <w:rFonts w:cs="FrankRuehl"/>
          <w:rtl/>
        </w:rPr>
        <w:t>צ</w:t>
      </w:r>
      <w:r>
        <w:rPr>
          <w:rStyle w:val="default"/>
          <w:rFonts w:cs="FrankRuehl" w:hint="cs"/>
          <w:rtl/>
        </w:rPr>
        <w:t>יו לשמש כמפיץ של תוצרת ממפעלים אחרים, הדו</w:t>
      </w:r>
      <w:r>
        <w:rPr>
          <w:rStyle w:val="default"/>
          <w:rFonts w:cs="FrankRuehl"/>
          <w:rtl/>
        </w:rPr>
        <w:t>מה</w:t>
      </w:r>
      <w:r>
        <w:rPr>
          <w:rStyle w:val="default"/>
          <w:rFonts w:cs="FrankRuehl" w:hint="cs"/>
          <w:rtl/>
        </w:rPr>
        <w:t xml:space="preserve"> למוצריו של יצרן הבירה או זהה אתם למעט בירה (בצו זה -</w:t>
      </w:r>
      <w:r>
        <w:rPr>
          <w:rStyle w:val="default"/>
          <w:rFonts w:cs="FrankRuehl"/>
          <w:rtl/>
        </w:rPr>
        <w:t xml:space="preserve"> </w:t>
      </w:r>
      <w:r>
        <w:rPr>
          <w:rStyle w:val="default"/>
          <w:rFonts w:cs="FrankRuehl" w:hint="cs"/>
          <w:rtl/>
        </w:rPr>
        <w:t xml:space="preserve">מוצר דומה), ולא יתנה תנאי כאמור בהסכמים שבינו לבין המפיצים. </w:t>
      </w:r>
    </w:p>
    <w:p w:rsidR="002F1901" w:rsidRDefault="002F1901">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0.35pt;z-index:251657728"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לח</w:t>
                  </w:r>
                  <w:r>
                    <w:rPr>
                      <w:rFonts w:cs="Miriam" w:hint="cs"/>
                      <w:sz w:val="18"/>
                      <w:szCs w:val="18"/>
                      <w:rtl/>
                    </w:rPr>
                    <w:t xml:space="preserve">ץ על מפיץ </w:t>
                  </w:r>
                  <w:r>
                    <w:rPr>
                      <w:rFonts w:cs="Miriam"/>
                      <w:sz w:val="18"/>
                      <w:szCs w:val="18"/>
                      <w:rtl/>
                    </w:rPr>
                    <w:t>או</w:t>
                  </w:r>
                  <w:r>
                    <w:rPr>
                      <w:rFonts w:cs="Miriam" w:hint="cs"/>
                      <w:sz w:val="18"/>
                      <w:szCs w:val="18"/>
                      <w:rtl/>
                    </w:rPr>
                    <w:t xml:space="preserve"> לקוח</w:t>
                  </w:r>
                </w:p>
              </w:txbxContent>
            </v:textbox>
            <w10:anchorlock/>
          </v:rect>
        </w:pict>
      </w:r>
      <w:r>
        <w:rPr>
          <w:rStyle w:val="big-number"/>
          <w:rFonts w:cs="Miriam"/>
          <w:rtl/>
        </w:rPr>
        <w:t>6.</w:t>
      </w:r>
      <w:r>
        <w:rPr>
          <w:rStyle w:val="big-number"/>
          <w:rFonts w:cs="Miriam"/>
          <w:rtl/>
        </w:rPr>
        <w:tab/>
      </w:r>
      <w:r>
        <w:rPr>
          <w:rStyle w:val="default"/>
          <w:rFonts w:cs="FrankRuehl"/>
          <w:rtl/>
        </w:rPr>
        <w:t>יצ</w:t>
      </w:r>
      <w:r>
        <w:rPr>
          <w:rStyle w:val="default"/>
          <w:rFonts w:cs="FrankRuehl" w:hint="cs"/>
          <w:rtl/>
        </w:rPr>
        <w:t>רן בירה או מפיץ הפועל מטעם יצרן בירה לא יפעיל לחץ מסוג כלשהו במטרה לאלץ מפיץ או לקוח, לפי המקרה, להימנע מקניית מוצר דומה או מהפצתו, ו</w:t>
      </w:r>
      <w:r>
        <w:rPr>
          <w:rStyle w:val="default"/>
          <w:rFonts w:cs="FrankRuehl"/>
          <w:rtl/>
        </w:rPr>
        <w:t>לא</w:t>
      </w:r>
      <w:r>
        <w:rPr>
          <w:rStyle w:val="default"/>
          <w:rFonts w:cs="FrankRuehl" w:hint="cs"/>
          <w:rtl/>
        </w:rPr>
        <w:t xml:space="preserve"> יעניק למפיץ או ללקוח הנמנע מהפצה או מקניה של מוצר דומה, זכויות, הנחות, אשראי או הטבות דומות אחרות באשר לבירה החורגים מהמקובל אצל היצרן או המפיץ, הכל לפי הענין, לגבי הרוכשים בירה בלבד. </w:t>
      </w:r>
    </w:p>
    <w:p w:rsidR="002F1901" w:rsidRDefault="002F1901">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85pt;z-index:251658752"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הפיקוח על ביצוע צו זה תתמנה על-ידי שר המסחר והתעשיה (ל</w:t>
      </w:r>
      <w:r>
        <w:rPr>
          <w:rStyle w:val="default"/>
          <w:rFonts w:cs="FrankRuehl"/>
          <w:rtl/>
        </w:rPr>
        <w:t>הל</w:t>
      </w:r>
      <w:r>
        <w:rPr>
          <w:rStyle w:val="default"/>
          <w:rFonts w:cs="FrankRuehl" w:hint="cs"/>
          <w:rtl/>
        </w:rPr>
        <w:t>ן -</w:t>
      </w:r>
      <w:r>
        <w:rPr>
          <w:rStyle w:val="default"/>
          <w:rFonts w:cs="FrankRuehl"/>
          <w:rtl/>
        </w:rPr>
        <w:t xml:space="preserve"> </w:t>
      </w:r>
      <w:r>
        <w:rPr>
          <w:rStyle w:val="default"/>
          <w:rFonts w:cs="FrankRuehl" w:hint="cs"/>
          <w:rtl/>
        </w:rPr>
        <w:t>השר) ועדה מייעצת אשר חבריה יהיו:</w:t>
      </w:r>
    </w:p>
    <w:p w:rsidR="002F1901" w:rsidRDefault="002F190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משרד המסחר והתעשיה אשר ישמש יושב-ראש הועדה;</w:t>
      </w:r>
    </w:p>
    <w:p w:rsidR="002F1901" w:rsidRDefault="002F190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שיוצע על-ידי בעל המונופולין;</w:t>
      </w:r>
    </w:p>
    <w:p w:rsidR="002F1901" w:rsidRDefault="002F1901">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ציג שיוצע על-ידי יצרני המשקאות הקלים. </w:t>
      </w:r>
    </w:p>
    <w:p w:rsidR="002F1901" w:rsidRDefault="002F1901">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ציג יצרני המשקאות הקלים ייבחר בבחירות אשר הודעה על מועדן פורסמה על-ידי ה</w:t>
      </w:r>
      <w:r>
        <w:rPr>
          <w:rStyle w:val="default"/>
          <w:rFonts w:cs="FrankRuehl"/>
          <w:rtl/>
        </w:rPr>
        <w:t>ממ</w:t>
      </w:r>
      <w:r>
        <w:rPr>
          <w:rStyle w:val="default"/>
          <w:rFonts w:cs="FrankRuehl" w:hint="cs"/>
          <w:rtl/>
        </w:rPr>
        <w:t xml:space="preserve">ונה ברשומות לפחות 14 יום לפני קיומן ואשר בהן נטלו חלק יצרני המשקאות הקלים אשר שיווקו לפחות 40% מן המשקאות האמורים בשנה הגרגוריאנית שחלפה; </w:t>
      </w:r>
    </w:p>
    <w:p w:rsidR="002F1901" w:rsidRDefault="002F1901">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בחירות</w:t>
      </w:r>
      <w:r>
        <w:rPr>
          <w:rStyle w:val="default"/>
          <w:rFonts w:cs="FrankRuehl"/>
          <w:rtl/>
        </w:rPr>
        <w:t xml:space="preserve"> </w:t>
      </w:r>
      <w:r>
        <w:rPr>
          <w:rStyle w:val="default"/>
          <w:rFonts w:cs="FrankRuehl" w:hint="cs"/>
          <w:rtl/>
        </w:rPr>
        <w:t>כאמור יכול שייבחר כנציג בועדה גם ממלא מקום של הנציג בועדה, למקרה שהנציג יתפטר</w:t>
      </w:r>
      <w:r>
        <w:rPr>
          <w:rStyle w:val="default"/>
          <w:rFonts w:cs="FrankRuehl"/>
          <w:rtl/>
        </w:rPr>
        <w:t xml:space="preserve"> א</w:t>
      </w:r>
      <w:r>
        <w:rPr>
          <w:rStyle w:val="default"/>
          <w:rFonts w:cs="FrankRuehl" w:hint="cs"/>
          <w:rtl/>
        </w:rPr>
        <w:t xml:space="preserve">ו ייבצר ממנו לכהן מסיבה אחרת; </w:t>
      </w:r>
    </w:p>
    <w:p w:rsidR="002F1901" w:rsidRDefault="002F1901">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וח ההצבעה של יצרן יהיה זהה לחלקו בשיווק</w:t>
      </w:r>
      <w:r>
        <w:rPr>
          <w:rStyle w:val="default"/>
          <w:rFonts w:cs="FrankRuehl"/>
          <w:rtl/>
        </w:rPr>
        <w:t xml:space="preserve"> ה</w:t>
      </w:r>
      <w:r>
        <w:rPr>
          <w:rStyle w:val="default"/>
          <w:rFonts w:cs="FrankRuehl" w:hint="cs"/>
          <w:rtl/>
        </w:rPr>
        <w:t>משקאות הקלים בשנה הגרגוריאנית שחלפה;</w:t>
      </w:r>
    </w:p>
    <w:p w:rsidR="002F1901" w:rsidRDefault="002F190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של התאחדות בעלי התעשיה על תוצאות הבחירות ועל היקף ה</w:t>
      </w:r>
      <w:r>
        <w:rPr>
          <w:rStyle w:val="default"/>
          <w:rFonts w:cs="FrankRuehl"/>
          <w:rtl/>
        </w:rPr>
        <w:t>ש</w:t>
      </w:r>
      <w:r>
        <w:rPr>
          <w:rStyle w:val="default"/>
          <w:rFonts w:cs="FrankRuehl" w:hint="cs"/>
          <w:rtl/>
        </w:rPr>
        <w:t xml:space="preserve">יווק של כל אחד מן המשתתפים בבחירות ישמש ראיה מכרעת לענין סעיף זה. </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ה</w:t>
      </w:r>
      <w:r>
        <w:rPr>
          <w:rStyle w:val="default"/>
          <w:rFonts w:cs="FrankRuehl"/>
          <w:rtl/>
        </w:rPr>
        <w:t>מו</w:t>
      </w:r>
      <w:r>
        <w:rPr>
          <w:rStyle w:val="default"/>
          <w:rFonts w:cs="FrankRuehl" w:hint="cs"/>
          <w:rtl/>
        </w:rPr>
        <w:t>נופולין יציע לשר ממלא מקום לנציגו בועדה למקרה שהנציג יתפטר או ייבצר ממנו לכהן מסיבה אחרת.</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תפטר נציג בועדה או נבצר ממנו לפעול מסיבה אחרת, יתמנה ממלא מקומו </w:t>
      </w:r>
      <w:r>
        <w:rPr>
          <w:rStyle w:val="default"/>
          <w:rFonts w:cs="FrankRuehl" w:hint="cs"/>
          <w:rtl/>
        </w:rPr>
        <w:lastRenderedPageBreak/>
        <w:t>במקומו; באין ממלא מקום ימנה השר כנציג אדם שיוצע לו על-ידי אלה שהציעו לתפקיד את הנציג שמקומו הת</w:t>
      </w:r>
      <w:r>
        <w:rPr>
          <w:rStyle w:val="default"/>
          <w:rFonts w:cs="FrankRuehl"/>
          <w:rtl/>
        </w:rPr>
        <w:t>פנ</w:t>
      </w:r>
      <w:r>
        <w:rPr>
          <w:rStyle w:val="default"/>
          <w:rFonts w:cs="FrankRuehl" w:hint="cs"/>
          <w:rtl/>
        </w:rPr>
        <w:t xml:space="preserve">ה. </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הוצע נציג כאמור בסעיף קטן (א)(2) או (3) או כאמור בפסקה (ד) תוך 30 יום ממועד משלוח דרישה למינוי על-ידי השר, רשאי השר למנות חבר לועדה גם בלי שקיבל הצעת בעל המונופולין</w:t>
      </w:r>
      <w:r>
        <w:rPr>
          <w:rStyle w:val="default"/>
          <w:rFonts w:cs="FrankRuehl"/>
          <w:rtl/>
        </w:rPr>
        <w:t xml:space="preserve"> </w:t>
      </w:r>
      <w:r>
        <w:rPr>
          <w:rStyle w:val="default"/>
          <w:rFonts w:cs="FrankRuehl" w:hint="cs"/>
          <w:rtl/>
        </w:rPr>
        <w:t xml:space="preserve">או יצרני המשקאות הקלים, לפי המקרה. </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ועדה הראשונה תכהן עד ליום ט"ז בניסן</w:t>
      </w:r>
      <w:r>
        <w:rPr>
          <w:rStyle w:val="default"/>
          <w:rFonts w:cs="FrankRuehl"/>
          <w:rtl/>
        </w:rPr>
        <w:t xml:space="preserve"> ת</w:t>
      </w:r>
      <w:r>
        <w:rPr>
          <w:rStyle w:val="default"/>
          <w:rFonts w:cs="FrankRuehl" w:hint="cs"/>
          <w:rtl/>
        </w:rPr>
        <w:t xml:space="preserve">של"ב (31 במרס 1972); לאחר מכן תתמנה הועדה אחת לשנתיים. </w:t>
      </w:r>
    </w:p>
    <w:p w:rsidR="002F1901" w:rsidRDefault="002F1901">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4pt;z-index:251659776"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 </w:t>
                  </w:r>
                  <w:r>
                    <w:rPr>
                      <w:rFonts w:cs="Miriam"/>
                      <w:sz w:val="18"/>
                      <w:szCs w:val="18"/>
                      <w:rtl/>
                    </w:rPr>
                    <w:t>הו</w:t>
                  </w:r>
                  <w:r>
                    <w:rPr>
                      <w:rFonts w:cs="Miriam" w:hint="cs"/>
                      <w:sz w:val="18"/>
                      <w:szCs w:val="18"/>
                      <w:rtl/>
                    </w:rPr>
                    <w:t xml:space="preserve">עדה </w:t>
                  </w:r>
                  <w:r>
                    <w:rPr>
                      <w:rFonts w:cs="Miriam"/>
                      <w:sz w:val="18"/>
                      <w:szCs w:val="18"/>
                      <w:rtl/>
                    </w:rPr>
                    <w:t>וס</w:t>
                  </w:r>
                  <w:r>
                    <w:rPr>
                      <w:rFonts w:cs="Miriam" w:hint="cs"/>
                      <w:sz w:val="18"/>
                      <w:szCs w:val="18"/>
                      <w:rtl/>
                    </w:rPr>
                    <w:t>מכויותיה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תפקידיה של הועדה המייעצת לבדוק תלונות על הפרת</w:t>
      </w:r>
      <w:r>
        <w:rPr>
          <w:rStyle w:val="default"/>
          <w:rFonts w:cs="FrankRuehl"/>
          <w:rtl/>
        </w:rPr>
        <w:t xml:space="preserve"> ה</w:t>
      </w:r>
      <w:r>
        <w:rPr>
          <w:rStyle w:val="default"/>
          <w:rFonts w:cs="FrankRuehl" w:hint="cs"/>
          <w:rtl/>
        </w:rPr>
        <w:t>וראותיו של צו זה.</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מנין החוקי לדיוני הועדה הוא שנים שאחד מהם הוא</w:t>
      </w:r>
      <w:r>
        <w:rPr>
          <w:rStyle w:val="default"/>
          <w:rFonts w:cs="FrankRuehl"/>
          <w:rtl/>
        </w:rPr>
        <w:t xml:space="preserve"> ה</w:t>
      </w:r>
      <w:r>
        <w:rPr>
          <w:rStyle w:val="default"/>
          <w:rFonts w:cs="FrankRuehl" w:hint="cs"/>
          <w:rtl/>
        </w:rPr>
        <w:t xml:space="preserve">יושב-ראש. </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ועדה תסכם ממצאיה ברוב קולות. </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דיוניה אין הועדה</w:t>
      </w:r>
      <w:r>
        <w:rPr>
          <w:rStyle w:val="default"/>
          <w:rFonts w:cs="FrankRuehl"/>
          <w:rtl/>
        </w:rPr>
        <w:t xml:space="preserve"> ק</w:t>
      </w:r>
      <w:r>
        <w:rPr>
          <w:rStyle w:val="default"/>
          <w:rFonts w:cs="FrankRuehl" w:hint="cs"/>
          <w:rtl/>
        </w:rPr>
        <w:t>שורה לדיני ראיות.</w:t>
      </w:r>
    </w:p>
    <w:p w:rsidR="002F1901" w:rsidRDefault="002F190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 xml:space="preserve">וכחה הועדה כי יש ראיות לכאורה בדבר עבירה על הוראות צו זה תעביר את ממצאיה לידי הממונה. </w:t>
      </w:r>
    </w:p>
    <w:p w:rsidR="002F1901" w:rsidRDefault="002F1901">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0.05pt;z-index:251660800"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9.</w:t>
      </w:r>
      <w:r>
        <w:rPr>
          <w:rStyle w:val="big-number"/>
          <w:rFonts w:cs="Miriam"/>
          <w:rtl/>
        </w:rPr>
        <w:tab/>
      </w:r>
      <w:r>
        <w:rPr>
          <w:rStyle w:val="default"/>
          <w:rFonts w:cs="FrankRuehl"/>
          <w:rtl/>
        </w:rPr>
        <w:t>הא</w:t>
      </w:r>
      <w:r>
        <w:rPr>
          <w:rStyle w:val="default"/>
          <w:rFonts w:cs="FrankRuehl" w:hint="cs"/>
          <w:rtl/>
        </w:rPr>
        <w:t xml:space="preserve">מור בצו זה אינו בא לגרוע מהוראות כל דין. </w:t>
      </w:r>
    </w:p>
    <w:p w:rsidR="002F1901" w:rsidRDefault="002F1901">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2.55pt;z-index:251661824"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10.</w:t>
      </w:r>
      <w:r>
        <w:rPr>
          <w:rStyle w:val="big-number"/>
          <w:rFonts w:cs="Miriam"/>
          <w:rtl/>
        </w:rPr>
        <w:tab/>
      </w:r>
      <w:r>
        <w:rPr>
          <w:rStyle w:val="default"/>
          <w:rFonts w:cs="FrankRuehl"/>
          <w:rtl/>
        </w:rPr>
        <w:t>תח</w:t>
      </w:r>
      <w:r>
        <w:rPr>
          <w:rStyle w:val="default"/>
          <w:rFonts w:cs="FrankRuehl" w:hint="cs"/>
          <w:rtl/>
        </w:rPr>
        <w:t xml:space="preserve">ילתו של צו זה מיום י"א בסיון תש"ל (15 ביוני 1970). </w:t>
      </w:r>
    </w:p>
    <w:p w:rsidR="002F1901" w:rsidRDefault="002F1901">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5.05pt;z-index:251662848" o:allowincell="f" filled="f" stroked="f" strokecolor="lime" strokeweight=".25pt">
            <v:textbox inset="0,0,0,0">
              <w:txbxContent>
                <w:p w:rsidR="002F1901" w:rsidRDefault="002F190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צו</w:t>
      </w:r>
      <w:r>
        <w:rPr>
          <w:rStyle w:val="default"/>
          <w:rFonts w:cs="FrankRuehl" w:hint="cs"/>
          <w:rtl/>
        </w:rPr>
        <w:t xml:space="preserve"> זה </w:t>
      </w:r>
      <w:r>
        <w:rPr>
          <w:rStyle w:val="default"/>
          <w:rFonts w:cs="FrankRuehl"/>
          <w:rtl/>
        </w:rPr>
        <w:t>יי</w:t>
      </w:r>
      <w:r>
        <w:rPr>
          <w:rStyle w:val="default"/>
          <w:rFonts w:cs="FrankRuehl" w:hint="cs"/>
          <w:rtl/>
        </w:rPr>
        <w:t>קרא "צו ההגבלים העסקיים (דרכי הספקה של בירה), תש"ל-</w:t>
      </w:r>
      <w:r>
        <w:rPr>
          <w:rStyle w:val="default"/>
          <w:rFonts w:cs="FrankRuehl"/>
          <w:rtl/>
        </w:rPr>
        <w:t>1970".</w:t>
      </w:r>
    </w:p>
    <w:p w:rsidR="002F1901" w:rsidRDefault="002F1901">
      <w:pPr>
        <w:pStyle w:val="P00"/>
        <w:spacing w:before="72"/>
        <w:ind w:left="0" w:right="1134"/>
        <w:rPr>
          <w:rStyle w:val="default"/>
          <w:rFonts w:cs="FrankRuehl"/>
          <w:rtl/>
        </w:rPr>
      </w:pPr>
    </w:p>
    <w:p w:rsidR="002F1901" w:rsidRDefault="002F1901">
      <w:pPr>
        <w:pStyle w:val="sig-0"/>
        <w:ind w:left="0" w:right="1134"/>
        <w:rPr>
          <w:rFonts w:cs="FrankRuehl"/>
          <w:sz w:val="26"/>
          <w:rtl/>
        </w:rPr>
      </w:pPr>
      <w:r>
        <w:rPr>
          <w:rFonts w:cs="FrankRuehl"/>
          <w:sz w:val="26"/>
          <w:rtl/>
        </w:rPr>
        <w:t xml:space="preserve">ב' </w:t>
      </w:r>
      <w:r>
        <w:rPr>
          <w:rFonts w:cs="FrankRuehl" w:hint="cs"/>
          <w:sz w:val="26"/>
          <w:rtl/>
        </w:rPr>
        <w:t>בתמוז תש"ל (6 ביולי 1970)</w:t>
      </w:r>
      <w:r>
        <w:rPr>
          <w:rFonts w:cs="FrankRuehl"/>
          <w:sz w:val="26"/>
          <w:rtl/>
        </w:rPr>
        <w:tab/>
        <w:t>י</w:t>
      </w:r>
      <w:r>
        <w:rPr>
          <w:rFonts w:cs="FrankRuehl" w:hint="cs"/>
          <w:sz w:val="26"/>
          <w:rtl/>
        </w:rPr>
        <w:t>וסף ספיר</w:t>
      </w:r>
    </w:p>
    <w:p w:rsidR="002F1901" w:rsidRDefault="002F190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המסחר והתעשי</w:t>
      </w:r>
      <w:r>
        <w:rPr>
          <w:rFonts w:cs="FrankRuehl"/>
          <w:sz w:val="22"/>
          <w:rtl/>
        </w:rPr>
        <w:t>ה</w:t>
      </w:r>
    </w:p>
    <w:p w:rsidR="002F1901" w:rsidRDefault="002F1901">
      <w:pPr>
        <w:pStyle w:val="P00"/>
        <w:spacing w:before="72"/>
        <w:ind w:left="0" w:right="1134"/>
        <w:rPr>
          <w:rStyle w:val="default"/>
          <w:rFonts w:cs="FrankRuehl" w:hint="cs"/>
          <w:rtl/>
        </w:rPr>
      </w:pPr>
    </w:p>
    <w:p w:rsidR="002F1901" w:rsidRDefault="002F1901">
      <w:pPr>
        <w:pStyle w:val="P00"/>
        <w:spacing w:before="72"/>
        <w:ind w:left="0" w:right="1134"/>
        <w:rPr>
          <w:rStyle w:val="default"/>
          <w:rFonts w:cs="FrankRuehl"/>
          <w:rtl/>
        </w:rPr>
      </w:pPr>
    </w:p>
    <w:p w:rsidR="002F1901" w:rsidRDefault="002F1901">
      <w:pPr>
        <w:pStyle w:val="P00"/>
        <w:spacing w:before="72"/>
        <w:ind w:left="0" w:right="1134"/>
        <w:rPr>
          <w:rStyle w:val="default"/>
          <w:rFonts w:cs="FrankRuehl"/>
          <w:rtl/>
        </w:rPr>
      </w:pPr>
      <w:bookmarkStart w:id="11" w:name="LawPartEnd"/>
    </w:p>
    <w:bookmarkEnd w:id="11"/>
    <w:p w:rsidR="002F1901" w:rsidRDefault="002F1901">
      <w:pPr>
        <w:pStyle w:val="P00"/>
        <w:spacing w:before="72"/>
        <w:ind w:left="0" w:right="1134"/>
        <w:rPr>
          <w:rStyle w:val="default"/>
          <w:rFonts w:cs="FrankRuehl"/>
          <w:rtl/>
        </w:rPr>
      </w:pPr>
    </w:p>
    <w:sectPr w:rsidR="002F190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2B51" w:rsidRDefault="00E82B51">
      <w:r>
        <w:separator/>
      </w:r>
    </w:p>
  </w:endnote>
  <w:endnote w:type="continuationSeparator" w:id="0">
    <w:p w:rsidR="00E82B51" w:rsidRDefault="00E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901" w:rsidRDefault="002F190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F1901" w:rsidRDefault="002F190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F1901" w:rsidRDefault="002F190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C:\Yael\hakika\Revadim\083_003.doc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901" w:rsidRDefault="002F190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3383">
      <w:rPr>
        <w:rFonts w:hAnsi="FrankRuehl" w:cs="FrankRuehl"/>
        <w:noProof/>
        <w:sz w:val="24"/>
        <w:szCs w:val="24"/>
        <w:rtl/>
      </w:rPr>
      <w:t>2</w:t>
    </w:r>
    <w:r>
      <w:rPr>
        <w:rFonts w:hAnsi="FrankRuehl" w:cs="FrankRuehl"/>
        <w:sz w:val="24"/>
        <w:szCs w:val="24"/>
        <w:rtl/>
      </w:rPr>
      <w:fldChar w:fldCharType="end"/>
    </w:r>
  </w:p>
  <w:p w:rsidR="002F1901" w:rsidRDefault="002F190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F1901" w:rsidRDefault="002F190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C:\Yael\hakika\Revadim\083_003.doc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2B51" w:rsidRDefault="00E82B51">
      <w:pPr>
        <w:spacing w:before="60" w:line="240" w:lineRule="auto"/>
        <w:ind w:right="1134"/>
      </w:pPr>
      <w:r>
        <w:separator/>
      </w:r>
    </w:p>
  </w:footnote>
  <w:footnote w:type="continuationSeparator" w:id="0">
    <w:p w:rsidR="00E82B51" w:rsidRDefault="00E82B51">
      <w:r>
        <w:continuationSeparator/>
      </w:r>
    </w:p>
  </w:footnote>
  <w:footnote w:id="1">
    <w:p w:rsidR="002F1901" w:rsidRDefault="002F19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ק"ת תש"ל מס</w:t>
        </w:r>
        <w:r>
          <w:rPr>
            <w:rStyle w:val="Hyperlink"/>
            <w:rFonts w:cs="FrankRuehl"/>
            <w:rtl/>
          </w:rPr>
          <w:t>' 2589</w:t>
        </w:r>
      </w:hyperlink>
      <w:r>
        <w:rPr>
          <w:rFonts w:cs="FrankRuehl"/>
          <w:rtl/>
        </w:rPr>
        <w:t xml:space="preserve"> </w:t>
      </w:r>
      <w:r>
        <w:rPr>
          <w:rFonts w:cs="FrankRuehl" w:hint="cs"/>
          <w:rtl/>
        </w:rPr>
        <w:t>מיום 23.7.1970 עמ'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901" w:rsidRDefault="002F19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ההגבלים העסקיים (דרכי הספקה של בירה), תש"ל–1970</w:t>
    </w:r>
  </w:p>
  <w:p w:rsidR="002F1901" w:rsidRDefault="002F190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F1901" w:rsidRDefault="002F190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1901" w:rsidRDefault="002F19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ההגבלים העסקיים (דרכי הספקה של בירה), תש"ל</w:t>
    </w:r>
    <w:r>
      <w:rPr>
        <w:rFonts w:hAnsi="FrankRuehl" w:cs="FrankRuehl" w:hint="cs"/>
        <w:color w:val="000000"/>
        <w:sz w:val="28"/>
        <w:szCs w:val="28"/>
        <w:rtl/>
      </w:rPr>
      <w:t>-</w:t>
    </w:r>
    <w:r>
      <w:rPr>
        <w:rFonts w:hAnsi="FrankRuehl" w:cs="FrankRuehl"/>
        <w:color w:val="000000"/>
        <w:sz w:val="28"/>
        <w:szCs w:val="28"/>
        <w:rtl/>
      </w:rPr>
      <w:t>1970</w:t>
    </w:r>
  </w:p>
  <w:p w:rsidR="002F1901" w:rsidRDefault="002F190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F1901" w:rsidRDefault="002F190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1901"/>
    <w:rsid w:val="00253FE5"/>
    <w:rsid w:val="002F1901"/>
    <w:rsid w:val="003178AA"/>
    <w:rsid w:val="00AC3383"/>
    <w:rsid w:val="00E82B51"/>
    <w:rsid w:val="00FF0A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E1D5C3-BFDD-4382-AB50-38CF508E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5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פרק 83</vt:lpstr>
    </vt:vector>
  </TitlesOfParts>
  <Company/>
  <LinksUpToDate>false</LinksUpToDate>
  <CharactersWithSpaces>4689</CharactersWithSpaces>
  <SharedDoc>false</SharedDoc>
  <HLinks>
    <vt:vector size="72"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7536644</vt:i4>
      </vt:variant>
      <vt:variant>
        <vt:i4>0</vt:i4>
      </vt:variant>
      <vt:variant>
        <vt:i4>0</vt:i4>
      </vt:variant>
      <vt:variant>
        <vt:i4>5</vt:i4>
      </vt:variant>
      <vt:variant>
        <vt:lpwstr>http://www.nevo.co.il/Law_word/law06/TAK-2589.pdf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83</dc:title>
  <dc:subject/>
  <dc:creator>eli</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0083</vt:lpwstr>
  </property>
  <property fmtid="{D5CDD505-2E9C-101B-9397-08002B2CF9AE}" pid="3" name="CHNAME">
    <vt:lpwstr>הגבלים עסקיים</vt:lpwstr>
  </property>
  <property fmtid="{D5CDD505-2E9C-101B-9397-08002B2CF9AE}" pid="4" name="LAWNAME">
    <vt:lpwstr>צו ההגבלים העסקיים (דרכי הספקה של בירה), תש"ל-1970</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ההגבלים העסקיים</vt:lpwstr>
  </property>
  <property fmtid="{D5CDD505-2E9C-101B-9397-08002B2CF9AE}" pid="8" name="MEKOR_SAIF1">
    <vt:lpwstr>31X</vt:lpwstr>
  </property>
  <property fmtid="{D5CDD505-2E9C-101B-9397-08002B2CF9AE}" pid="9" name="NOSE11">
    <vt:lpwstr>משפט פרטי וכלכלה</vt:lpwstr>
  </property>
  <property fmtid="{D5CDD505-2E9C-101B-9397-08002B2CF9AE}" pid="10" name="NOSE21">
    <vt:lpwstr>מסחר </vt:lpwstr>
  </property>
  <property fmtid="{D5CDD505-2E9C-101B-9397-08002B2CF9AE}" pid="11" name="NOSE31">
    <vt:lpwstr>הגבלים עסקיים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