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0A5E" w:rsidRDefault="00570A5E" w:rsidP="00334D2F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ההגנה (שעת חירום) (הגשת ספרים לביק</w:t>
      </w:r>
      <w:r w:rsidR="003A1C4A">
        <w:rPr>
          <w:rtl/>
        </w:rPr>
        <w:t>ורת מוקדמת ואיסור פרסום), תשל"ב</w:t>
      </w:r>
      <w:r w:rsidR="003A1C4A">
        <w:rPr>
          <w:rFonts w:hint="cs"/>
          <w:rtl/>
        </w:rPr>
        <w:t>-</w:t>
      </w:r>
      <w:r>
        <w:rPr>
          <w:rtl/>
        </w:rPr>
        <w:t>1972</w:t>
      </w:r>
    </w:p>
    <w:p w:rsidR="002161ED" w:rsidRDefault="002161ED" w:rsidP="00334D2F">
      <w:pPr>
        <w:pStyle w:val="big-header"/>
        <w:ind w:left="0" w:right="1134"/>
        <w:rPr>
          <w:rFonts w:hint="cs"/>
          <w:rtl/>
        </w:rPr>
      </w:pPr>
      <w:r w:rsidRPr="00442C09">
        <w:rPr>
          <w:rFonts w:hint="cs"/>
          <w:color w:val="008000"/>
          <w:sz w:val="32"/>
          <w:rtl/>
        </w:rPr>
        <w:t>רבדים בחקיקה</w:t>
      </w:r>
    </w:p>
    <w:p w:rsidR="00315A5F" w:rsidRPr="00315A5F" w:rsidRDefault="00315A5F" w:rsidP="00315A5F">
      <w:pPr>
        <w:spacing w:line="320" w:lineRule="auto"/>
        <w:jc w:val="left"/>
        <w:rPr>
          <w:rFonts w:cs="FrankRuehl"/>
          <w:szCs w:val="26"/>
          <w:rtl/>
        </w:rPr>
      </w:pPr>
    </w:p>
    <w:p w:rsidR="00315A5F" w:rsidRDefault="00315A5F" w:rsidP="00315A5F">
      <w:pPr>
        <w:spacing w:line="320" w:lineRule="auto"/>
        <w:jc w:val="left"/>
        <w:rPr>
          <w:rFonts w:cs="FrankRuehl"/>
          <w:szCs w:val="26"/>
          <w:rtl/>
        </w:rPr>
      </w:pPr>
      <w:r w:rsidRPr="00315A5F">
        <w:rPr>
          <w:rFonts w:cs="Miriam"/>
          <w:szCs w:val="22"/>
          <w:rtl/>
        </w:rPr>
        <w:t>בטחון</w:t>
      </w:r>
      <w:r w:rsidRPr="00315A5F">
        <w:rPr>
          <w:rFonts w:cs="FrankRuehl"/>
          <w:szCs w:val="26"/>
          <w:rtl/>
        </w:rPr>
        <w:t xml:space="preserve"> – שעת חירום</w:t>
      </w:r>
    </w:p>
    <w:p w:rsidR="00315A5F" w:rsidRPr="00315A5F" w:rsidRDefault="00315A5F" w:rsidP="00315A5F">
      <w:pPr>
        <w:spacing w:line="320" w:lineRule="auto"/>
        <w:jc w:val="left"/>
        <w:rPr>
          <w:rFonts w:cs="Miriam" w:hint="cs"/>
          <w:szCs w:val="22"/>
          <w:rtl/>
        </w:rPr>
      </w:pPr>
      <w:r w:rsidRPr="00315A5F">
        <w:rPr>
          <w:rFonts w:cs="Miriam"/>
          <w:szCs w:val="22"/>
          <w:rtl/>
        </w:rPr>
        <w:t>רשויות ומשפט מנהלי</w:t>
      </w:r>
      <w:r w:rsidRPr="00315A5F">
        <w:rPr>
          <w:rFonts w:cs="FrankRuehl"/>
          <w:szCs w:val="26"/>
          <w:rtl/>
        </w:rPr>
        <w:t xml:space="preserve"> – תרבות, פנאי ומועדים – ספרים סרטים ומחזות</w:t>
      </w:r>
    </w:p>
    <w:p w:rsidR="00570A5E" w:rsidRDefault="00570A5E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70A5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70A5E" w:rsidRDefault="00570A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A1C4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70A5E" w:rsidRDefault="00570A5E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70A5E" w:rsidRDefault="00570A5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570A5E" w:rsidRDefault="00570A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70A5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70A5E" w:rsidRDefault="00570A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A1C4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70A5E" w:rsidRDefault="00570A5E">
            <w:pPr>
              <w:spacing w:line="240" w:lineRule="auto"/>
              <w:rPr>
                <w:sz w:val="24"/>
              </w:rPr>
            </w:pPr>
            <w:hyperlink w:anchor="Seif1" w:tooltip="הגשה לבדיקה מוקדמ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70A5E" w:rsidRDefault="00570A5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הגשה לבדיקה מוקדמת</w:t>
            </w:r>
          </w:p>
        </w:tc>
        <w:tc>
          <w:tcPr>
            <w:tcW w:w="1247" w:type="dxa"/>
          </w:tcPr>
          <w:p w:rsidR="00570A5E" w:rsidRDefault="00570A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570A5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70A5E" w:rsidRDefault="00570A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A1C4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70A5E" w:rsidRDefault="00570A5E">
            <w:pPr>
              <w:spacing w:line="240" w:lineRule="auto"/>
              <w:rPr>
                <w:sz w:val="24"/>
              </w:rPr>
            </w:pPr>
            <w:hyperlink w:anchor="Seif2" w:tooltip="איסור פרס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70A5E" w:rsidRDefault="00570A5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 פרסום</w:t>
            </w:r>
          </w:p>
        </w:tc>
        <w:tc>
          <w:tcPr>
            <w:tcW w:w="1247" w:type="dxa"/>
          </w:tcPr>
          <w:p w:rsidR="00570A5E" w:rsidRDefault="00570A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570A5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70A5E" w:rsidRDefault="00570A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A1C4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70A5E" w:rsidRDefault="00570A5E">
            <w:pPr>
              <w:spacing w:line="240" w:lineRule="auto"/>
              <w:rPr>
                <w:sz w:val="24"/>
              </w:rPr>
            </w:pPr>
            <w:hyperlink w:anchor="Seif3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70A5E" w:rsidRDefault="00570A5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570A5E" w:rsidRDefault="00570A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:rsidR="00570A5E" w:rsidRDefault="00570A5E">
      <w:pPr>
        <w:pStyle w:val="big-header"/>
        <w:ind w:left="0" w:right="1134"/>
        <w:rPr>
          <w:rtl/>
        </w:rPr>
      </w:pPr>
    </w:p>
    <w:p w:rsidR="00570A5E" w:rsidRPr="00334D2F" w:rsidRDefault="00570A5E" w:rsidP="00334D2F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ההגנה (שעת חירום) (הגשת ספרים ל</w:t>
      </w:r>
      <w:r>
        <w:rPr>
          <w:rtl/>
        </w:rPr>
        <w:t>ב</w:t>
      </w:r>
      <w:r>
        <w:rPr>
          <w:rFonts w:hint="cs"/>
          <w:rtl/>
        </w:rPr>
        <w:t>יק</w:t>
      </w:r>
      <w:r w:rsidR="003A1C4A">
        <w:rPr>
          <w:rFonts w:hint="cs"/>
          <w:rtl/>
        </w:rPr>
        <w:t>ורת מוקדמת ואיסור פרסום), תשל"ב-</w:t>
      </w:r>
      <w:r>
        <w:rPr>
          <w:rFonts w:hint="cs"/>
          <w:rtl/>
        </w:rPr>
        <w:t>1972</w:t>
      </w:r>
      <w:r w:rsidR="003A1C4A">
        <w:rPr>
          <w:rStyle w:val="a6"/>
          <w:rtl/>
        </w:rPr>
        <w:footnoteReference w:customMarkFollows="1" w:id="1"/>
        <w:t>*</w:t>
      </w:r>
    </w:p>
    <w:p w:rsidR="00570A5E" w:rsidRDefault="00570A5E" w:rsidP="00422D35">
      <w:pPr>
        <w:pStyle w:val="P00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 w:rsidR="00422D35">
        <w:rPr>
          <w:rStyle w:val="default"/>
          <w:rFonts w:cs="FrankRuehl" w:hint="cs"/>
          <w:rtl/>
        </w:rPr>
        <w:t>תוקף סמכותי לפי תקנות 87 ו-97</w:t>
      </w:r>
      <w:r>
        <w:rPr>
          <w:rStyle w:val="default"/>
          <w:rFonts w:cs="FrankRuehl" w:hint="cs"/>
          <w:rtl/>
        </w:rPr>
        <w:t xml:space="preserve"> לתקנות ההגנה (שעת-חירום), 1945 (להלן - התקנות), אני מצווה לאמור:</w:t>
      </w:r>
    </w:p>
    <w:p w:rsidR="00570A5E" w:rsidRDefault="00570A5E">
      <w:pPr>
        <w:pStyle w:val="P00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0pt;z-index:251655680" o:allowincell="f" filled="f" stroked="f" strokecolor="lime" strokeweight=".25pt">
            <v:textbox inset="0,0,0,0">
              <w:txbxContent>
                <w:p w:rsidR="00570A5E" w:rsidRDefault="00570A5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צו זה -</w:t>
      </w:r>
    </w:p>
    <w:p w:rsidR="00570A5E" w:rsidRDefault="00570A5E">
      <w:pPr>
        <w:pStyle w:val="P00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מפרסם" - מחבר, בעל, עורך, מדפיס או מוציא לאור;</w:t>
      </w:r>
    </w:p>
    <w:p w:rsidR="00570A5E" w:rsidRDefault="00570A5E">
      <w:pPr>
        <w:pStyle w:val="P00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מדפיס" - לרבות בעל בי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דפוס או מנהלו;</w:t>
      </w:r>
    </w:p>
    <w:p w:rsidR="00570A5E" w:rsidRDefault="00422D35" w:rsidP="00422D35">
      <w:pPr>
        <w:pStyle w:val="P00"/>
        <w:ind w:left="0" w:right="1134"/>
        <w:rPr>
          <w:rStyle w:val="default"/>
          <w:rFonts w:cs="FrankRuehl" w:hint="cs"/>
          <w:rtl/>
        </w:rPr>
      </w:pPr>
      <w:r>
        <w:rPr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470.25pt;margin-top:7.1pt;width:1in;height:9.25pt;z-index:251659776" filled="f" stroked="f">
            <v:textbox inset="1mm,0,1mm,0">
              <w:txbxContent>
                <w:p w:rsidR="00422D35" w:rsidRDefault="00422D35" w:rsidP="00422D3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תשל"ז-1977</w:t>
                  </w:r>
                </w:p>
              </w:txbxContent>
            </v:textbox>
            <w10:anchorlock/>
          </v:shape>
        </w:pict>
      </w:r>
      <w:r w:rsidR="00570A5E">
        <w:rPr>
          <w:rtl/>
        </w:rPr>
        <w:tab/>
      </w:r>
      <w:r w:rsidR="00570A5E">
        <w:rPr>
          <w:rStyle w:val="default"/>
          <w:rFonts w:cs="FrankRuehl"/>
          <w:rtl/>
        </w:rPr>
        <w:t>"</w:t>
      </w:r>
      <w:r w:rsidR="00570A5E">
        <w:rPr>
          <w:rStyle w:val="default"/>
          <w:rFonts w:cs="FrankRuehl" w:hint="cs"/>
          <w:rtl/>
        </w:rPr>
        <w:t xml:space="preserve">ספר הנוגע לבטחון המדינה" - ספר, חוברת או קונטרס, שתוכנו, כולו או מקצתו, מתייחס במישרין או בעקיפין למערכת הבטחון של מדינת ישראל על שלוחותיה, לרבות צבא-הגנה לישראל והשטחים המוחזקים על ידי צבא-הגנה לישראל, או ליחסי ישראל ערב, אף אם הספר, </w:t>
      </w:r>
      <w:r w:rsidR="00570A5E">
        <w:rPr>
          <w:rStyle w:val="default"/>
          <w:rFonts w:cs="FrankRuehl"/>
          <w:rtl/>
        </w:rPr>
        <w:t>ה</w:t>
      </w:r>
      <w:r w:rsidR="00570A5E">
        <w:rPr>
          <w:rStyle w:val="default"/>
          <w:rFonts w:cs="FrankRuehl" w:hint="cs"/>
          <w:rtl/>
        </w:rPr>
        <w:t>חוברת או הקונטרס כאמור כבר פורסמו;</w:t>
      </w:r>
    </w:p>
    <w:p w:rsidR="00422D35" w:rsidRPr="00422D35" w:rsidRDefault="00422D35" w:rsidP="00422D3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" w:name="Rov6"/>
      <w:r w:rsidRPr="00422D35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Pr="00422D35">
        <w:rPr>
          <w:rFonts w:hint="cs"/>
          <w:vanish/>
          <w:color w:val="FF0000"/>
          <w:szCs w:val="20"/>
          <w:shd w:val="clear" w:color="auto" w:fill="FFFF99"/>
          <w:rtl/>
        </w:rPr>
        <w:t>24.2.1977</w:t>
      </w:r>
    </w:p>
    <w:p w:rsidR="00422D35" w:rsidRPr="00422D35" w:rsidRDefault="00422D35" w:rsidP="00422D35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22D35">
        <w:rPr>
          <w:rFonts w:hint="cs"/>
          <w:b/>
          <w:bCs/>
          <w:vanish/>
          <w:szCs w:val="20"/>
          <w:shd w:val="clear" w:color="auto" w:fill="FFFF99"/>
          <w:rtl/>
        </w:rPr>
        <w:t>צו תשל"ז-1977</w:t>
      </w:r>
    </w:p>
    <w:p w:rsidR="00422D35" w:rsidRPr="00422D35" w:rsidRDefault="00422D35" w:rsidP="00422D35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422D35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תשל"ז מס' 3669</w:t>
        </w:r>
      </w:hyperlink>
      <w:r w:rsidRPr="00422D35">
        <w:rPr>
          <w:rFonts w:hint="cs"/>
          <w:vanish/>
          <w:szCs w:val="20"/>
          <w:shd w:val="clear" w:color="auto" w:fill="FFFF99"/>
          <w:rtl/>
        </w:rPr>
        <w:t xml:space="preserve"> מיום 24.2.1977 עמ' 1035</w:t>
      </w:r>
    </w:p>
    <w:p w:rsidR="00422D35" w:rsidRPr="00422D35" w:rsidRDefault="00422D35" w:rsidP="00422D3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422D35">
        <w:rPr>
          <w:rFonts w:hint="cs"/>
          <w:b/>
          <w:bCs/>
          <w:vanish/>
          <w:szCs w:val="20"/>
          <w:shd w:val="clear" w:color="auto" w:fill="FFFF99"/>
          <w:rtl/>
        </w:rPr>
        <w:t>החלפת הגדרת "ספר הנוגע לבטחון המדינה"</w:t>
      </w:r>
    </w:p>
    <w:p w:rsidR="00422D35" w:rsidRPr="00422D35" w:rsidRDefault="00422D35" w:rsidP="00422D35">
      <w:pPr>
        <w:pStyle w:val="P00"/>
        <w:spacing w:before="60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r w:rsidRPr="00422D35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422D35" w:rsidRPr="00575807" w:rsidRDefault="00422D35" w:rsidP="00422D35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422D35">
        <w:rPr>
          <w:vanish/>
          <w:shd w:val="clear" w:color="auto" w:fill="FFFF99"/>
          <w:rtl/>
        </w:rPr>
        <w:tab/>
      </w:r>
      <w:r w:rsidRPr="00422D3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"</w:t>
      </w:r>
      <w:r w:rsidRPr="00422D3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ספר הנוגע לבטחון המדינה" - ספר, חוברת או קונטרס שתוכנו, כולו או מקצתו, מתייחס בצורה כלשהי למערכת הבטחון של מדינת ישראל על שלוחותיה, לרבות צבא-הגנה לישראל, או לשטחים המוחזקים על ידי צבא-הגנה לישראל;</w:t>
      </w:r>
      <w:bookmarkEnd w:id="1"/>
    </w:p>
    <w:p w:rsidR="00570A5E" w:rsidRDefault="00570A5E">
      <w:pPr>
        <w:pStyle w:val="P00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פרסם" - כמשמעותו בתקנה 86 לתקנות.</w:t>
      </w:r>
    </w:p>
    <w:p w:rsidR="00570A5E" w:rsidRDefault="00570A5E">
      <w:pPr>
        <w:pStyle w:val="P00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>
          <v:rect id="_x0000_s1028" style="position:absolute;left:0;text-align:left;margin-left:464.5pt;margin-top:8.05pt;width:75.05pt;height:20pt;z-index:251656704" o:allowincell="f" filled="f" stroked="f" strokecolor="lime" strokeweight=".25pt">
            <v:textbox style="mso-next-textbox:#_x0000_s1028" inset="0,0,0,0">
              <w:txbxContent>
                <w:p w:rsidR="00570A5E" w:rsidRDefault="00570A5E" w:rsidP="003A1C4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גשה לבדיקה</w:t>
                  </w:r>
                  <w:r w:rsidR="003A1C4A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וקדמת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 המפרסם ספר הנוגע לבטחון המדינה חייב להגישו לצנזור לפני פרסומו.</w:t>
      </w:r>
    </w:p>
    <w:p w:rsidR="00570A5E" w:rsidRDefault="00570A5E">
      <w:pPr>
        <w:pStyle w:val="P00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>
          <v:rect id="_x0000_s1029" style="position:absolute;left:0;text-align:left;margin-left:464.5pt;margin-top:8.05pt;width:75.05pt;height:10pt;z-index:251657728" o:allowincell="f" filled="f" stroked="f" strokecolor="lime" strokeweight=".25pt">
            <v:textbox inset="0,0,0,0">
              <w:txbxContent>
                <w:p w:rsidR="00570A5E" w:rsidRDefault="00570A5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יסור פרסום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ואיל ואני סבור, כי פרסומו של ספר הנוגע לבטחון המדינה בניגוד לאמור בסעיף 2 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לול לפגוע בבטחון המדינה, הריני אוסר לפרסם ספר כאמור כל עוד לא הוגש לצנזור, או שהוגש לו ועדיין לא נתקבלו הוראותיו, או שנתקבלו הוראותיו ולא קויימו.</w:t>
      </w:r>
    </w:p>
    <w:p w:rsidR="00570A5E" w:rsidRDefault="00570A5E" w:rsidP="00422D35">
      <w:pPr>
        <w:pStyle w:val="P00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>
          <v:rect id="_x0000_s1030" style="position:absolute;left:0;text-align:left;margin-left:464.5pt;margin-top:8.05pt;width:75.05pt;height:10pt;z-index:251658752" o:allowincell="f" filled="f" stroked="f" strokecolor="lime" strokeweight=".25pt">
            <v:textbox inset="0,0,0,0">
              <w:txbxContent>
                <w:p w:rsidR="00570A5E" w:rsidRDefault="00570A5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צו זה ייקרא "צו ההגנה (שעת -חירום) (הגשת ספרים לביקורת מוקדמת ואיסור פרסום), </w:t>
      </w:r>
      <w:r w:rsidR="00ED42D1" w:rsidRPr="00422D35">
        <w:rPr>
          <w:rStyle w:val="default"/>
          <w:rFonts w:cs="FrankRuehl" w:hint="cs"/>
          <w:rtl/>
        </w:rPr>
        <w:t>תשל"ב-1972</w:t>
      </w:r>
      <w:r w:rsidRPr="00422D35">
        <w:rPr>
          <w:rStyle w:val="default"/>
          <w:rFonts w:cs="FrankRuehl" w:hint="cs"/>
          <w:rtl/>
        </w:rPr>
        <w:t>".</w:t>
      </w:r>
    </w:p>
    <w:p w:rsidR="00570A5E" w:rsidRDefault="00570A5E">
      <w:pPr>
        <w:pStyle w:val="P00"/>
        <w:ind w:left="0" w:right="1134"/>
        <w:rPr>
          <w:rStyle w:val="default"/>
          <w:rFonts w:cs="FrankRuehl"/>
          <w:rtl/>
        </w:rPr>
      </w:pPr>
    </w:p>
    <w:p w:rsidR="00570A5E" w:rsidRDefault="00570A5E">
      <w:pPr>
        <w:pStyle w:val="P00"/>
        <w:ind w:left="0" w:right="1134"/>
        <w:rPr>
          <w:rStyle w:val="default"/>
          <w:rFonts w:cs="FrankRuehl"/>
          <w:rtl/>
        </w:rPr>
      </w:pPr>
    </w:p>
    <w:p w:rsidR="00570A5E" w:rsidRPr="003A1C4A" w:rsidRDefault="00570A5E" w:rsidP="00422D35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spacing w:before="72"/>
        <w:ind w:left="0" w:right="1134"/>
        <w:rPr>
          <w:sz w:val="26"/>
          <w:szCs w:val="26"/>
          <w:rtl/>
        </w:rPr>
      </w:pPr>
      <w:r w:rsidRPr="003A1C4A">
        <w:rPr>
          <w:sz w:val="26"/>
          <w:szCs w:val="26"/>
          <w:rtl/>
        </w:rPr>
        <w:t>ד</w:t>
      </w:r>
      <w:r w:rsidRPr="003A1C4A">
        <w:rPr>
          <w:rFonts w:hint="cs"/>
          <w:sz w:val="26"/>
          <w:szCs w:val="26"/>
          <w:rtl/>
        </w:rPr>
        <w:t>' בכ</w:t>
      </w:r>
      <w:r w:rsidRPr="003A1C4A">
        <w:rPr>
          <w:sz w:val="26"/>
          <w:szCs w:val="26"/>
          <w:rtl/>
        </w:rPr>
        <w:t>ס</w:t>
      </w:r>
      <w:r w:rsidRPr="003A1C4A">
        <w:rPr>
          <w:rFonts w:hint="cs"/>
          <w:sz w:val="26"/>
          <w:szCs w:val="26"/>
          <w:rtl/>
        </w:rPr>
        <w:t>לו תשל"ב (22 בנובמבר 1971)</w:t>
      </w:r>
      <w:r w:rsidRPr="003A1C4A">
        <w:rPr>
          <w:sz w:val="26"/>
          <w:szCs w:val="26"/>
          <w:rtl/>
        </w:rPr>
        <w:tab/>
      </w:r>
      <w:r w:rsidRPr="003A1C4A">
        <w:rPr>
          <w:rFonts w:hint="cs"/>
          <w:sz w:val="26"/>
          <w:szCs w:val="26"/>
          <w:rtl/>
        </w:rPr>
        <w:t>א' בר -און, אלוף משנה</w:t>
      </w:r>
    </w:p>
    <w:p w:rsidR="00570A5E" w:rsidRDefault="00570A5E" w:rsidP="00422D35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הצנזור הראשי לעתונות ותקשורת</w:t>
      </w:r>
    </w:p>
    <w:p w:rsidR="003A1C4A" w:rsidRPr="003A1C4A" w:rsidRDefault="003A1C4A" w:rsidP="003A1C4A">
      <w:pPr>
        <w:pStyle w:val="P00"/>
        <w:ind w:left="0" w:right="1134"/>
        <w:rPr>
          <w:rStyle w:val="default"/>
          <w:rFonts w:cs="FrankRuehl" w:hint="cs"/>
          <w:rtl/>
        </w:rPr>
      </w:pPr>
    </w:p>
    <w:p w:rsidR="003A1C4A" w:rsidRPr="003A1C4A" w:rsidRDefault="003A1C4A" w:rsidP="003A1C4A">
      <w:pPr>
        <w:pStyle w:val="P00"/>
        <w:ind w:left="0" w:right="1134"/>
        <w:rPr>
          <w:rStyle w:val="default"/>
          <w:rFonts w:cs="FrankRuehl"/>
          <w:rtl/>
        </w:rPr>
      </w:pPr>
    </w:p>
    <w:p w:rsidR="00570A5E" w:rsidRPr="003A1C4A" w:rsidRDefault="00570A5E" w:rsidP="003A1C4A">
      <w:pPr>
        <w:pStyle w:val="P00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:rsidR="00570A5E" w:rsidRPr="003A1C4A" w:rsidRDefault="00570A5E" w:rsidP="003A1C4A">
      <w:pPr>
        <w:pStyle w:val="P00"/>
        <w:ind w:left="0" w:right="1134"/>
        <w:rPr>
          <w:rStyle w:val="default"/>
          <w:rFonts w:cs="FrankRuehl"/>
          <w:rtl/>
        </w:rPr>
      </w:pPr>
    </w:p>
    <w:sectPr w:rsidR="00570A5E" w:rsidRPr="003A1C4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B5A40" w:rsidRDefault="001B5A40">
      <w:r>
        <w:separator/>
      </w:r>
    </w:p>
  </w:endnote>
  <w:endnote w:type="continuationSeparator" w:id="0">
    <w:p w:rsidR="001B5A40" w:rsidRDefault="001B5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0A5E" w:rsidRDefault="00570A5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570A5E" w:rsidRDefault="00570A5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70A5E" w:rsidRDefault="00570A5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A1C4A">
      <w:rPr>
        <w:rFonts w:cs="TopType Jerushalmi"/>
        <w:noProof/>
        <w:color w:val="000000"/>
        <w:sz w:val="14"/>
        <w:szCs w:val="14"/>
      </w:rPr>
      <w:t>D:\Yael\hakika\Revadim\319_080.doc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0A5E" w:rsidRDefault="00570A5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22D35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570A5E" w:rsidRDefault="00570A5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70A5E" w:rsidRDefault="00570A5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A1C4A">
      <w:rPr>
        <w:rFonts w:cs="TopType Jerushalmi"/>
        <w:noProof/>
        <w:color w:val="000000"/>
        <w:sz w:val="14"/>
        <w:szCs w:val="14"/>
      </w:rPr>
      <w:t>D:\Yael\hakika\Revadim\319_080.doc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B5A40" w:rsidRDefault="001B5A40" w:rsidP="003A1C4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1B5A40" w:rsidRDefault="001B5A40">
      <w:r>
        <w:continuationSeparator/>
      </w:r>
    </w:p>
  </w:footnote>
  <w:footnote w:id="1">
    <w:p w:rsidR="003A1C4A" w:rsidRDefault="003A1C4A" w:rsidP="003A1C4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3A1C4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0B0E61">
          <w:rPr>
            <w:rStyle w:val="Hyperlink"/>
            <w:rFonts w:hint="cs"/>
            <w:sz w:val="20"/>
            <w:rtl/>
          </w:rPr>
          <w:t>ק"ת תשל"ב מס' 2798</w:t>
        </w:r>
      </w:hyperlink>
      <w:r>
        <w:rPr>
          <w:rFonts w:hint="cs"/>
          <w:sz w:val="20"/>
          <w:rtl/>
        </w:rPr>
        <w:t xml:space="preserve"> מיום 20.1.1972 עמ' 576.</w:t>
      </w:r>
    </w:p>
    <w:p w:rsidR="003A1C4A" w:rsidRPr="003A1C4A" w:rsidRDefault="003A1C4A" w:rsidP="003A1C4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וקן </w:t>
      </w:r>
      <w:hyperlink r:id="rId2" w:history="1">
        <w:r w:rsidRPr="000B0E61">
          <w:rPr>
            <w:rStyle w:val="Hyperlink"/>
            <w:rFonts w:hint="cs"/>
            <w:sz w:val="20"/>
            <w:rtl/>
          </w:rPr>
          <w:t>ק"ת תשל"ז מס' 3669</w:t>
        </w:r>
      </w:hyperlink>
      <w:r>
        <w:rPr>
          <w:rFonts w:hint="cs"/>
          <w:sz w:val="20"/>
          <w:rtl/>
        </w:rPr>
        <w:t xml:space="preserve"> מיום 24.2.1977 עמ' 1035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תשל"ז-1977.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0A5E" w:rsidRDefault="00570A5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ההגנה (שעת חירום) (הגשת ספרים לביקורת מוקדמת ואיסור פרסום), תשל"ב 1972-</w:t>
    </w:r>
  </w:p>
  <w:p w:rsidR="00570A5E" w:rsidRDefault="00570A5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70A5E" w:rsidRDefault="00570A5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0A5E" w:rsidRDefault="00570A5E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ההגנה (שעת חירום) (הגשת ספרים לביקורת מ</w:t>
    </w:r>
    <w:r w:rsidR="003A1C4A">
      <w:rPr>
        <w:rFonts w:hAnsi="FrankRuehl" w:cs="FrankRuehl"/>
        <w:color w:val="000000"/>
        <w:sz w:val="28"/>
        <w:szCs w:val="28"/>
        <w:rtl/>
      </w:rPr>
      <w:t>וקדמת ואיסור פרסום), תשל"ב</w:t>
    </w:r>
    <w:r w:rsidR="003A1C4A">
      <w:rPr>
        <w:rFonts w:hAnsi="FrankRuehl" w:cs="FrankRuehl" w:hint="cs"/>
        <w:color w:val="000000"/>
        <w:sz w:val="28"/>
        <w:szCs w:val="28"/>
        <w:rtl/>
      </w:rPr>
      <w:t>-</w:t>
    </w:r>
    <w:r w:rsidR="003A1C4A">
      <w:rPr>
        <w:rFonts w:hAnsi="FrankRuehl" w:cs="FrankRuehl"/>
        <w:color w:val="000000"/>
        <w:sz w:val="28"/>
        <w:szCs w:val="28"/>
        <w:rtl/>
      </w:rPr>
      <w:t>1972</w:t>
    </w:r>
  </w:p>
  <w:p w:rsidR="00570A5E" w:rsidRDefault="00570A5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70A5E" w:rsidRDefault="00570A5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4D2F"/>
    <w:rsid w:val="000A5BFD"/>
    <w:rsid w:val="000A7D87"/>
    <w:rsid w:val="000B0E61"/>
    <w:rsid w:val="000C5CCF"/>
    <w:rsid w:val="001B5A40"/>
    <w:rsid w:val="002161ED"/>
    <w:rsid w:val="00315A5F"/>
    <w:rsid w:val="00334D2F"/>
    <w:rsid w:val="003A1C4A"/>
    <w:rsid w:val="00403737"/>
    <w:rsid w:val="00422D35"/>
    <w:rsid w:val="0047484D"/>
    <w:rsid w:val="00570A5E"/>
    <w:rsid w:val="00575807"/>
    <w:rsid w:val="006F7260"/>
    <w:rsid w:val="00AD5476"/>
    <w:rsid w:val="00B87611"/>
    <w:rsid w:val="00BE09CB"/>
    <w:rsid w:val="00BE2C8B"/>
    <w:rsid w:val="00E0690E"/>
    <w:rsid w:val="00ED42D1"/>
    <w:rsid w:val="00F2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770A6EEC-ED80-4ECA-9C75-1E68839F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72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3A1C4A"/>
    <w:rPr>
      <w:sz w:val="20"/>
      <w:szCs w:val="20"/>
    </w:rPr>
  </w:style>
  <w:style w:type="character" w:styleId="a6">
    <w:name w:val="footnote reference"/>
    <w:basedOn w:val="a0"/>
    <w:semiHidden/>
    <w:rsid w:val="003A1C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3669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3669.pdf" TargetMode="External"/><Relationship Id="rId1" Type="http://schemas.openxmlformats.org/officeDocument/2006/relationships/hyperlink" Target="http://www.nevo.co.il/Law_word/law06/TAK-279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319</vt:lpstr>
    </vt:vector>
  </TitlesOfParts>
  <Company/>
  <LinksUpToDate>false</LinksUpToDate>
  <CharactersWithSpaces>1975</CharactersWithSpaces>
  <SharedDoc>false</SharedDoc>
  <HLinks>
    <vt:vector size="42" baseType="variant">
      <vt:variant>
        <vt:i4>8126471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http://www.nevo.co.il/Law_word/law06/TAK-3669.pdf</vt:lpwstr>
      </vt:variant>
      <vt:variant>
        <vt:lpwstr/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http://www.nevo.co.il/Law_word/law06/TAK-3669.pdf</vt:lpwstr>
      </vt:variant>
      <vt:variant>
        <vt:lpwstr/>
      </vt:variant>
      <vt:variant>
        <vt:i4>7471111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http://www.nevo.co.il/Law_word/law06/TAK-2798.pdf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319</dc:title>
  <dc:subject/>
  <dc:creator>Shimon Doodkin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0319</vt:lpwstr>
  </property>
  <property fmtid="{D5CDD505-2E9C-101B-9397-08002B2CF9AE}" pid="3" name="CHNAME">
    <vt:lpwstr>סדרי השלטון והמשפט</vt:lpwstr>
  </property>
  <property fmtid="{D5CDD505-2E9C-101B-9397-08002B2CF9AE}" pid="4" name="LAWNAME">
    <vt:lpwstr>צו ההגנה (שעת חירום) (הגשת ספרים לביקורת מוקדמת ואיסור פרסום), תשל"ב-1972 - רבדים</vt:lpwstr>
  </property>
  <property fmtid="{D5CDD505-2E9C-101B-9397-08002B2CF9AE}" pid="5" name="LAWNUMBER">
    <vt:lpwstr>0080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שעת חירום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תרבות, פנאי ומועדים</vt:lpwstr>
  </property>
  <property fmtid="{D5CDD505-2E9C-101B-9397-08002B2CF9AE}" pid="13" name="NOSE32">
    <vt:lpwstr>ספרים סרטים ומחזות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