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F50D88" w:rsidP="00AB728B">
      <w:pPr>
        <w:pStyle w:val="big-header"/>
        <w:ind w:left="0" w:right="1134"/>
        <w:rPr>
          <w:rFonts w:cs="FrankRuehl" w:hint="cs"/>
          <w:sz w:val="32"/>
          <w:rtl/>
        </w:rPr>
      </w:pPr>
      <w:r>
        <w:rPr>
          <w:rFonts w:cs="FrankRuehl" w:hint="cs"/>
          <w:sz w:val="32"/>
          <w:rtl/>
        </w:rPr>
        <w:t>צו</w:t>
      </w:r>
      <w:r w:rsidR="00CF4D7D">
        <w:rPr>
          <w:rFonts w:cs="FrankRuehl" w:hint="cs"/>
          <w:sz w:val="32"/>
          <w:rtl/>
        </w:rPr>
        <w:t xml:space="preserve"> ההסדרים במשק המדינה (</w:t>
      </w:r>
      <w:r w:rsidR="00AB728B">
        <w:rPr>
          <w:rFonts w:cs="FrankRuehl" w:hint="cs"/>
          <w:sz w:val="32"/>
          <w:rtl/>
        </w:rPr>
        <w:t>קביעת שירותים מוחרגים וקביעת הפחתות</w:t>
      </w:r>
      <w:r w:rsidR="002004B8">
        <w:rPr>
          <w:rFonts w:cs="FrankRuehl" w:hint="cs"/>
          <w:sz w:val="32"/>
          <w:rtl/>
        </w:rPr>
        <w:t>)</w:t>
      </w:r>
      <w:r w:rsidR="000A51DD">
        <w:rPr>
          <w:rFonts w:cs="FrankRuehl" w:hint="cs"/>
          <w:sz w:val="32"/>
          <w:rtl/>
        </w:rPr>
        <w:t xml:space="preserve">, </w:t>
      </w:r>
      <w:r w:rsidR="006A0293">
        <w:rPr>
          <w:rFonts w:cs="FrankRuehl" w:hint="cs"/>
          <w:sz w:val="32"/>
          <w:rtl/>
        </w:rPr>
        <w:t>תשע</w:t>
      </w:r>
      <w:r w:rsidR="00FE583C">
        <w:rPr>
          <w:rFonts w:cs="FrankRuehl" w:hint="cs"/>
          <w:sz w:val="32"/>
          <w:rtl/>
        </w:rPr>
        <w:t>"</w:t>
      </w:r>
      <w:r w:rsidR="005E506D">
        <w:rPr>
          <w:rFonts w:cs="FrankRuehl" w:hint="cs"/>
          <w:sz w:val="32"/>
          <w:rtl/>
        </w:rPr>
        <w:t>ג-2013</w:t>
      </w:r>
    </w:p>
    <w:p w:rsidR="00CF4D7D" w:rsidRPr="00CF4D7D" w:rsidRDefault="00CF4D7D" w:rsidP="00CF4D7D">
      <w:pPr>
        <w:spacing w:line="320" w:lineRule="auto"/>
        <w:rPr>
          <w:rFonts w:cs="FrankRuehl"/>
          <w:szCs w:val="26"/>
          <w:rtl/>
        </w:rPr>
      </w:pPr>
    </w:p>
    <w:p w:rsidR="00CF4D7D" w:rsidRDefault="00CF4D7D" w:rsidP="00CF4D7D">
      <w:pPr>
        <w:spacing w:line="320" w:lineRule="auto"/>
        <w:rPr>
          <w:rtl/>
        </w:rPr>
      </w:pPr>
    </w:p>
    <w:p w:rsidR="00CF4D7D" w:rsidRDefault="00CF4D7D" w:rsidP="00CF4D7D">
      <w:pPr>
        <w:spacing w:line="320" w:lineRule="auto"/>
        <w:rPr>
          <w:rFonts w:cs="Miriam"/>
          <w:szCs w:val="22"/>
          <w:rtl/>
        </w:rPr>
      </w:pPr>
      <w:r w:rsidRPr="00CF4D7D">
        <w:rPr>
          <w:rFonts w:cs="Miriam"/>
          <w:szCs w:val="22"/>
          <w:rtl/>
        </w:rPr>
        <w:t>בריאות</w:t>
      </w:r>
      <w:r w:rsidRPr="00CF4D7D">
        <w:rPr>
          <w:rFonts w:cs="FrankRuehl"/>
          <w:szCs w:val="26"/>
          <w:rtl/>
        </w:rPr>
        <w:t xml:space="preserve"> – בתי חולים</w:t>
      </w:r>
    </w:p>
    <w:p w:rsidR="00CF4D7D" w:rsidRPr="00CF4D7D" w:rsidRDefault="00CF4D7D" w:rsidP="00CF4D7D">
      <w:pPr>
        <w:spacing w:line="320" w:lineRule="auto"/>
        <w:rPr>
          <w:rFonts w:cs="Miriam" w:hint="cs"/>
          <w:szCs w:val="22"/>
          <w:rtl/>
        </w:rPr>
      </w:pPr>
      <w:r w:rsidRPr="00CF4D7D">
        <w:rPr>
          <w:rFonts w:cs="Miriam"/>
          <w:szCs w:val="22"/>
          <w:rtl/>
        </w:rPr>
        <w:t>משפט פרטי וכלכלה</w:t>
      </w:r>
      <w:r w:rsidRPr="00CF4D7D">
        <w:rPr>
          <w:rFonts w:cs="FrankRuehl"/>
          <w:szCs w:val="26"/>
          <w:rtl/>
        </w:rPr>
        <w:t xml:space="preserve"> – כספים – תקציב ומשק המדינה – מדיניות כלכלית</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E68DD" w:rsidRPr="008E68DD">
        <w:tblPrEx>
          <w:tblCellMar>
            <w:top w:w="0" w:type="dxa"/>
            <w:bottom w:w="0" w:type="dxa"/>
          </w:tblCellMar>
        </w:tblPrEx>
        <w:tc>
          <w:tcPr>
            <w:tcW w:w="1247" w:type="dxa"/>
          </w:tcPr>
          <w:p w:rsidR="008E68DD" w:rsidRPr="008E68DD" w:rsidRDefault="008E68DD" w:rsidP="008E68DD">
            <w:pPr>
              <w:rPr>
                <w:rFonts w:cs="Frankruhel" w:hint="cs"/>
                <w:rtl/>
              </w:rPr>
            </w:pPr>
            <w:r>
              <w:rPr>
                <w:rtl/>
              </w:rPr>
              <w:t xml:space="preserve">סעיף 1 </w:t>
            </w:r>
          </w:p>
        </w:tc>
        <w:tc>
          <w:tcPr>
            <w:tcW w:w="5669" w:type="dxa"/>
          </w:tcPr>
          <w:p w:rsidR="008E68DD" w:rsidRPr="008E68DD" w:rsidRDefault="008E68DD" w:rsidP="008E68DD">
            <w:pPr>
              <w:rPr>
                <w:rFonts w:cs="Frankruhel" w:hint="cs"/>
                <w:rtl/>
              </w:rPr>
            </w:pPr>
            <w:r>
              <w:rPr>
                <w:rtl/>
              </w:rPr>
              <w:t>קביעת שירותים נוספים מוחרגים לפי סעיף 17</w:t>
            </w:r>
          </w:p>
        </w:tc>
        <w:tc>
          <w:tcPr>
            <w:tcW w:w="567" w:type="dxa"/>
          </w:tcPr>
          <w:p w:rsidR="008E68DD" w:rsidRPr="008E68DD" w:rsidRDefault="008E68DD" w:rsidP="008E68DD">
            <w:pPr>
              <w:rPr>
                <w:rStyle w:val="Hyperlink"/>
                <w:rFonts w:hint="cs"/>
                <w:rtl/>
              </w:rPr>
            </w:pPr>
            <w:hyperlink w:anchor="Seif1" w:tooltip="קביעת שירותים נוספים מוחרגים לפי סעיף 17" w:history="1">
              <w:r w:rsidRPr="008E68DD">
                <w:rPr>
                  <w:rStyle w:val="Hyperlink"/>
                </w:rPr>
                <w:t>Go</w:t>
              </w:r>
            </w:hyperlink>
          </w:p>
        </w:tc>
        <w:tc>
          <w:tcPr>
            <w:tcW w:w="850" w:type="dxa"/>
          </w:tcPr>
          <w:p w:rsidR="008E68DD" w:rsidRPr="008E68DD" w:rsidRDefault="008E68DD" w:rsidP="008E68D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E68DD" w:rsidRPr="008E68DD">
        <w:tblPrEx>
          <w:tblCellMar>
            <w:top w:w="0" w:type="dxa"/>
            <w:bottom w:w="0" w:type="dxa"/>
          </w:tblCellMar>
        </w:tblPrEx>
        <w:tc>
          <w:tcPr>
            <w:tcW w:w="1247" w:type="dxa"/>
          </w:tcPr>
          <w:p w:rsidR="008E68DD" w:rsidRPr="008E68DD" w:rsidRDefault="008E68DD" w:rsidP="008E68DD">
            <w:pPr>
              <w:rPr>
                <w:rFonts w:cs="Frankruhel" w:hint="cs"/>
                <w:rtl/>
              </w:rPr>
            </w:pPr>
            <w:r>
              <w:rPr>
                <w:rtl/>
              </w:rPr>
              <w:t xml:space="preserve">סעיף 2 </w:t>
            </w:r>
          </w:p>
        </w:tc>
        <w:tc>
          <w:tcPr>
            <w:tcW w:w="5669" w:type="dxa"/>
          </w:tcPr>
          <w:p w:rsidR="008E68DD" w:rsidRPr="008E68DD" w:rsidRDefault="008E68DD" w:rsidP="008E68DD">
            <w:pPr>
              <w:rPr>
                <w:rFonts w:cs="Frankruhel" w:hint="cs"/>
                <w:rtl/>
              </w:rPr>
            </w:pPr>
            <w:r>
              <w:rPr>
                <w:rtl/>
              </w:rPr>
              <w:t>קביעת סכום ההפחתה לפי סעיף 12ח</w:t>
            </w:r>
          </w:p>
        </w:tc>
        <w:tc>
          <w:tcPr>
            <w:tcW w:w="567" w:type="dxa"/>
          </w:tcPr>
          <w:p w:rsidR="008E68DD" w:rsidRPr="008E68DD" w:rsidRDefault="008E68DD" w:rsidP="008E68DD">
            <w:pPr>
              <w:rPr>
                <w:rStyle w:val="Hyperlink"/>
                <w:rFonts w:hint="cs"/>
                <w:rtl/>
              </w:rPr>
            </w:pPr>
            <w:hyperlink w:anchor="Seif2" w:tooltip="קביעת סכום ההפחתה לפי סעיף 12ח" w:history="1">
              <w:r w:rsidRPr="008E68DD">
                <w:rPr>
                  <w:rStyle w:val="Hyperlink"/>
                </w:rPr>
                <w:t>Go</w:t>
              </w:r>
            </w:hyperlink>
          </w:p>
        </w:tc>
        <w:tc>
          <w:tcPr>
            <w:tcW w:w="850" w:type="dxa"/>
          </w:tcPr>
          <w:p w:rsidR="008E68DD" w:rsidRPr="008E68DD" w:rsidRDefault="008E68DD" w:rsidP="008E68D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E68DD" w:rsidRPr="008E68DD">
        <w:tblPrEx>
          <w:tblCellMar>
            <w:top w:w="0" w:type="dxa"/>
            <w:bottom w:w="0" w:type="dxa"/>
          </w:tblCellMar>
        </w:tblPrEx>
        <w:tc>
          <w:tcPr>
            <w:tcW w:w="1247" w:type="dxa"/>
          </w:tcPr>
          <w:p w:rsidR="008E68DD" w:rsidRPr="008E68DD" w:rsidRDefault="008E68DD" w:rsidP="008E68DD">
            <w:pPr>
              <w:rPr>
                <w:rFonts w:cs="Frankruhel" w:hint="cs"/>
                <w:rtl/>
              </w:rPr>
            </w:pPr>
            <w:r>
              <w:rPr>
                <w:rtl/>
              </w:rPr>
              <w:t xml:space="preserve">סעיף 3 </w:t>
            </w:r>
          </w:p>
        </w:tc>
        <w:tc>
          <w:tcPr>
            <w:tcW w:w="5669" w:type="dxa"/>
          </w:tcPr>
          <w:p w:rsidR="008E68DD" w:rsidRPr="008E68DD" w:rsidRDefault="008E68DD" w:rsidP="008E68DD">
            <w:pPr>
              <w:rPr>
                <w:rFonts w:cs="Frankruhel" w:hint="cs"/>
                <w:rtl/>
              </w:rPr>
            </w:pPr>
            <w:r>
              <w:rPr>
                <w:rtl/>
              </w:rPr>
              <w:t>קביעת סכום ההפחתה לפי סעיף 12ח</w:t>
            </w:r>
          </w:p>
        </w:tc>
        <w:tc>
          <w:tcPr>
            <w:tcW w:w="567" w:type="dxa"/>
          </w:tcPr>
          <w:p w:rsidR="008E68DD" w:rsidRPr="008E68DD" w:rsidRDefault="008E68DD" w:rsidP="008E68DD">
            <w:pPr>
              <w:rPr>
                <w:rStyle w:val="Hyperlink"/>
                <w:rFonts w:hint="cs"/>
                <w:rtl/>
              </w:rPr>
            </w:pPr>
            <w:hyperlink w:anchor="Seif3" w:tooltip="קביעת סכום ההפחתה לפי סעיף 12ח" w:history="1">
              <w:r w:rsidRPr="008E68DD">
                <w:rPr>
                  <w:rStyle w:val="Hyperlink"/>
                </w:rPr>
                <w:t>Go</w:t>
              </w:r>
            </w:hyperlink>
          </w:p>
        </w:tc>
        <w:tc>
          <w:tcPr>
            <w:tcW w:w="850" w:type="dxa"/>
          </w:tcPr>
          <w:p w:rsidR="008E68DD" w:rsidRPr="008E68DD" w:rsidRDefault="008E68DD" w:rsidP="008E68D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8E68DD" w:rsidRPr="008E68DD">
        <w:tblPrEx>
          <w:tblCellMar>
            <w:top w:w="0" w:type="dxa"/>
            <w:bottom w:w="0" w:type="dxa"/>
          </w:tblCellMar>
        </w:tblPrEx>
        <w:tc>
          <w:tcPr>
            <w:tcW w:w="1247" w:type="dxa"/>
          </w:tcPr>
          <w:p w:rsidR="008E68DD" w:rsidRPr="008E68DD" w:rsidRDefault="008E68DD" w:rsidP="008E68DD">
            <w:pPr>
              <w:rPr>
                <w:rFonts w:cs="Frankruhel" w:hint="cs"/>
                <w:rtl/>
              </w:rPr>
            </w:pPr>
            <w:r>
              <w:rPr>
                <w:rtl/>
              </w:rPr>
              <w:t xml:space="preserve">סעיף 4 </w:t>
            </w:r>
          </w:p>
        </w:tc>
        <w:tc>
          <w:tcPr>
            <w:tcW w:w="5669" w:type="dxa"/>
          </w:tcPr>
          <w:p w:rsidR="008E68DD" w:rsidRPr="008E68DD" w:rsidRDefault="008E68DD" w:rsidP="008E68DD">
            <w:pPr>
              <w:rPr>
                <w:rFonts w:cs="Frankruhel" w:hint="cs"/>
                <w:rtl/>
              </w:rPr>
            </w:pPr>
            <w:r>
              <w:rPr>
                <w:rtl/>
              </w:rPr>
              <w:t>הוראת מעבר</w:t>
            </w:r>
          </w:p>
        </w:tc>
        <w:tc>
          <w:tcPr>
            <w:tcW w:w="567" w:type="dxa"/>
          </w:tcPr>
          <w:p w:rsidR="008E68DD" w:rsidRPr="008E68DD" w:rsidRDefault="008E68DD" w:rsidP="008E68DD">
            <w:pPr>
              <w:rPr>
                <w:rStyle w:val="Hyperlink"/>
                <w:rFonts w:hint="cs"/>
                <w:rtl/>
              </w:rPr>
            </w:pPr>
            <w:hyperlink w:anchor="Seif4" w:tooltip="הוראת מעבר" w:history="1">
              <w:r w:rsidRPr="008E68DD">
                <w:rPr>
                  <w:rStyle w:val="Hyperlink"/>
                </w:rPr>
                <w:t>Go</w:t>
              </w:r>
            </w:hyperlink>
          </w:p>
        </w:tc>
        <w:tc>
          <w:tcPr>
            <w:tcW w:w="850" w:type="dxa"/>
          </w:tcPr>
          <w:p w:rsidR="008E68DD" w:rsidRPr="008E68DD" w:rsidRDefault="008E68DD" w:rsidP="008E68D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AB728B">
      <w:pPr>
        <w:pStyle w:val="big-header"/>
        <w:ind w:left="0" w:right="1134"/>
        <w:rPr>
          <w:rStyle w:val="default"/>
          <w:rFonts w:hint="cs"/>
          <w:sz w:val="22"/>
          <w:szCs w:val="22"/>
          <w:rtl/>
        </w:rPr>
      </w:pPr>
      <w:r>
        <w:rPr>
          <w:rFonts w:cs="FrankRuehl"/>
          <w:sz w:val="32"/>
          <w:rtl/>
        </w:rPr>
        <w:br w:type="page"/>
      </w:r>
      <w:r w:rsidR="00AB728B">
        <w:rPr>
          <w:rFonts w:cs="FrankRuehl" w:hint="cs"/>
          <w:sz w:val="32"/>
          <w:rtl/>
        </w:rPr>
        <w:lastRenderedPageBreak/>
        <w:t>צו ההסדרים במשק המדינה (קביעת שירותים מוחרגים וקביעת הפחתות), תשע"ג-2013</w:t>
      </w:r>
      <w:r>
        <w:rPr>
          <w:rStyle w:val="default"/>
          <w:sz w:val="22"/>
          <w:szCs w:val="22"/>
          <w:rtl/>
        </w:rPr>
        <w:footnoteReference w:customMarkFollows="1" w:id="1"/>
        <w:t>*</w:t>
      </w:r>
    </w:p>
    <w:p w:rsidR="00CB37A5" w:rsidRDefault="00CB37A5" w:rsidP="00AB728B">
      <w:pPr>
        <w:pStyle w:val="P00"/>
        <w:spacing w:before="72"/>
        <w:ind w:left="0" w:right="1134"/>
        <w:rPr>
          <w:rStyle w:val="default"/>
          <w:rFonts w:cs="FrankRuehl" w:hint="cs"/>
          <w:rtl/>
        </w:rPr>
      </w:pPr>
      <w:r>
        <w:rPr>
          <w:rStyle w:val="default"/>
          <w:rFonts w:cs="FrankRuehl" w:hint="cs"/>
          <w:rtl/>
        </w:rPr>
        <w:tab/>
        <w:t xml:space="preserve">בתוקף </w:t>
      </w:r>
      <w:r w:rsidR="00CF4D7D">
        <w:rPr>
          <w:rStyle w:val="default"/>
          <w:rFonts w:cs="FrankRuehl" w:hint="cs"/>
          <w:rtl/>
        </w:rPr>
        <w:t xml:space="preserve">סמכותנו לפי </w:t>
      </w:r>
      <w:r w:rsidR="00AB728B">
        <w:rPr>
          <w:rStyle w:val="default"/>
          <w:rFonts w:cs="FrankRuehl" w:hint="cs"/>
          <w:rtl/>
        </w:rPr>
        <w:t>סעיפים 12ח(א), 12ח(ב) ו-17(א)(8)</w:t>
      </w:r>
      <w:r w:rsidR="00F50D88">
        <w:rPr>
          <w:rStyle w:val="default"/>
          <w:rFonts w:cs="FrankRuehl" w:hint="cs"/>
          <w:rtl/>
        </w:rPr>
        <w:t xml:space="preserve"> לחוק ההסדרים במשק המדינה (תיקוני חקיקה להשגת יעדי התקציב והמדיניות הכלכלית לשנת הכספים 2002), התשס"ב-2002 (להלן </w:t>
      </w:r>
      <w:r w:rsidR="00F50D88">
        <w:rPr>
          <w:rStyle w:val="default"/>
          <w:rFonts w:cs="FrankRuehl"/>
          <w:rtl/>
        </w:rPr>
        <w:t>–</w:t>
      </w:r>
      <w:r w:rsidR="00F50D88">
        <w:rPr>
          <w:rStyle w:val="default"/>
          <w:rFonts w:cs="FrankRuehl" w:hint="cs"/>
          <w:rtl/>
        </w:rPr>
        <w:t xml:space="preserve"> החוק), אנו מצווים לאמור</w:t>
      </w:r>
      <w:r>
        <w:rPr>
          <w:rStyle w:val="default"/>
          <w:rFonts w:cs="FrankRuehl" w:hint="cs"/>
          <w:rtl/>
        </w:rPr>
        <w:t>:</w:t>
      </w:r>
    </w:p>
    <w:p w:rsidR="000A51DD" w:rsidRDefault="000A51DD" w:rsidP="00AB728B">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25.95pt;z-index:251656192" o:allowincell="f" filled="f" stroked="f" strokecolor="lime" strokeweight=".25pt">
            <v:textbox style="mso-next-textbox:#_x0000_s1026" inset="0,0,0,0">
              <w:txbxContent>
                <w:p w:rsidR="00F322D9" w:rsidRDefault="00F50D88" w:rsidP="00AB728B">
                  <w:pPr>
                    <w:spacing w:line="160" w:lineRule="exact"/>
                    <w:rPr>
                      <w:rFonts w:cs="Miriam" w:hint="cs"/>
                      <w:noProof/>
                      <w:sz w:val="18"/>
                      <w:szCs w:val="18"/>
                      <w:rtl/>
                    </w:rPr>
                  </w:pPr>
                  <w:r>
                    <w:rPr>
                      <w:rFonts w:cs="Miriam" w:hint="cs"/>
                      <w:sz w:val="18"/>
                      <w:szCs w:val="18"/>
                      <w:rtl/>
                    </w:rPr>
                    <w:t xml:space="preserve">קביעת </w:t>
                  </w:r>
                  <w:r w:rsidR="00AB728B">
                    <w:rPr>
                      <w:rFonts w:cs="Miriam" w:hint="cs"/>
                      <w:sz w:val="18"/>
                      <w:szCs w:val="18"/>
                      <w:rtl/>
                    </w:rPr>
                    <w:t>שירותים נוספים מוחרגים לפי סעיף 17(א)(8) לחוק</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B728B">
        <w:rPr>
          <w:rStyle w:val="default"/>
          <w:rFonts w:cs="FrankRuehl" w:hint="cs"/>
          <w:rtl/>
        </w:rPr>
        <w:t>הוראות סימן ב' בפרק ה' לחוק לא יחולו בשנת 2013 על השירותים הנוספים המפורטים להלן</w:t>
      </w:r>
      <w:r w:rsidR="007E141D">
        <w:rPr>
          <w:rStyle w:val="default"/>
          <w:rFonts w:cs="FrankRuehl" w:hint="cs"/>
          <w:rtl/>
        </w:rPr>
        <w:t>:</w:t>
      </w:r>
    </w:p>
    <w:p w:rsidR="00AB728B" w:rsidRPr="00AB728B" w:rsidRDefault="00AB728B" w:rsidP="00AB728B">
      <w:pPr>
        <w:pStyle w:val="P00"/>
        <w:pBdr>
          <w:bottom w:val="single" w:sz="4" w:space="1" w:color="auto"/>
        </w:pBdr>
        <w:tabs>
          <w:tab w:val="clear" w:pos="624"/>
          <w:tab w:val="clear" w:pos="1021"/>
          <w:tab w:val="clear" w:pos="1474"/>
          <w:tab w:val="clear" w:pos="1928"/>
          <w:tab w:val="clear" w:pos="2381"/>
          <w:tab w:val="clear" w:pos="2835"/>
          <w:tab w:val="clear" w:pos="6259"/>
          <w:tab w:val="center" w:pos="1247"/>
          <w:tab w:val="center" w:pos="4536"/>
        </w:tabs>
        <w:spacing w:before="72"/>
        <w:ind w:left="624" w:right="1134"/>
        <w:rPr>
          <w:rStyle w:val="default"/>
          <w:rFonts w:cs="FrankRuehl" w:hint="cs"/>
          <w:sz w:val="22"/>
          <w:szCs w:val="22"/>
          <w:rtl/>
        </w:rPr>
      </w:pPr>
      <w:r w:rsidRPr="00AB728B">
        <w:rPr>
          <w:rStyle w:val="default"/>
          <w:rFonts w:cs="FrankRuehl" w:hint="cs"/>
          <w:sz w:val="22"/>
          <w:szCs w:val="22"/>
          <w:rtl/>
        </w:rPr>
        <w:tab/>
        <w:t>קוד השירות</w:t>
      </w:r>
      <w:r w:rsidRPr="00AB728B">
        <w:rPr>
          <w:rStyle w:val="default"/>
          <w:rFonts w:cs="FrankRuehl" w:hint="cs"/>
          <w:sz w:val="22"/>
          <w:szCs w:val="22"/>
          <w:rtl/>
        </w:rPr>
        <w:tab/>
        <w:t>שם השירות</w:t>
      </w:r>
    </w:p>
    <w:p w:rsidR="00AB728B" w:rsidRDefault="00AB728B" w:rsidP="00AB728B">
      <w:pPr>
        <w:pStyle w:val="P00"/>
        <w:tabs>
          <w:tab w:val="clear" w:pos="624"/>
          <w:tab w:val="clear" w:pos="1021"/>
          <w:tab w:val="clear" w:pos="1474"/>
          <w:tab w:val="clear" w:pos="1928"/>
          <w:tab w:val="clear" w:pos="2381"/>
          <w:tab w:val="clear" w:pos="2835"/>
          <w:tab w:val="clear" w:pos="6259"/>
          <w:tab w:val="center" w:pos="1247"/>
          <w:tab w:val="left" w:pos="1985"/>
        </w:tabs>
        <w:spacing w:before="72"/>
        <w:ind w:left="624" w:right="1134"/>
        <w:rPr>
          <w:rStyle w:val="default"/>
          <w:rFonts w:cs="FrankRuehl" w:hint="cs"/>
          <w:sz w:val="20"/>
          <w:rtl/>
        </w:rPr>
      </w:pPr>
      <w:r w:rsidRPr="00AB728B">
        <w:rPr>
          <w:rStyle w:val="default"/>
          <w:rFonts w:cs="FrankRuehl" w:hint="cs"/>
          <w:sz w:val="20"/>
          <w:rtl/>
        </w:rPr>
        <w:tab/>
      </w:r>
      <w:r w:rsidRPr="00AB728B">
        <w:rPr>
          <w:rStyle w:val="default"/>
          <w:rFonts w:cs="FrankRuehl"/>
          <w:sz w:val="20"/>
        </w:rPr>
        <w:t>L9636</w:t>
      </w:r>
      <w:r w:rsidRPr="00AB728B">
        <w:rPr>
          <w:rStyle w:val="default"/>
          <w:rFonts w:cs="FrankRuehl" w:hint="cs"/>
          <w:sz w:val="20"/>
          <w:rtl/>
        </w:rPr>
        <w:tab/>
        <w:t>תוספת בעד פלריקספור, מוזוביל, לפי התעריף לאמפולה</w:t>
      </w:r>
    </w:p>
    <w:p w:rsidR="00AB728B" w:rsidRDefault="00AB728B" w:rsidP="00AB728B">
      <w:pPr>
        <w:pStyle w:val="P00"/>
        <w:tabs>
          <w:tab w:val="clear" w:pos="624"/>
          <w:tab w:val="clear" w:pos="1021"/>
          <w:tab w:val="clear" w:pos="1474"/>
          <w:tab w:val="clear" w:pos="1928"/>
          <w:tab w:val="clear" w:pos="2381"/>
          <w:tab w:val="clear" w:pos="2835"/>
          <w:tab w:val="clear" w:pos="6259"/>
          <w:tab w:val="center" w:pos="1247"/>
          <w:tab w:val="left" w:pos="1985"/>
        </w:tabs>
        <w:spacing w:before="72"/>
        <w:ind w:left="624" w:right="1134"/>
        <w:rPr>
          <w:rStyle w:val="default"/>
          <w:rFonts w:cs="FrankRuehl" w:hint="cs"/>
          <w:sz w:val="20"/>
          <w:rtl/>
        </w:rPr>
      </w:pPr>
      <w:r>
        <w:rPr>
          <w:rStyle w:val="default"/>
          <w:rFonts w:cs="FrankRuehl" w:hint="cs"/>
          <w:sz w:val="20"/>
          <w:rtl/>
        </w:rPr>
        <w:tab/>
      </w:r>
      <w:r>
        <w:rPr>
          <w:rStyle w:val="default"/>
          <w:rFonts w:cs="FrankRuehl"/>
          <w:sz w:val="20"/>
        </w:rPr>
        <w:t>L0177</w:t>
      </w:r>
      <w:r>
        <w:rPr>
          <w:rStyle w:val="default"/>
          <w:rFonts w:cs="FrankRuehl" w:hint="cs"/>
          <w:sz w:val="20"/>
          <w:rtl/>
        </w:rPr>
        <w:tab/>
        <w:t>תוספת בעד מערכת מודולרית להרחבת צלעות</w:t>
      </w:r>
    </w:p>
    <w:p w:rsidR="00AB728B" w:rsidRDefault="00AB728B" w:rsidP="00AB728B">
      <w:pPr>
        <w:pStyle w:val="P00"/>
        <w:tabs>
          <w:tab w:val="clear" w:pos="624"/>
          <w:tab w:val="clear" w:pos="1021"/>
          <w:tab w:val="clear" w:pos="1474"/>
          <w:tab w:val="clear" w:pos="1928"/>
          <w:tab w:val="clear" w:pos="2381"/>
          <w:tab w:val="clear" w:pos="2835"/>
          <w:tab w:val="clear" w:pos="6259"/>
          <w:tab w:val="center" w:pos="1247"/>
          <w:tab w:val="left" w:pos="1985"/>
        </w:tabs>
        <w:spacing w:before="72"/>
        <w:ind w:left="624" w:right="1134"/>
        <w:rPr>
          <w:rStyle w:val="default"/>
          <w:rFonts w:cs="FrankRuehl" w:hint="cs"/>
          <w:sz w:val="20"/>
          <w:rtl/>
        </w:rPr>
      </w:pPr>
      <w:r>
        <w:rPr>
          <w:rStyle w:val="default"/>
          <w:rFonts w:cs="FrankRuehl" w:hint="cs"/>
          <w:sz w:val="20"/>
          <w:rtl/>
        </w:rPr>
        <w:tab/>
      </w:r>
      <w:r>
        <w:rPr>
          <w:rStyle w:val="default"/>
          <w:rFonts w:cs="FrankRuehl"/>
          <w:sz w:val="20"/>
        </w:rPr>
        <w:t>L0178</w:t>
      </w:r>
      <w:r>
        <w:rPr>
          <w:rStyle w:val="default"/>
          <w:rFonts w:cs="FrankRuehl" w:hint="cs"/>
          <w:sz w:val="20"/>
          <w:rtl/>
        </w:rPr>
        <w:tab/>
        <w:t>תוספת בעד מערכת שמיעה המבוססת על הולכת עצם, למבוגר</w:t>
      </w:r>
    </w:p>
    <w:p w:rsidR="00AB728B" w:rsidRDefault="00AB728B" w:rsidP="00AB728B">
      <w:pPr>
        <w:pStyle w:val="P00"/>
        <w:tabs>
          <w:tab w:val="clear" w:pos="624"/>
          <w:tab w:val="clear" w:pos="1021"/>
          <w:tab w:val="clear" w:pos="1474"/>
          <w:tab w:val="clear" w:pos="1928"/>
          <w:tab w:val="clear" w:pos="2381"/>
          <w:tab w:val="clear" w:pos="2835"/>
          <w:tab w:val="clear" w:pos="6259"/>
          <w:tab w:val="center" w:pos="1247"/>
          <w:tab w:val="left" w:pos="1985"/>
        </w:tabs>
        <w:spacing w:before="72"/>
        <w:ind w:left="624" w:right="1134"/>
        <w:rPr>
          <w:rStyle w:val="default"/>
          <w:rFonts w:cs="FrankRuehl" w:hint="cs"/>
          <w:sz w:val="20"/>
          <w:rtl/>
        </w:rPr>
      </w:pPr>
      <w:r>
        <w:rPr>
          <w:rStyle w:val="default"/>
          <w:rFonts w:cs="FrankRuehl" w:hint="cs"/>
          <w:sz w:val="20"/>
          <w:rtl/>
        </w:rPr>
        <w:tab/>
      </w:r>
      <w:r>
        <w:rPr>
          <w:rStyle w:val="default"/>
          <w:rFonts w:cs="FrankRuehl"/>
          <w:sz w:val="20"/>
        </w:rPr>
        <w:t>L0179</w:t>
      </w:r>
      <w:r>
        <w:rPr>
          <w:rStyle w:val="default"/>
          <w:rFonts w:cs="FrankRuehl" w:hint="cs"/>
          <w:sz w:val="20"/>
          <w:rtl/>
        </w:rPr>
        <w:tab/>
        <w:t>תוספת בעד מערכת שמיעה המבוססת על הולכת עצם, לילד</w:t>
      </w:r>
    </w:p>
    <w:p w:rsidR="00AB728B" w:rsidRDefault="00AB728B" w:rsidP="00AB728B">
      <w:pPr>
        <w:pStyle w:val="P00"/>
        <w:tabs>
          <w:tab w:val="clear" w:pos="624"/>
          <w:tab w:val="clear" w:pos="1021"/>
          <w:tab w:val="clear" w:pos="1474"/>
          <w:tab w:val="clear" w:pos="1928"/>
          <w:tab w:val="clear" w:pos="2381"/>
          <w:tab w:val="clear" w:pos="2835"/>
          <w:tab w:val="clear" w:pos="6259"/>
          <w:tab w:val="center" w:pos="1247"/>
          <w:tab w:val="left" w:pos="1985"/>
        </w:tabs>
        <w:spacing w:before="72"/>
        <w:ind w:left="624" w:right="1134"/>
        <w:rPr>
          <w:rStyle w:val="default"/>
          <w:rFonts w:cs="FrankRuehl" w:hint="cs"/>
          <w:sz w:val="20"/>
          <w:rtl/>
        </w:rPr>
      </w:pPr>
      <w:r>
        <w:rPr>
          <w:rStyle w:val="default"/>
          <w:rFonts w:cs="FrankRuehl" w:hint="cs"/>
          <w:sz w:val="20"/>
          <w:rtl/>
        </w:rPr>
        <w:tab/>
      </w:r>
      <w:r>
        <w:rPr>
          <w:rStyle w:val="default"/>
          <w:rFonts w:cs="FrankRuehl"/>
          <w:sz w:val="20"/>
        </w:rPr>
        <w:t>L0180</w:t>
      </w:r>
      <w:r>
        <w:rPr>
          <w:rStyle w:val="default"/>
          <w:rFonts w:cs="FrankRuehl" w:hint="cs"/>
          <w:sz w:val="20"/>
          <w:rtl/>
        </w:rPr>
        <w:tab/>
        <w:t>תוספת בעד ערכת קוצב וגאלי לטיפול באפילפסיה</w:t>
      </w:r>
    </w:p>
    <w:p w:rsidR="00AB728B" w:rsidRDefault="00AB728B" w:rsidP="00AB728B">
      <w:pPr>
        <w:pStyle w:val="P00"/>
        <w:tabs>
          <w:tab w:val="clear" w:pos="624"/>
          <w:tab w:val="clear" w:pos="1021"/>
          <w:tab w:val="clear" w:pos="1474"/>
          <w:tab w:val="clear" w:pos="1928"/>
          <w:tab w:val="clear" w:pos="2381"/>
          <w:tab w:val="clear" w:pos="2835"/>
          <w:tab w:val="clear" w:pos="6259"/>
          <w:tab w:val="center" w:pos="1247"/>
          <w:tab w:val="left" w:pos="1985"/>
        </w:tabs>
        <w:spacing w:before="72"/>
        <w:ind w:left="624" w:right="1134"/>
        <w:rPr>
          <w:rStyle w:val="default"/>
          <w:rFonts w:cs="FrankRuehl" w:hint="cs"/>
          <w:sz w:val="20"/>
          <w:rtl/>
        </w:rPr>
      </w:pPr>
      <w:r>
        <w:rPr>
          <w:rStyle w:val="default"/>
          <w:rFonts w:cs="FrankRuehl" w:hint="cs"/>
          <w:sz w:val="20"/>
          <w:rtl/>
        </w:rPr>
        <w:tab/>
      </w:r>
      <w:r>
        <w:rPr>
          <w:rStyle w:val="default"/>
          <w:rFonts w:cs="FrankRuehl"/>
          <w:sz w:val="20"/>
        </w:rPr>
        <w:t>L0171</w:t>
      </w:r>
      <w:r>
        <w:rPr>
          <w:rStyle w:val="default"/>
          <w:rFonts w:cs="FrankRuehl" w:hint="cs"/>
          <w:sz w:val="20"/>
          <w:rtl/>
        </w:rPr>
        <w:tab/>
        <w:t>תוספת בעד שמאבה מתוכנתת לשיכוך כאב כרוני או לטיפול בעוויתות</w:t>
      </w:r>
    </w:p>
    <w:p w:rsidR="00AB728B" w:rsidRDefault="00AB728B" w:rsidP="00CA2851">
      <w:pPr>
        <w:pStyle w:val="P00"/>
        <w:tabs>
          <w:tab w:val="clear" w:pos="624"/>
          <w:tab w:val="clear" w:pos="1021"/>
          <w:tab w:val="clear" w:pos="1474"/>
          <w:tab w:val="clear" w:pos="1928"/>
          <w:tab w:val="clear" w:pos="2381"/>
          <w:tab w:val="clear" w:pos="2835"/>
          <w:tab w:val="clear" w:pos="6259"/>
          <w:tab w:val="center" w:pos="1247"/>
          <w:tab w:val="left" w:pos="1985"/>
        </w:tabs>
        <w:spacing w:before="72"/>
        <w:ind w:left="1985" w:right="1134" w:hanging="1361"/>
        <w:rPr>
          <w:rStyle w:val="default"/>
          <w:rFonts w:cs="FrankRuehl" w:hint="cs"/>
          <w:sz w:val="20"/>
          <w:rtl/>
        </w:rPr>
      </w:pPr>
      <w:r>
        <w:rPr>
          <w:rStyle w:val="default"/>
          <w:rFonts w:cs="FrankRuehl" w:hint="cs"/>
          <w:sz w:val="20"/>
          <w:rtl/>
        </w:rPr>
        <w:tab/>
      </w:r>
      <w:r>
        <w:rPr>
          <w:rStyle w:val="default"/>
          <w:rFonts w:cs="FrankRuehl"/>
          <w:sz w:val="20"/>
        </w:rPr>
        <w:t>L0182</w:t>
      </w:r>
      <w:r>
        <w:rPr>
          <w:rStyle w:val="default"/>
          <w:rFonts w:cs="FrankRuehl" w:hint="cs"/>
          <w:sz w:val="20"/>
          <w:rtl/>
        </w:rPr>
        <w:tab/>
        <w:t>תוספת בעד ערכת קוצב מוחי חד-ערוצי, לרבות אלקטרודות, לטיפול בהפרעות תנועה</w:t>
      </w:r>
    </w:p>
    <w:p w:rsidR="00AB728B" w:rsidRDefault="00AB728B" w:rsidP="00CA2851">
      <w:pPr>
        <w:pStyle w:val="P00"/>
        <w:tabs>
          <w:tab w:val="clear" w:pos="624"/>
          <w:tab w:val="clear" w:pos="1021"/>
          <w:tab w:val="clear" w:pos="1474"/>
          <w:tab w:val="clear" w:pos="1928"/>
          <w:tab w:val="clear" w:pos="2381"/>
          <w:tab w:val="clear" w:pos="2835"/>
          <w:tab w:val="clear" w:pos="6259"/>
          <w:tab w:val="center" w:pos="1247"/>
          <w:tab w:val="left" w:pos="1985"/>
        </w:tabs>
        <w:spacing w:before="72"/>
        <w:ind w:left="1985" w:right="1134" w:hanging="1361"/>
        <w:rPr>
          <w:rStyle w:val="default"/>
          <w:rFonts w:cs="FrankRuehl" w:hint="cs"/>
          <w:sz w:val="20"/>
          <w:rtl/>
        </w:rPr>
      </w:pPr>
      <w:r>
        <w:rPr>
          <w:rStyle w:val="default"/>
          <w:rFonts w:cs="FrankRuehl" w:hint="cs"/>
          <w:sz w:val="20"/>
          <w:rtl/>
        </w:rPr>
        <w:tab/>
      </w:r>
      <w:r>
        <w:rPr>
          <w:rStyle w:val="default"/>
          <w:rFonts w:cs="FrankRuehl"/>
          <w:sz w:val="20"/>
        </w:rPr>
        <w:t>L0183</w:t>
      </w:r>
      <w:r>
        <w:rPr>
          <w:rStyle w:val="default"/>
          <w:rFonts w:cs="FrankRuehl" w:hint="cs"/>
          <w:sz w:val="20"/>
          <w:rtl/>
        </w:rPr>
        <w:tab/>
        <w:t>תוספת בעד ערכת קוצב מוחי דו-ערוצי, לרבות אלקטרודות, לטיפול בהפרעות תנועה</w:t>
      </w:r>
    </w:p>
    <w:p w:rsidR="00AB728B" w:rsidRDefault="00AB728B" w:rsidP="00CA2851">
      <w:pPr>
        <w:pStyle w:val="P00"/>
        <w:tabs>
          <w:tab w:val="clear" w:pos="624"/>
          <w:tab w:val="clear" w:pos="1021"/>
          <w:tab w:val="clear" w:pos="1474"/>
          <w:tab w:val="clear" w:pos="1928"/>
          <w:tab w:val="clear" w:pos="2381"/>
          <w:tab w:val="clear" w:pos="2835"/>
          <w:tab w:val="clear" w:pos="6259"/>
          <w:tab w:val="center" w:pos="1247"/>
          <w:tab w:val="left" w:pos="1985"/>
        </w:tabs>
        <w:spacing w:before="72"/>
        <w:ind w:left="1985" w:right="1134" w:hanging="1361"/>
        <w:rPr>
          <w:rStyle w:val="default"/>
          <w:rFonts w:cs="FrankRuehl" w:hint="cs"/>
          <w:sz w:val="20"/>
          <w:rtl/>
        </w:rPr>
      </w:pPr>
      <w:r>
        <w:rPr>
          <w:rStyle w:val="default"/>
          <w:rFonts w:cs="FrankRuehl" w:hint="cs"/>
          <w:sz w:val="20"/>
          <w:rtl/>
        </w:rPr>
        <w:tab/>
      </w:r>
      <w:r>
        <w:rPr>
          <w:rStyle w:val="default"/>
          <w:rFonts w:cs="FrankRuehl"/>
          <w:sz w:val="20"/>
        </w:rPr>
        <w:t>L0184</w:t>
      </w:r>
      <w:r>
        <w:rPr>
          <w:rStyle w:val="default"/>
          <w:rFonts w:cs="FrankRuehl" w:hint="cs"/>
          <w:sz w:val="20"/>
          <w:rtl/>
        </w:rPr>
        <w:tab/>
        <w:t>תוספת בעד ערכת קוצב נטען, לרבות אלקטרודות, לטיפול בהפרעות תנועה</w:t>
      </w:r>
    </w:p>
    <w:p w:rsidR="00AB728B" w:rsidRDefault="00AB728B" w:rsidP="00AB728B">
      <w:pPr>
        <w:pStyle w:val="P00"/>
        <w:tabs>
          <w:tab w:val="clear" w:pos="624"/>
          <w:tab w:val="clear" w:pos="1021"/>
          <w:tab w:val="clear" w:pos="1474"/>
          <w:tab w:val="clear" w:pos="1928"/>
          <w:tab w:val="clear" w:pos="2381"/>
          <w:tab w:val="clear" w:pos="2835"/>
          <w:tab w:val="clear" w:pos="6259"/>
          <w:tab w:val="center" w:pos="1247"/>
          <w:tab w:val="left" w:pos="1985"/>
        </w:tabs>
        <w:spacing w:before="72"/>
        <w:ind w:left="624" w:right="1134"/>
        <w:rPr>
          <w:rStyle w:val="default"/>
          <w:rFonts w:cs="FrankRuehl" w:hint="cs"/>
          <w:sz w:val="20"/>
          <w:rtl/>
        </w:rPr>
      </w:pPr>
      <w:r>
        <w:rPr>
          <w:rStyle w:val="default"/>
          <w:rFonts w:cs="FrankRuehl" w:hint="cs"/>
          <w:sz w:val="20"/>
          <w:rtl/>
        </w:rPr>
        <w:tab/>
      </w:r>
      <w:r>
        <w:rPr>
          <w:rStyle w:val="default"/>
          <w:rFonts w:cs="FrankRuehl"/>
          <w:sz w:val="20"/>
        </w:rPr>
        <w:t>L0187</w:t>
      </w:r>
      <w:r>
        <w:rPr>
          <w:rStyle w:val="default"/>
          <w:rFonts w:cs="FrankRuehl" w:hint="cs"/>
          <w:sz w:val="20"/>
          <w:rtl/>
        </w:rPr>
        <w:tab/>
        <w:t>תוספת בעד קוצב מוחי, בלא אלקטרודות, לטיפול בהפרעות תנועה</w:t>
      </w:r>
    </w:p>
    <w:p w:rsidR="00AB728B" w:rsidRDefault="00AB728B" w:rsidP="00AB728B">
      <w:pPr>
        <w:pStyle w:val="P00"/>
        <w:tabs>
          <w:tab w:val="clear" w:pos="624"/>
          <w:tab w:val="clear" w:pos="1021"/>
          <w:tab w:val="clear" w:pos="1474"/>
          <w:tab w:val="clear" w:pos="1928"/>
          <w:tab w:val="clear" w:pos="2381"/>
          <w:tab w:val="clear" w:pos="2835"/>
          <w:tab w:val="clear" w:pos="6259"/>
          <w:tab w:val="center" w:pos="1247"/>
          <w:tab w:val="left" w:pos="1985"/>
        </w:tabs>
        <w:spacing w:before="72"/>
        <w:ind w:left="624" w:right="1134"/>
        <w:rPr>
          <w:rStyle w:val="default"/>
          <w:rFonts w:cs="FrankRuehl" w:hint="cs"/>
          <w:sz w:val="20"/>
          <w:rtl/>
        </w:rPr>
      </w:pPr>
      <w:r>
        <w:rPr>
          <w:rStyle w:val="default"/>
          <w:rFonts w:cs="FrankRuehl" w:hint="cs"/>
          <w:sz w:val="20"/>
          <w:rtl/>
        </w:rPr>
        <w:tab/>
      </w:r>
      <w:r>
        <w:rPr>
          <w:rStyle w:val="default"/>
          <w:rFonts w:cs="FrankRuehl"/>
          <w:sz w:val="20"/>
        </w:rPr>
        <w:t>L0188</w:t>
      </w:r>
      <w:r>
        <w:rPr>
          <w:rStyle w:val="default"/>
          <w:rFonts w:cs="FrankRuehl" w:hint="cs"/>
          <w:sz w:val="20"/>
          <w:rtl/>
        </w:rPr>
        <w:tab/>
        <w:t>תוספת בעד קוצב מוחי נטען, בלא אלקטרודות, לטיפול בהפרעות תנועה</w:t>
      </w:r>
    </w:p>
    <w:p w:rsidR="00AB728B" w:rsidRPr="00AB728B" w:rsidRDefault="00AB728B" w:rsidP="00AB728B">
      <w:pPr>
        <w:pStyle w:val="P00"/>
        <w:tabs>
          <w:tab w:val="clear" w:pos="624"/>
          <w:tab w:val="clear" w:pos="1021"/>
          <w:tab w:val="clear" w:pos="1474"/>
          <w:tab w:val="clear" w:pos="1928"/>
          <w:tab w:val="clear" w:pos="2381"/>
          <w:tab w:val="clear" w:pos="2835"/>
          <w:tab w:val="clear" w:pos="6259"/>
          <w:tab w:val="center" w:pos="1247"/>
          <w:tab w:val="left" w:pos="1985"/>
        </w:tabs>
        <w:spacing w:before="72"/>
        <w:ind w:left="624" w:right="1134"/>
        <w:rPr>
          <w:rStyle w:val="default"/>
          <w:rFonts w:cs="FrankRuehl" w:hint="cs"/>
          <w:sz w:val="20"/>
          <w:rtl/>
        </w:rPr>
      </w:pPr>
      <w:r>
        <w:rPr>
          <w:rStyle w:val="default"/>
          <w:rFonts w:cs="FrankRuehl" w:hint="cs"/>
          <w:sz w:val="20"/>
          <w:rtl/>
        </w:rPr>
        <w:tab/>
      </w:r>
      <w:r>
        <w:rPr>
          <w:rStyle w:val="default"/>
          <w:rFonts w:cs="FrankRuehl"/>
          <w:sz w:val="20"/>
        </w:rPr>
        <w:t>L0185</w:t>
      </w:r>
      <w:r>
        <w:rPr>
          <w:rStyle w:val="default"/>
          <w:rFonts w:cs="FrankRuehl" w:hint="cs"/>
          <w:sz w:val="20"/>
          <w:rtl/>
        </w:rPr>
        <w:tab/>
        <w:t>תוספת בעד אלקטרודות של קוצב מוחי לטיפול בהפרעות תנועה</w:t>
      </w:r>
    </w:p>
    <w:p w:rsidR="00AB728B" w:rsidRDefault="00AB728B" w:rsidP="00CA2851">
      <w:pPr>
        <w:pStyle w:val="P00"/>
        <w:spacing w:before="72"/>
        <w:ind w:left="0" w:right="1134"/>
        <w:rPr>
          <w:rStyle w:val="default"/>
          <w:rFonts w:cs="FrankRuehl" w:hint="cs"/>
          <w:rtl/>
        </w:rPr>
      </w:pPr>
      <w:bookmarkStart w:id="1" w:name="Seif2"/>
      <w:bookmarkEnd w:id="1"/>
      <w:r>
        <w:rPr>
          <w:rFonts w:cs="Miriam"/>
          <w:lang w:val="he-IL"/>
        </w:rPr>
        <w:pict>
          <v:rect id="_x0000_s1383" style="position:absolute;left:0;text-align:left;margin-left:464.35pt;margin-top:7.1pt;width:75.05pt;height:25.95pt;z-index:251657216" o:allowincell="f" filled="f" stroked="f" strokecolor="lime" strokeweight=".25pt">
            <v:textbox style="mso-next-textbox:#_x0000_s1383" inset="0,0,0,0">
              <w:txbxContent>
                <w:p w:rsidR="00AB728B" w:rsidRDefault="00AB728B" w:rsidP="00CA2851">
                  <w:pPr>
                    <w:spacing w:line="160" w:lineRule="exact"/>
                    <w:rPr>
                      <w:rFonts w:cs="Miriam" w:hint="cs"/>
                      <w:noProof/>
                      <w:sz w:val="18"/>
                      <w:szCs w:val="18"/>
                      <w:rtl/>
                    </w:rPr>
                  </w:pPr>
                  <w:r>
                    <w:rPr>
                      <w:rFonts w:cs="Miriam" w:hint="cs"/>
                      <w:sz w:val="18"/>
                      <w:szCs w:val="18"/>
                      <w:rtl/>
                    </w:rPr>
                    <w:t xml:space="preserve">קביעת </w:t>
                  </w:r>
                  <w:r w:rsidR="00CA2851">
                    <w:rPr>
                      <w:rFonts w:cs="Miriam" w:hint="cs"/>
                      <w:sz w:val="18"/>
                      <w:szCs w:val="18"/>
                      <w:rtl/>
                    </w:rPr>
                    <w:t>סכום ההפחתה לפי סעיף 12ח(א) לחוק</w:t>
                  </w:r>
                </w:p>
              </w:txbxContent>
            </v:textbox>
            <w10:anchorlock/>
          </v:rect>
        </w:pict>
      </w:r>
      <w:r w:rsidR="00CA2851">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בשנת 2013 </w:t>
      </w:r>
      <w:r w:rsidR="00CA2851">
        <w:rPr>
          <w:rStyle w:val="default"/>
          <w:rFonts w:cs="FrankRuehl" w:hint="cs"/>
          <w:rtl/>
        </w:rPr>
        <w:t>יעמוד סכום ההפחתה לשם קביעת תקרת הצריכה הכוללת במחיר מלא לשנה האמורה, על 15.047 מיליון שקלים חדשים.</w:t>
      </w:r>
    </w:p>
    <w:p w:rsidR="00AB728B" w:rsidRDefault="00AB728B" w:rsidP="00CA2851">
      <w:pPr>
        <w:pStyle w:val="P00"/>
        <w:spacing w:before="72"/>
        <w:ind w:left="0" w:right="1134"/>
        <w:rPr>
          <w:rStyle w:val="default"/>
          <w:rFonts w:cs="FrankRuehl" w:hint="cs"/>
          <w:rtl/>
        </w:rPr>
      </w:pPr>
      <w:bookmarkStart w:id="2" w:name="Seif3"/>
      <w:bookmarkEnd w:id="2"/>
      <w:r>
        <w:rPr>
          <w:rFonts w:cs="Miriam"/>
          <w:lang w:val="he-IL"/>
        </w:rPr>
        <w:pict>
          <v:rect id="_x0000_s1384" style="position:absolute;left:0;text-align:left;margin-left:464.35pt;margin-top:7.1pt;width:75.05pt;height:25.95pt;z-index:251658240" o:allowincell="f" filled="f" stroked="f" strokecolor="lime" strokeweight=".25pt">
            <v:textbox style="mso-next-textbox:#_x0000_s1384" inset="0,0,0,0">
              <w:txbxContent>
                <w:p w:rsidR="00AB728B" w:rsidRDefault="00AB728B" w:rsidP="00CA2851">
                  <w:pPr>
                    <w:spacing w:line="160" w:lineRule="exact"/>
                    <w:rPr>
                      <w:rFonts w:cs="Miriam" w:hint="cs"/>
                      <w:noProof/>
                      <w:sz w:val="18"/>
                      <w:szCs w:val="18"/>
                      <w:rtl/>
                    </w:rPr>
                  </w:pPr>
                  <w:r>
                    <w:rPr>
                      <w:rFonts w:cs="Miriam" w:hint="cs"/>
                      <w:sz w:val="18"/>
                      <w:szCs w:val="18"/>
                      <w:rtl/>
                    </w:rPr>
                    <w:t xml:space="preserve">קביעת </w:t>
                  </w:r>
                  <w:r w:rsidR="00CA2851">
                    <w:rPr>
                      <w:rFonts w:cs="Miriam" w:hint="cs"/>
                      <w:sz w:val="18"/>
                      <w:szCs w:val="18"/>
                      <w:rtl/>
                    </w:rPr>
                    <w:t>סכום ההפחתה לפי סעיף 12ח(ב) לחוק</w:t>
                  </w:r>
                </w:p>
              </w:txbxContent>
            </v:textbox>
            <w10:anchorlock/>
          </v:rect>
        </w:pict>
      </w:r>
      <w:r w:rsidR="00CA2851">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בשנת 2013 </w:t>
      </w:r>
      <w:r w:rsidR="00CA2851">
        <w:rPr>
          <w:rStyle w:val="default"/>
          <w:rFonts w:cs="FrankRuehl" w:hint="cs"/>
          <w:rtl/>
        </w:rPr>
        <w:t>יעמדו סכומי ההפחתה לשם קביעת תקרת הצריכה הפרטנית הרגילה במחיר מלא לשנת 2013, על המפורט בטבלה שלהלן (במיליוני שקלים חדשים):</w:t>
      </w:r>
    </w:p>
    <w:p w:rsidR="00CA2851" w:rsidRPr="00D14F93" w:rsidRDefault="00D14F93" w:rsidP="00D14F93">
      <w:pPr>
        <w:pStyle w:val="P00"/>
        <w:pBdr>
          <w:bottom w:val="single" w:sz="4" w:space="1" w:color="auto"/>
        </w:pBdr>
        <w:spacing w:before="72"/>
        <w:ind w:left="0" w:right="1134"/>
        <w:jc w:val="center"/>
        <w:rPr>
          <w:rStyle w:val="default"/>
          <w:rFonts w:cs="FrankRuehl" w:hint="cs"/>
          <w:sz w:val="22"/>
          <w:szCs w:val="22"/>
          <w:rtl/>
        </w:rPr>
      </w:pPr>
      <w:r w:rsidRPr="00D14F93">
        <w:rPr>
          <w:rStyle w:val="default"/>
          <w:rFonts w:cs="FrankRuehl" w:hint="cs"/>
          <w:sz w:val="22"/>
          <w:szCs w:val="22"/>
          <w:rtl/>
        </w:rPr>
        <w:t>סכומי ההפחתה מתקרת הצריכה הפרטנית הרגילה במחיר מלא לשנת 2013 (במחירי 2012)</w:t>
      </w:r>
    </w:p>
    <w:p w:rsidR="00D14F93" w:rsidRPr="00D14F93" w:rsidRDefault="00D14F93" w:rsidP="00D14F93">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D14F93">
        <w:rPr>
          <w:rStyle w:val="default"/>
          <w:rFonts w:cs="FrankRuehl" w:hint="cs"/>
          <w:sz w:val="22"/>
          <w:szCs w:val="22"/>
          <w:rtl/>
        </w:rPr>
        <w:tab/>
        <w:t>קופת חולים</w:t>
      </w:r>
    </w:p>
    <w:p w:rsidR="00D14F93" w:rsidRPr="00D14F93" w:rsidRDefault="00D14F93" w:rsidP="00D14F93">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1134"/>
          <w:tab w:val="center" w:pos="2977"/>
          <w:tab w:val="center" w:pos="4394"/>
          <w:tab w:val="center" w:pos="5812"/>
          <w:tab w:val="center" w:pos="7229"/>
        </w:tabs>
        <w:spacing w:before="72"/>
        <w:ind w:left="0" w:right="1134"/>
        <w:rPr>
          <w:rStyle w:val="default"/>
          <w:rFonts w:cs="FrankRuehl" w:hint="cs"/>
          <w:sz w:val="22"/>
          <w:szCs w:val="22"/>
          <w:rtl/>
        </w:rPr>
      </w:pPr>
      <w:r w:rsidRPr="00D14F93">
        <w:rPr>
          <w:rStyle w:val="default"/>
          <w:rFonts w:cs="FrankRuehl" w:hint="cs"/>
          <w:sz w:val="22"/>
          <w:szCs w:val="22"/>
          <w:rtl/>
        </w:rPr>
        <w:tab/>
        <w:t xml:space="preserve">בית החולים </w:t>
      </w:r>
      <w:r w:rsidRPr="00D14F93">
        <w:rPr>
          <w:rStyle w:val="default"/>
          <w:rFonts w:cs="FrankRuehl" w:hint="cs"/>
          <w:sz w:val="22"/>
          <w:szCs w:val="22"/>
          <w:rtl/>
        </w:rPr>
        <w:tab/>
        <w:t xml:space="preserve">כללית </w:t>
      </w:r>
      <w:r w:rsidRPr="00D14F93">
        <w:rPr>
          <w:rStyle w:val="default"/>
          <w:rFonts w:cs="FrankRuehl" w:hint="cs"/>
          <w:sz w:val="22"/>
          <w:szCs w:val="22"/>
          <w:rtl/>
        </w:rPr>
        <w:tab/>
        <w:t>מכבי</w:t>
      </w:r>
      <w:r w:rsidRPr="00D14F93">
        <w:rPr>
          <w:rStyle w:val="default"/>
          <w:rFonts w:cs="FrankRuehl" w:hint="cs"/>
          <w:sz w:val="22"/>
          <w:szCs w:val="22"/>
          <w:rtl/>
        </w:rPr>
        <w:tab/>
        <w:t>לאומית</w:t>
      </w:r>
      <w:r w:rsidRPr="00D14F93">
        <w:rPr>
          <w:rStyle w:val="default"/>
          <w:rFonts w:cs="FrankRuehl" w:hint="cs"/>
          <w:sz w:val="22"/>
          <w:szCs w:val="22"/>
          <w:rtl/>
        </w:rPr>
        <w:tab/>
        <w:t>מאוחדת</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שיבא</w:t>
      </w:r>
      <w:r>
        <w:rPr>
          <w:rStyle w:val="default"/>
          <w:rFonts w:cs="FrankRuehl" w:hint="cs"/>
          <w:rtl/>
        </w:rPr>
        <w:tab/>
        <w:t>0.851</w:t>
      </w:r>
      <w:r>
        <w:rPr>
          <w:rStyle w:val="default"/>
          <w:rFonts w:cs="FrankRuehl" w:hint="cs"/>
          <w:rtl/>
        </w:rPr>
        <w:tab/>
        <w:t>0.418</w:t>
      </w:r>
      <w:r>
        <w:rPr>
          <w:rStyle w:val="default"/>
          <w:rFonts w:cs="FrankRuehl" w:hint="cs"/>
          <w:rtl/>
        </w:rPr>
        <w:tab/>
        <w:t>0.064</w:t>
      </w:r>
      <w:r>
        <w:rPr>
          <w:rStyle w:val="default"/>
          <w:rFonts w:cs="FrankRuehl" w:hint="cs"/>
          <w:rtl/>
        </w:rPr>
        <w:tab/>
        <w:t>0.361</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רמב"ם</w:t>
      </w:r>
      <w:r>
        <w:rPr>
          <w:rStyle w:val="default"/>
          <w:rFonts w:cs="FrankRuehl" w:hint="cs"/>
          <w:rtl/>
        </w:rPr>
        <w:tab/>
        <w:t>1.441</w:t>
      </w:r>
      <w:r>
        <w:rPr>
          <w:rStyle w:val="default"/>
          <w:rFonts w:cs="FrankRuehl" w:hint="cs"/>
          <w:rtl/>
        </w:rPr>
        <w:tab/>
        <w:t>0.064</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איכילוב</w:t>
      </w:r>
      <w:r>
        <w:rPr>
          <w:rStyle w:val="default"/>
          <w:rFonts w:cs="FrankRuehl" w:hint="cs"/>
          <w:rtl/>
        </w:rPr>
        <w:tab/>
        <w:t>2.117</w:t>
      </w:r>
      <w:r>
        <w:rPr>
          <w:rStyle w:val="default"/>
          <w:rFonts w:cs="FrankRuehl" w:hint="cs"/>
          <w:rtl/>
        </w:rPr>
        <w:tab/>
        <w:t>1.420</w:t>
      </w:r>
      <w:r>
        <w:rPr>
          <w:rStyle w:val="default"/>
          <w:rFonts w:cs="FrankRuehl" w:hint="cs"/>
          <w:rtl/>
        </w:rPr>
        <w:tab/>
        <w:t>0.712</w:t>
      </w:r>
      <w:r>
        <w:rPr>
          <w:rStyle w:val="default"/>
          <w:rFonts w:cs="FrankRuehl" w:hint="cs"/>
          <w:rtl/>
        </w:rPr>
        <w:tab/>
        <w:t>0.812</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אסף הרופא</w:t>
      </w:r>
      <w:r>
        <w:rPr>
          <w:rStyle w:val="default"/>
          <w:rFonts w:cs="FrankRuehl" w:hint="cs"/>
          <w:rtl/>
        </w:rPr>
        <w:tab/>
        <w:t>0.127</w:t>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וולפסון</w:t>
      </w:r>
      <w:r>
        <w:rPr>
          <w:rStyle w:val="default"/>
          <w:rFonts w:cs="FrankRuehl" w:hint="cs"/>
          <w:rtl/>
        </w:rPr>
        <w:tab/>
        <w:t>0.085</w:t>
      </w:r>
      <w:r>
        <w:rPr>
          <w:rStyle w:val="default"/>
          <w:rFonts w:cs="FrankRuehl" w:hint="cs"/>
          <w:rtl/>
        </w:rPr>
        <w:tab/>
        <w:t>0.107</w:t>
      </w:r>
      <w:r>
        <w:rPr>
          <w:rStyle w:val="default"/>
          <w:rFonts w:cs="FrankRuehl" w:hint="cs"/>
          <w:rtl/>
        </w:rPr>
        <w:tab/>
        <w:t>0.000</w:t>
      </w:r>
      <w:r>
        <w:rPr>
          <w:rStyle w:val="default"/>
          <w:rFonts w:cs="FrankRuehl" w:hint="cs"/>
          <w:rtl/>
        </w:rPr>
        <w:tab/>
        <w:t>0.042</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נהריה</w:t>
      </w:r>
      <w:r>
        <w:rPr>
          <w:rStyle w:val="default"/>
          <w:rFonts w:cs="FrankRuehl" w:hint="cs"/>
          <w:rtl/>
        </w:rPr>
        <w:tab/>
        <w:t>0.000</w:t>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ברזילי</w:t>
      </w:r>
      <w:r>
        <w:rPr>
          <w:rStyle w:val="default"/>
          <w:rFonts w:cs="FrankRuehl" w:hint="cs"/>
          <w:rtl/>
        </w:rPr>
        <w:tab/>
        <w:t>0.000</w:t>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הלל יפה</w:t>
      </w:r>
      <w:r>
        <w:rPr>
          <w:rStyle w:val="default"/>
          <w:rFonts w:cs="FrankRuehl" w:hint="cs"/>
          <w:rtl/>
        </w:rPr>
        <w:tab/>
        <w:t>0.000</w:t>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בני ציון</w:t>
      </w:r>
      <w:r>
        <w:rPr>
          <w:rStyle w:val="default"/>
          <w:rFonts w:cs="FrankRuehl" w:hint="cs"/>
          <w:rtl/>
        </w:rPr>
        <w:tab/>
        <w:t>0.178</w:t>
      </w:r>
      <w:r>
        <w:rPr>
          <w:rStyle w:val="default"/>
          <w:rFonts w:cs="FrankRuehl" w:hint="cs"/>
          <w:rtl/>
        </w:rPr>
        <w:tab/>
        <w:t>0.000</w:t>
      </w:r>
      <w:r>
        <w:rPr>
          <w:rStyle w:val="default"/>
          <w:rFonts w:cs="FrankRuehl" w:hint="cs"/>
          <w:rtl/>
        </w:rPr>
        <w:tab/>
        <w:t>0.042</w:t>
      </w:r>
      <w:r>
        <w:rPr>
          <w:rStyle w:val="default"/>
          <w:rFonts w:cs="FrankRuehl" w:hint="cs"/>
          <w:rtl/>
        </w:rPr>
        <w:tab/>
        <w:t>0.130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lastRenderedPageBreak/>
        <w:t>זיו</w:t>
      </w:r>
      <w:r>
        <w:rPr>
          <w:rStyle w:val="default"/>
          <w:rFonts w:cs="FrankRuehl" w:hint="cs"/>
          <w:rtl/>
        </w:rPr>
        <w:tab/>
        <w:t>0.000</w:t>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פוריה</w:t>
      </w:r>
      <w:r>
        <w:rPr>
          <w:rStyle w:val="default"/>
          <w:rFonts w:cs="FrankRuehl" w:hint="cs"/>
          <w:rtl/>
        </w:rPr>
        <w:tab/>
        <w:t>0.000</w:t>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הדסה</w:t>
      </w:r>
      <w:r>
        <w:rPr>
          <w:rStyle w:val="default"/>
          <w:rFonts w:cs="FrankRuehl" w:hint="cs"/>
          <w:rtl/>
        </w:rPr>
        <w:tab/>
        <w:t>2.535</w:t>
      </w:r>
      <w:r>
        <w:rPr>
          <w:rStyle w:val="default"/>
          <w:rFonts w:cs="FrankRuehl" w:hint="cs"/>
          <w:rtl/>
        </w:rPr>
        <w:tab/>
        <w:t>1.825</w:t>
      </w:r>
      <w:r>
        <w:rPr>
          <w:rStyle w:val="default"/>
          <w:rFonts w:cs="FrankRuehl" w:hint="cs"/>
          <w:rtl/>
        </w:rPr>
        <w:tab/>
        <w:t>0.255</w:t>
      </w:r>
      <w:r>
        <w:rPr>
          <w:rStyle w:val="default"/>
          <w:rFonts w:cs="FrankRuehl" w:hint="cs"/>
          <w:rtl/>
        </w:rPr>
        <w:tab/>
        <w:t>0.789</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שערי צדק</w:t>
      </w:r>
      <w:r>
        <w:rPr>
          <w:rStyle w:val="default"/>
          <w:rFonts w:cs="FrankRuehl" w:hint="cs"/>
          <w:rtl/>
        </w:rPr>
        <w:tab/>
        <w:t>0.095</w:t>
      </w:r>
      <w:r>
        <w:rPr>
          <w:rStyle w:val="default"/>
          <w:rFonts w:cs="FrankRuehl" w:hint="cs"/>
          <w:rtl/>
        </w:rPr>
        <w:tab/>
        <w:t>0.000</w:t>
      </w:r>
      <w:r>
        <w:rPr>
          <w:rStyle w:val="default"/>
          <w:rFonts w:cs="FrankRuehl" w:hint="cs"/>
          <w:rtl/>
        </w:rPr>
        <w:tab/>
        <w:t>0.000</w:t>
      </w:r>
      <w:r>
        <w:rPr>
          <w:rStyle w:val="default"/>
          <w:rFonts w:cs="FrankRuehl" w:hint="cs"/>
          <w:rtl/>
        </w:rPr>
        <w:tab/>
        <w:t>0.180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לניאדו</w:t>
      </w:r>
      <w:r>
        <w:rPr>
          <w:rStyle w:val="default"/>
          <w:rFonts w:cs="FrankRuehl" w:hint="cs"/>
          <w:rtl/>
        </w:rPr>
        <w:tab/>
        <w:t>0.000</w:t>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הסקוטי</w:t>
      </w:r>
      <w:r>
        <w:rPr>
          <w:rStyle w:val="default"/>
          <w:rFonts w:cs="FrankRuehl" w:hint="cs"/>
          <w:rtl/>
        </w:rPr>
        <w:tab/>
        <w:t>0.000</w:t>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הצרפתי</w:t>
      </w:r>
      <w:r>
        <w:rPr>
          <w:rStyle w:val="default"/>
          <w:rFonts w:cs="FrankRuehl" w:hint="cs"/>
          <w:rtl/>
        </w:rPr>
        <w:tab/>
        <w:t>0.000</w:t>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המשפחה הקדושה</w:t>
      </w:r>
      <w:r>
        <w:rPr>
          <w:rStyle w:val="default"/>
          <w:rFonts w:cs="FrankRuehl" w:hint="cs"/>
          <w:rtl/>
        </w:rPr>
        <w:tab/>
        <w:t>0.000</w:t>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בלינסון</w:t>
      </w:r>
      <w:r>
        <w:rPr>
          <w:rStyle w:val="default"/>
          <w:rFonts w:cs="FrankRuehl" w:hint="cs"/>
          <w:rtl/>
        </w:rPr>
        <w:tab/>
      </w:r>
      <w:r>
        <w:rPr>
          <w:rStyle w:val="default"/>
          <w:rFonts w:cs="FrankRuehl" w:hint="cs"/>
          <w:rtl/>
        </w:rPr>
        <w:tab/>
        <w:t>0.000</w:t>
      </w:r>
      <w:r>
        <w:rPr>
          <w:rStyle w:val="default"/>
          <w:rFonts w:cs="FrankRuehl" w:hint="cs"/>
          <w:rtl/>
        </w:rPr>
        <w:tab/>
        <w:t>0.132</w:t>
      </w:r>
      <w:r>
        <w:rPr>
          <w:rStyle w:val="default"/>
          <w:rFonts w:cs="FrankRuehl" w:hint="cs"/>
          <w:rtl/>
        </w:rPr>
        <w:tab/>
        <w:t>0.132</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שניידר</w:t>
      </w:r>
      <w:r>
        <w:rPr>
          <w:rStyle w:val="default"/>
          <w:rFonts w:cs="FrankRuehl" w:hint="cs"/>
          <w:rtl/>
        </w:rPr>
        <w:tab/>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מאיר</w:t>
      </w:r>
      <w:r>
        <w:rPr>
          <w:rStyle w:val="default"/>
          <w:rFonts w:cs="FrankRuehl" w:hint="cs"/>
          <w:rtl/>
        </w:rPr>
        <w:tab/>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קפלן</w:t>
      </w:r>
      <w:r>
        <w:rPr>
          <w:rStyle w:val="default"/>
          <w:rFonts w:cs="FrankRuehl" w:hint="cs"/>
          <w:rtl/>
        </w:rPr>
        <w:tab/>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כרמל</w:t>
      </w:r>
      <w:r>
        <w:rPr>
          <w:rStyle w:val="default"/>
          <w:rFonts w:cs="FrankRuehl" w:hint="cs"/>
          <w:rtl/>
        </w:rPr>
        <w:tab/>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העמק</w:t>
      </w:r>
      <w:r>
        <w:rPr>
          <w:rStyle w:val="default"/>
          <w:rFonts w:cs="FrankRuehl" w:hint="cs"/>
          <w:rtl/>
        </w:rPr>
        <w:tab/>
      </w:r>
      <w:r>
        <w:rPr>
          <w:rStyle w:val="default"/>
          <w:rFonts w:cs="FrankRuehl" w:hint="cs"/>
          <w:rtl/>
        </w:rPr>
        <w:tab/>
        <w:t>0.000</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סורוקה</w:t>
      </w:r>
      <w:r>
        <w:rPr>
          <w:rStyle w:val="default"/>
          <w:rFonts w:cs="FrankRuehl" w:hint="cs"/>
          <w:rtl/>
        </w:rPr>
        <w:tab/>
      </w:r>
      <w:r>
        <w:rPr>
          <w:rStyle w:val="default"/>
          <w:rFonts w:cs="FrankRuehl" w:hint="cs"/>
          <w:rtl/>
        </w:rPr>
        <w:tab/>
        <w:t>0.132</w:t>
      </w:r>
      <w:r>
        <w:rPr>
          <w:rStyle w:val="default"/>
          <w:rFonts w:cs="FrankRuehl" w:hint="cs"/>
          <w:rtl/>
        </w:rPr>
        <w:tab/>
        <w:t>0.000</w:t>
      </w:r>
      <w:r>
        <w:rPr>
          <w:rStyle w:val="default"/>
          <w:rFonts w:cs="FrankRuehl" w:hint="cs"/>
          <w:rtl/>
        </w:rPr>
        <w:tab/>
        <w:t>0.000</w:t>
      </w:r>
    </w:p>
    <w:p w:rsidR="00D14F93" w:rsidRDefault="00D14F93" w:rsidP="00D14F93">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יוספטל</w:t>
      </w:r>
      <w:r>
        <w:rPr>
          <w:rStyle w:val="default"/>
          <w:rFonts w:cs="FrankRuehl" w:hint="cs"/>
          <w:rtl/>
        </w:rPr>
        <w:tab/>
      </w:r>
      <w:r>
        <w:rPr>
          <w:rStyle w:val="default"/>
          <w:rFonts w:cs="FrankRuehl" w:hint="cs"/>
          <w:rtl/>
        </w:rPr>
        <w:tab/>
        <w:t>0.000</w:t>
      </w:r>
      <w:r>
        <w:rPr>
          <w:rStyle w:val="default"/>
          <w:rFonts w:cs="FrankRuehl" w:hint="cs"/>
          <w:rtl/>
        </w:rPr>
        <w:tab/>
        <w:t>0.000</w:t>
      </w:r>
      <w:r>
        <w:rPr>
          <w:rStyle w:val="default"/>
          <w:rFonts w:cs="FrankRuehl" w:hint="cs"/>
          <w:rtl/>
        </w:rPr>
        <w:tab/>
        <w:t>0.000</w:t>
      </w:r>
    </w:p>
    <w:p w:rsidR="00AB728B" w:rsidRDefault="00AB728B" w:rsidP="00831F76">
      <w:pPr>
        <w:pStyle w:val="P00"/>
        <w:spacing w:before="72"/>
        <w:ind w:left="0" w:right="1134"/>
        <w:rPr>
          <w:rStyle w:val="default"/>
          <w:rFonts w:cs="FrankRuehl" w:hint="cs"/>
          <w:rtl/>
        </w:rPr>
      </w:pPr>
      <w:bookmarkStart w:id="3" w:name="Seif4"/>
      <w:bookmarkEnd w:id="3"/>
      <w:r>
        <w:rPr>
          <w:rFonts w:cs="Miriam"/>
          <w:lang w:val="he-IL"/>
        </w:rPr>
        <w:pict>
          <v:rect id="_x0000_s1385" style="position:absolute;left:0;text-align:left;margin-left:464.35pt;margin-top:7.1pt;width:75.05pt;height:12.3pt;z-index:251659264" o:allowincell="f" filled="f" stroked="f" strokecolor="lime" strokeweight=".25pt">
            <v:textbox style="mso-next-textbox:#_x0000_s1385" inset="0,0,0,0">
              <w:txbxContent>
                <w:p w:rsidR="00AB728B" w:rsidRDefault="00831F76" w:rsidP="00AB728B">
                  <w:pPr>
                    <w:spacing w:line="160" w:lineRule="exact"/>
                    <w:rPr>
                      <w:rFonts w:cs="Miriam" w:hint="cs"/>
                      <w:noProof/>
                      <w:sz w:val="18"/>
                      <w:szCs w:val="18"/>
                      <w:rtl/>
                    </w:rPr>
                  </w:pPr>
                  <w:r>
                    <w:rPr>
                      <w:rFonts w:cs="Miriam" w:hint="cs"/>
                      <w:sz w:val="18"/>
                      <w:szCs w:val="18"/>
                      <w:rtl/>
                    </w:rPr>
                    <w:t>הוראת מעבר</w:t>
                  </w:r>
                </w:p>
              </w:txbxContent>
            </v:textbox>
            <w10:anchorlock/>
          </v:rect>
        </w:pict>
      </w:r>
      <w:r w:rsidR="00D14F93">
        <w:rPr>
          <w:rStyle w:val="big-number"/>
          <w:rFonts w:cs="Miriam" w:hint="cs"/>
          <w:rtl/>
        </w:rPr>
        <w:t>4</w:t>
      </w:r>
      <w:r>
        <w:rPr>
          <w:rStyle w:val="big-number"/>
          <w:rFonts w:cs="FrankRuehl"/>
          <w:sz w:val="26"/>
          <w:szCs w:val="26"/>
          <w:rtl/>
        </w:rPr>
        <w:t>.</w:t>
      </w:r>
      <w:r>
        <w:rPr>
          <w:rStyle w:val="big-number"/>
          <w:rFonts w:cs="FrankRuehl"/>
          <w:sz w:val="26"/>
          <w:szCs w:val="26"/>
          <w:rtl/>
        </w:rPr>
        <w:tab/>
      </w:r>
      <w:r w:rsidR="00831F76">
        <w:rPr>
          <w:rStyle w:val="default"/>
          <w:rFonts w:cs="FrankRuehl" w:hint="cs"/>
          <w:rtl/>
        </w:rPr>
        <w:t>על אף האמור בצו זה, לעניין ההתחשבנות בשנת 2013 עד למועד החתימה על צו זה, ההחרגה של השירותים המופיעים בטור א' בטבלה שלהלן היא לפי השיעור המפורט באחוזים בטור ג' בטבלה שלהלן והמבטא את שיעור מחיר האבזר ממחיר השירות לפני ההחרגה כמפורט בשקלים חדשים בטור ב' בטבלה שלהלן</w:t>
      </w:r>
      <w:r>
        <w:rPr>
          <w:rStyle w:val="default"/>
          <w:rFonts w:cs="FrankRuehl" w:hint="cs"/>
          <w:rtl/>
        </w:rPr>
        <w:t>:</w:t>
      </w:r>
    </w:p>
    <w:p w:rsidR="00831F76" w:rsidRPr="00E46620" w:rsidRDefault="00E46620" w:rsidP="00E46620">
      <w:pPr>
        <w:pStyle w:val="P00"/>
        <w:tabs>
          <w:tab w:val="clear" w:pos="624"/>
          <w:tab w:val="clear" w:pos="1021"/>
          <w:tab w:val="clear" w:pos="1474"/>
          <w:tab w:val="clear" w:pos="1928"/>
          <w:tab w:val="clear" w:pos="2381"/>
          <w:tab w:val="clear" w:pos="2835"/>
          <w:tab w:val="clear" w:pos="6259"/>
          <w:tab w:val="center" w:pos="567"/>
          <w:tab w:val="center" w:pos="3119"/>
          <w:tab w:val="center" w:pos="5670"/>
          <w:tab w:val="center" w:pos="7088"/>
        </w:tabs>
        <w:spacing w:before="72"/>
        <w:ind w:left="0" w:right="1134"/>
        <w:rPr>
          <w:rStyle w:val="default"/>
          <w:rFonts w:cs="FrankRuehl" w:hint="cs"/>
          <w:sz w:val="22"/>
          <w:szCs w:val="22"/>
          <w:rtl/>
        </w:rPr>
      </w:pPr>
      <w:r w:rsidRPr="00E46620">
        <w:rPr>
          <w:rStyle w:val="default"/>
          <w:rFonts w:cs="FrankRuehl" w:hint="cs"/>
          <w:sz w:val="22"/>
          <w:szCs w:val="22"/>
          <w:rtl/>
        </w:rPr>
        <w:tab/>
      </w:r>
      <w:r w:rsidRPr="00E46620">
        <w:rPr>
          <w:rStyle w:val="default"/>
          <w:rFonts w:cs="FrankRuehl" w:hint="cs"/>
          <w:sz w:val="22"/>
          <w:szCs w:val="22"/>
          <w:rtl/>
        </w:rPr>
        <w:tab/>
      </w:r>
      <w:r w:rsidRPr="00E46620">
        <w:rPr>
          <w:rStyle w:val="default"/>
          <w:rFonts w:cs="FrankRuehl" w:hint="cs"/>
          <w:sz w:val="22"/>
          <w:szCs w:val="22"/>
          <w:rtl/>
        </w:rPr>
        <w:tab/>
        <w:t>טור ב'</w:t>
      </w:r>
      <w:r w:rsidRPr="00E46620">
        <w:rPr>
          <w:rStyle w:val="default"/>
          <w:rFonts w:cs="FrankRuehl" w:hint="cs"/>
          <w:sz w:val="22"/>
          <w:szCs w:val="22"/>
          <w:rtl/>
        </w:rPr>
        <w:tab/>
        <w:t>טור ג'</w:t>
      </w:r>
    </w:p>
    <w:p w:rsidR="00E46620" w:rsidRPr="00E46620" w:rsidRDefault="00E46620" w:rsidP="00E46620">
      <w:pPr>
        <w:pStyle w:val="P00"/>
        <w:tabs>
          <w:tab w:val="clear" w:pos="624"/>
          <w:tab w:val="clear" w:pos="1021"/>
          <w:tab w:val="clear" w:pos="1474"/>
          <w:tab w:val="clear" w:pos="1928"/>
          <w:tab w:val="clear" w:pos="2381"/>
          <w:tab w:val="clear" w:pos="2835"/>
          <w:tab w:val="clear" w:pos="6259"/>
          <w:tab w:val="center" w:pos="567"/>
          <w:tab w:val="center" w:pos="3119"/>
          <w:tab w:val="center" w:pos="5670"/>
          <w:tab w:val="center" w:pos="7088"/>
        </w:tabs>
        <w:spacing w:before="0"/>
        <w:ind w:left="0" w:right="1134"/>
        <w:rPr>
          <w:rStyle w:val="default"/>
          <w:rFonts w:cs="FrankRuehl" w:hint="cs"/>
          <w:sz w:val="22"/>
          <w:szCs w:val="22"/>
          <w:rtl/>
        </w:rPr>
      </w:pPr>
      <w:r w:rsidRPr="00E46620">
        <w:rPr>
          <w:rStyle w:val="default"/>
          <w:rFonts w:cs="FrankRuehl" w:hint="cs"/>
          <w:sz w:val="22"/>
          <w:szCs w:val="22"/>
          <w:rtl/>
        </w:rPr>
        <w:tab/>
      </w:r>
      <w:r w:rsidRPr="00E46620">
        <w:rPr>
          <w:rStyle w:val="default"/>
          <w:rFonts w:cs="FrankRuehl" w:hint="cs"/>
          <w:sz w:val="22"/>
          <w:szCs w:val="22"/>
          <w:rtl/>
        </w:rPr>
        <w:tab/>
      </w:r>
      <w:r w:rsidRPr="00E46620">
        <w:rPr>
          <w:rStyle w:val="default"/>
          <w:rFonts w:cs="FrankRuehl" w:hint="cs"/>
          <w:sz w:val="22"/>
          <w:szCs w:val="22"/>
          <w:rtl/>
        </w:rPr>
        <w:tab/>
        <w:t>מחיר</w:t>
      </w:r>
      <w:r w:rsidRPr="00E46620">
        <w:rPr>
          <w:rStyle w:val="default"/>
          <w:rFonts w:cs="FrankRuehl" w:hint="cs"/>
          <w:sz w:val="22"/>
          <w:szCs w:val="22"/>
          <w:rtl/>
        </w:rPr>
        <w:tab/>
        <w:t>שיעור באחוזים</w:t>
      </w:r>
    </w:p>
    <w:p w:rsidR="00E46620" w:rsidRPr="00E46620" w:rsidRDefault="00E46620" w:rsidP="00E46620">
      <w:pPr>
        <w:pStyle w:val="P00"/>
        <w:tabs>
          <w:tab w:val="clear" w:pos="624"/>
          <w:tab w:val="clear" w:pos="1021"/>
          <w:tab w:val="clear" w:pos="1474"/>
          <w:tab w:val="clear" w:pos="1928"/>
          <w:tab w:val="clear" w:pos="2381"/>
          <w:tab w:val="clear" w:pos="2835"/>
          <w:tab w:val="clear" w:pos="6259"/>
          <w:tab w:val="center" w:pos="567"/>
          <w:tab w:val="center" w:pos="3119"/>
          <w:tab w:val="center" w:pos="5670"/>
          <w:tab w:val="center" w:pos="7088"/>
        </w:tabs>
        <w:spacing w:before="0"/>
        <w:ind w:left="0" w:right="1134"/>
        <w:rPr>
          <w:rStyle w:val="default"/>
          <w:rFonts w:cs="FrankRuehl" w:hint="cs"/>
          <w:sz w:val="22"/>
          <w:szCs w:val="22"/>
          <w:rtl/>
        </w:rPr>
      </w:pPr>
      <w:r w:rsidRPr="00E46620">
        <w:rPr>
          <w:rStyle w:val="default"/>
          <w:rFonts w:cs="FrankRuehl" w:hint="cs"/>
          <w:sz w:val="22"/>
          <w:szCs w:val="22"/>
          <w:rtl/>
        </w:rPr>
        <w:tab/>
      </w:r>
      <w:r w:rsidRPr="00E46620">
        <w:rPr>
          <w:rStyle w:val="default"/>
          <w:rFonts w:cs="FrankRuehl" w:hint="cs"/>
          <w:sz w:val="22"/>
          <w:szCs w:val="22"/>
          <w:rtl/>
        </w:rPr>
        <w:tab/>
      </w:r>
      <w:r w:rsidRPr="00E46620">
        <w:rPr>
          <w:rStyle w:val="default"/>
          <w:rFonts w:cs="FrankRuehl" w:hint="cs"/>
          <w:sz w:val="22"/>
          <w:szCs w:val="22"/>
          <w:rtl/>
        </w:rPr>
        <w:tab/>
        <w:t>בשקלים חדשים</w:t>
      </w:r>
      <w:r w:rsidRPr="00E46620">
        <w:rPr>
          <w:rStyle w:val="default"/>
          <w:rFonts w:cs="FrankRuehl" w:hint="cs"/>
          <w:sz w:val="22"/>
          <w:szCs w:val="22"/>
          <w:rtl/>
        </w:rPr>
        <w:tab/>
        <w:t>של מחיר האבזר</w:t>
      </w:r>
    </w:p>
    <w:p w:rsidR="00E46620" w:rsidRPr="00E46620" w:rsidRDefault="00E46620" w:rsidP="00E46620">
      <w:pPr>
        <w:pStyle w:val="P00"/>
        <w:tabs>
          <w:tab w:val="clear" w:pos="624"/>
          <w:tab w:val="clear" w:pos="1021"/>
          <w:tab w:val="clear" w:pos="1474"/>
          <w:tab w:val="clear" w:pos="1928"/>
          <w:tab w:val="clear" w:pos="2381"/>
          <w:tab w:val="clear" w:pos="2835"/>
          <w:tab w:val="clear" w:pos="6259"/>
          <w:tab w:val="center" w:pos="567"/>
          <w:tab w:val="center" w:pos="3119"/>
          <w:tab w:val="center" w:pos="5670"/>
          <w:tab w:val="center" w:pos="7088"/>
        </w:tabs>
        <w:spacing w:before="0"/>
        <w:ind w:left="0" w:right="1134"/>
        <w:rPr>
          <w:rStyle w:val="default"/>
          <w:rFonts w:cs="FrankRuehl" w:hint="cs"/>
          <w:sz w:val="22"/>
          <w:szCs w:val="22"/>
          <w:rtl/>
        </w:rPr>
      </w:pPr>
      <w:r w:rsidRPr="00E46620">
        <w:rPr>
          <w:rStyle w:val="default"/>
          <w:rFonts w:cs="FrankRuehl" w:hint="cs"/>
          <w:sz w:val="22"/>
          <w:szCs w:val="22"/>
          <w:rtl/>
        </w:rPr>
        <w:tab/>
      </w:r>
      <w:r w:rsidRPr="00E46620">
        <w:rPr>
          <w:rStyle w:val="default"/>
          <w:rFonts w:cs="FrankRuehl" w:hint="cs"/>
          <w:sz w:val="22"/>
          <w:szCs w:val="22"/>
          <w:rtl/>
        </w:rPr>
        <w:tab/>
        <w:t>טור א'</w:t>
      </w:r>
      <w:r w:rsidRPr="00E46620">
        <w:rPr>
          <w:rStyle w:val="default"/>
          <w:rFonts w:cs="FrankRuehl" w:hint="cs"/>
          <w:sz w:val="22"/>
          <w:szCs w:val="22"/>
          <w:rtl/>
        </w:rPr>
        <w:tab/>
        <w:t>של השירות לפני</w:t>
      </w:r>
      <w:r w:rsidRPr="00E46620">
        <w:rPr>
          <w:rStyle w:val="default"/>
          <w:rFonts w:cs="FrankRuehl" w:hint="cs"/>
          <w:sz w:val="22"/>
          <w:szCs w:val="22"/>
          <w:rtl/>
        </w:rPr>
        <w:tab/>
        <w:t>ממחיר השירות לפני</w:t>
      </w:r>
    </w:p>
    <w:p w:rsidR="00E46620" w:rsidRPr="00E46620" w:rsidRDefault="00E46620" w:rsidP="00E46620">
      <w:pPr>
        <w:pStyle w:val="P00"/>
        <w:pBdr>
          <w:bottom w:val="single" w:sz="4" w:space="1" w:color="auto"/>
        </w:pBdr>
        <w:tabs>
          <w:tab w:val="clear" w:pos="624"/>
          <w:tab w:val="clear" w:pos="1021"/>
          <w:tab w:val="clear" w:pos="1474"/>
          <w:tab w:val="clear" w:pos="1928"/>
          <w:tab w:val="clear" w:pos="2381"/>
          <w:tab w:val="clear" w:pos="2835"/>
          <w:tab w:val="clear" w:pos="6259"/>
          <w:tab w:val="center" w:pos="567"/>
          <w:tab w:val="center" w:pos="3119"/>
          <w:tab w:val="center" w:pos="5670"/>
          <w:tab w:val="center" w:pos="7088"/>
        </w:tabs>
        <w:spacing w:before="0"/>
        <w:ind w:left="0" w:right="1134"/>
        <w:rPr>
          <w:rStyle w:val="default"/>
          <w:rFonts w:cs="FrankRuehl" w:hint="cs"/>
          <w:sz w:val="22"/>
          <w:szCs w:val="22"/>
          <w:rtl/>
        </w:rPr>
      </w:pPr>
      <w:r w:rsidRPr="00E46620">
        <w:rPr>
          <w:rStyle w:val="default"/>
          <w:rFonts w:cs="FrankRuehl" w:hint="cs"/>
          <w:sz w:val="22"/>
          <w:szCs w:val="22"/>
          <w:rtl/>
        </w:rPr>
        <w:tab/>
        <w:t>קוד</w:t>
      </w:r>
      <w:r w:rsidRPr="00E46620">
        <w:rPr>
          <w:rStyle w:val="default"/>
          <w:rFonts w:cs="FrankRuehl" w:hint="cs"/>
          <w:sz w:val="22"/>
          <w:szCs w:val="22"/>
          <w:rtl/>
        </w:rPr>
        <w:tab/>
        <w:t>שם השירות</w:t>
      </w:r>
      <w:r w:rsidRPr="00E46620">
        <w:rPr>
          <w:rStyle w:val="default"/>
          <w:rFonts w:cs="FrankRuehl" w:hint="cs"/>
          <w:sz w:val="22"/>
          <w:szCs w:val="22"/>
          <w:rtl/>
        </w:rPr>
        <w:tab/>
        <w:t>ההחרגה</w:t>
      </w:r>
      <w:r w:rsidRPr="00E46620">
        <w:rPr>
          <w:rStyle w:val="default"/>
          <w:rFonts w:cs="FrankRuehl" w:hint="cs"/>
          <w:sz w:val="22"/>
          <w:szCs w:val="22"/>
          <w:rtl/>
        </w:rPr>
        <w:tab/>
        <w:t>ההחרגה</w:t>
      </w:r>
    </w:p>
    <w:p w:rsid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72"/>
        <w:ind w:left="0" w:right="1134"/>
        <w:rPr>
          <w:rStyle w:val="default"/>
          <w:rFonts w:cs="FrankRuehl" w:hint="cs"/>
          <w:sz w:val="20"/>
          <w:rtl/>
        </w:rPr>
      </w:pPr>
      <w:r w:rsidRPr="00E46620">
        <w:rPr>
          <w:rStyle w:val="default"/>
          <w:rFonts w:cs="FrankRuehl"/>
          <w:sz w:val="20"/>
        </w:rPr>
        <w:t>L9637</w:t>
      </w:r>
      <w:r w:rsidRPr="00E46620">
        <w:rPr>
          <w:rStyle w:val="default"/>
          <w:rFonts w:cs="FrankRuehl" w:hint="cs"/>
          <w:sz w:val="20"/>
          <w:rtl/>
        </w:rPr>
        <w:tab/>
        <w:t>הזרקת פלריקספור, מוזוביל, לרבות</w:t>
      </w:r>
      <w:r>
        <w:rPr>
          <w:rStyle w:val="default"/>
          <w:rFonts w:cs="FrankRuehl" w:hint="cs"/>
          <w:sz w:val="20"/>
          <w:rtl/>
        </w:rPr>
        <w:t xml:space="preserve"> הספקת</w:t>
      </w:r>
      <w:r w:rsidRPr="00E46620">
        <w:rPr>
          <w:rStyle w:val="default"/>
          <w:rFonts w:cs="FrankRuehl" w:hint="cs"/>
          <w:sz w:val="20"/>
          <w:rtl/>
        </w:rPr>
        <w:tab/>
        <w:t>104,002</w:t>
      </w:r>
      <w:r w:rsidRPr="00E46620">
        <w:rPr>
          <w:rStyle w:val="default"/>
          <w:rFonts w:cs="FrankRuehl" w:hint="cs"/>
          <w:sz w:val="20"/>
          <w:rtl/>
        </w:rPr>
        <w:tab/>
        <w:t>95</w:t>
      </w:r>
    </w:p>
    <w:p w:rsid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0"/>
        <w:ind w:left="0" w:right="1134"/>
        <w:rPr>
          <w:rStyle w:val="default"/>
          <w:rFonts w:cs="FrankRuehl" w:hint="cs"/>
          <w:sz w:val="20"/>
          <w:rtl/>
        </w:rPr>
      </w:pPr>
      <w:r>
        <w:rPr>
          <w:rStyle w:val="default"/>
          <w:rFonts w:cs="FrankRuehl" w:hint="cs"/>
          <w:sz w:val="20"/>
          <w:rtl/>
        </w:rPr>
        <w:tab/>
        <w:t>התכשיר, למטופל למחזור טיפול, עד 4 ימים</w:t>
      </w:r>
    </w:p>
    <w:p w:rsid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72"/>
        <w:ind w:left="0" w:right="1134"/>
        <w:rPr>
          <w:rStyle w:val="default"/>
          <w:rFonts w:cs="FrankRuehl" w:hint="cs"/>
          <w:sz w:val="20"/>
          <w:rtl/>
        </w:rPr>
      </w:pPr>
      <w:r>
        <w:rPr>
          <w:rStyle w:val="default"/>
          <w:rFonts w:cs="FrankRuehl"/>
          <w:sz w:val="20"/>
        </w:rPr>
        <w:t>G00D9</w:t>
      </w:r>
      <w:r>
        <w:rPr>
          <w:rStyle w:val="default"/>
          <w:rFonts w:cs="FrankRuehl" w:hint="cs"/>
          <w:sz w:val="20"/>
          <w:rtl/>
        </w:rPr>
        <w:tab/>
        <w:t xml:space="preserve">השתלה או החלפה של קוצב מוחי לטיפול </w:t>
      </w:r>
      <w:r>
        <w:rPr>
          <w:rStyle w:val="default"/>
          <w:rFonts w:cs="FrankRuehl" w:hint="cs"/>
          <w:sz w:val="20"/>
          <w:rtl/>
        </w:rPr>
        <w:tab/>
        <w:t>130,739</w:t>
      </w:r>
      <w:r>
        <w:rPr>
          <w:rStyle w:val="default"/>
          <w:rFonts w:cs="FrankRuehl" w:hint="cs"/>
          <w:sz w:val="20"/>
          <w:rtl/>
        </w:rPr>
        <w:tab/>
        <w:t>71</w:t>
      </w:r>
    </w:p>
    <w:p w:rsid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0"/>
        <w:ind w:left="0" w:right="1134"/>
        <w:rPr>
          <w:rStyle w:val="default"/>
          <w:rFonts w:cs="FrankRuehl" w:hint="cs"/>
          <w:sz w:val="20"/>
          <w:rtl/>
        </w:rPr>
      </w:pPr>
      <w:r>
        <w:rPr>
          <w:rStyle w:val="default"/>
          <w:rFonts w:cs="FrankRuehl" w:hint="cs"/>
          <w:sz w:val="20"/>
          <w:rtl/>
        </w:rPr>
        <w:tab/>
        <w:t>בהפרעות תנועה, כולל אלקטרודות</w:t>
      </w:r>
    </w:p>
    <w:p w:rsid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72"/>
        <w:ind w:left="0" w:right="1134"/>
        <w:rPr>
          <w:rStyle w:val="default"/>
          <w:rFonts w:cs="FrankRuehl" w:hint="cs"/>
          <w:sz w:val="20"/>
          <w:rtl/>
        </w:rPr>
      </w:pPr>
      <w:r>
        <w:rPr>
          <w:rStyle w:val="default"/>
          <w:rFonts w:cs="FrankRuehl"/>
          <w:sz w:val="20"/>
        </w:rPr>
        <w:t>G00V1</w:t>
      </w:r>
      <w:r>
        <w:rPr>
          <w:rStyle w:val="default"/>
          <w:rFonts w:cs="FrankRuehl" w:hint="cs"/>
          <w:sz w:val="20"/>
          <w:rtl/>
        </w:rPr>
        <w:tab/>
        <w:t xml:space="preserve">ניתוח ראשוני להשתלת מערכת מודולרית </w:t>
      </w:r>
      <w:r>
        <w:rPr>
          <w:rStyle w:val="default"/>
          <w:rFonts w:cs="FrankRuehl" w:hint="cs"/>
          <w:sz w:val="20"/>
          <w:rtl/>
        </w:rPr>
        <w:tab/>
        <w:t>153,566</w:t>
      </w:r>
      <w:r>
        <w:rPr>
          <w:rStyle w:val="default"/>
          <w:rFonts w:cs="FrankRuehl" w:hint="cs"/>
          <w:sz w:val="20"/>
          <w:rtl/>
        </w:rPr>
        <w:tab/>
        <w:t>57</w:t>
      </w:r>
    </w:p>
    <w:p w:rsid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0"/>
        <w:ind w:left="0" w:right="1134"/>
        <w:rPr>
          <w:rStyle w:val="default"/>
          <w:rFonts w:cs="FrankRuehl" w:hint="cs"/>
          <w:sz w:val="20"/>
          <w:rtl/>
        </w:rPr>
      </w:pPr>
      <w:r>
        <w:rPr>
          <w:rStyle w:val="default"/>
          <w:rFonts w:cs="FrankRuehl" w:hint="cs"/>
          <w:sz w:val="20"/>
          <w:rtl/>
        </w:rPr>
        <w:tab/>
        <w:t>להרחבת צלעות</w:t>
      </w:r>
    </w:p>
    <w:p w:rsid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72"/>
        <w:ind w:left="0" w:right="1134"/>
        <w:rPr>
          <w:rStyle w:val="default"/>
          <w:rFonts w:cs="FrankRuehl" w:hint="cs"/>
          <w:sz w:val="20"/>
          <w:rtl/>
        </w:rPr>
      </w:pPr>
      <w:r>
        <w:rPr>
          <w:rStyle w:val="default"/>
          <w:rFonts w:cs="FrankRuehl"/>
          <w:sz w:val="20"/>
        </w:rPr>
        <w:t>G00T1</w:t>
      </w:r>
      <w:r>
        <w:rPr>
          <w:rStyle w:val="default"/>
          <w:rFonts w:cs="FrankRuehl" w:hint="cs"/>
          <w:sz w:val="20"/>
          <w:rtl/>
        </w:rPr>
        <w:tab/>
        <w:t xml:space="preserve">החדרת מערכת שמיעה המבוססת על הולכת </w:t>
      </w:r>
      <w:r>
        <w:rPr>
          <w:rStyle w:val="default"/>
          <w:rFonts w:cs="FrankRuehl" w:hint="cs"/>
          <w:sz w:val="20"/>
          <w:rtl/>
        </w:rPr>
        <w:tab/>
        <w:t>46,059</w:t>
      </w:r>
      <w:r>
        <w:rPr>
          <w:rStyle w:val="default"/>
          <w:rFonts w:cs="FrankRuehl" w:hint="cs"/>
          <w:sz w:val="20"/>
          <w:rtl/>
        </w:rPr>
        <w:tab/>
        <w:t>73</w:t>
      </w:r>
    </w:p>
    <w:p w:rsid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0"/>
        <w:ind w:left="0" w:right="1134"/>
        <w:rPr>
          <w:rStyle w:val="default"/>
          <w:rFonts w:cs="FrankRuehl" w:hint="cs"/>
          <w:sz w:val="20"/>
          <w:rtl/>
        </w:rPr>
      </w:pPr>
      <w:r>
        <w:rPr>
          <w:rStyle w:val="default"/>
          <w:rFonts w:cs="FrankRuehl" w:hint="cs"/>
          <w:sz w:val="20"/>
          <w:rtl/>
        </w:rPr>
        <w:tab/>
        <w:t>עצם, למבוגר</w:t>
      </w:r>
    </w:p>
    <w:p w:rsid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72"/>
        <w:ind w:left="0" w:right="1134"/>
        <w:rPr>
          <w:rStyle w:val="default"/>
          <w:rFonts w:cs="FrankRuehl" w:hint="cs"/>
          <w:sz w:val="20"/>
          <w:rtl/>
        </w:rPr>
      </w:pPr>
      <w:r>
        <w:rPr>
          <w:rStyle w:val="default"/>
          <w:rFonts w:cs="FrankRuehl"/>
          <w:sz w:val="20"/>
        </w:rPr>
        <w:t>G00T2</w:t>
      </w:r>
      <w:r>
        <w:rPr>
          <w:rStyle w:val="default"/>
          <w:rFonts w:cs="FrankRuehl" w:hint="cs"/>
          <w:sz w:val="20"/>
          <w:rtl/>
        </w:rPr>
        <w:tab/>
        <w:t xml:space="preserve">החדרת מערכת שמיעה המבוססת על הולכת </w:t>
      </w:r>
      <w:r>
        <w:rPr>
          <w:rStyle w:val="default"/>
          <w:rFonts w:cs="FrankRuehl" w:hint="cs"/>
          <w:sz w:val="20"/>
          <w:rtl/>
        </w:rPr>
        <w:tab/>
        <w:t>49,607</w:t>
      </w:r>
      <w:r>
        <w:rPr>
          <w:rStyle w:val="default"/>
          <w:rFonts w:cs="FrankRuehl" w:hint="cs"/>
          <w:sz w:val="20"/>
          <w:rtl/>
        </w:rPr>
        <w:tab/>
        <w:t>68</w:t>
      </w:r>
    </w:p>
    <w:p w:rsid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0"/>
        <w:ind w:left="0" w:right="1134"/>
        <w:rPr>
          <w:rStyle w:val="default"/>
          <w:rFonts w:cs="FrankRuehl" w:hint="cs"/>
          <w:sz w:val="20"/>
          <w:rtl/>
        </w:rPr>
      </w:pPr>
      <w:r>
        <w:rPr>
          <w:rStyle w:val="default"/>
          <w:rFonts w:cs="FrankRuehl" w:hint="cs"/>
          <w:sz w:val="20"/>
          <w:rtl/>
        </w:rPr>
        <w:tab/>
        <w:t>עצם, לילד</w:t>
      </w:r>
    </w:p>
    <w:p w:rsid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72"/>
        <w:ind w:left="0" w:right="1134"/>
        <w:rPr>
          <w:rStyle w:val="default"/>
          <w:rFonts w:cs="FrankRuehl" w:hint="cs"/>
          <w:sz w:val="20"/>
          <w:rtl/>
        </w:rPr>
      </w:pPr>
      <w:r>
        <w:rPr>
          <w:rStyle w:val="default"/>
          <w:rFonts w:cs="FrankRuehl"/>
          <w:sz w:val="20"/>
        </w:rPr>
        <w:t>G00E8</w:t>
      </w:r>
      <w:r>
        <w:rPr>
          <w:rStyle w:val="default"/>
          <w:rFonts w:cs="FrankRuehl" w:hint="cs"/>
          <w:sz w:val="20"/>
          <w:rtl/>
        </w:rPr>
        <w:tab/>
        <w:t>השתלת קוצב וגאלי לטיפול באפילפסיה</w:t>
      </w:r>
      <w:r>
        <w:rPr>
          <w:rStyle w:val="default"/>
          <w:rFonts w:cs="FrankRuehl" w:hint="cs"/>
          <w:sz w:val="20"/>
          <w:rtl/>
        </w:rPr>
        <w:tab/>
        <w:t>139,028</w:t>
      </w:r>
      <w:r>
        <w:rPr>
          <w:rStyle w:val="default"/>
          <w:rFonts w:cs="FrankRuehl" w:hint="cs"/>
          <w:sz w:val="20"/>
          <w:rtl/>
        </w:rPr>
        <w:tab/>
        <w:t>58</w:t>
      </w:r>
    </w:p>
    <w:p w:rsid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72"/>
        <w:ind w:left="0" w:right="1134"/>
        <w:rPr>
          <w:rStyle w:val="default"/>
          <w:rFonts w:cs="FrankRuehl" w:hint="cs"/>
          <w:sz w:val="20"/>
          <w:rtl/>
        </w:rPr>
      </w:pPr>
      <w:r>
        <w:rPr>
          <w:rStyle w:val="default"/>
          <w:rFonts w:cs="FrankRuehl"/>
          <w:sz w:val="20"/>
        </w:rPr>
        <w:t>G00U8</w:t>
      </w:r>
      <w:r>
        <w:rPr>
          <w:rStyle w:val="default"/>
          <w:rFonts w:cs="FrankRuehl" w:hint="cs"/>
          <w:sz w:val="20"/>
          <w:rtl/>
        </w:rPr>
        <w:tab/>
        <w:t xml:space="preserve">ניתוח להשתלת משאבה להזלפה ממושכת </w:t>
      </w:r>
      <w:r>
        <w:rPr>
          <w:rStyle w:val="default"/>
          <w:rFonts w:cs="FrankRuehl" w:hint="cs"/>
          <w:sz w:val="20"/>
          <w:rtl/>
        </w:rPr>
        <w:tab/>
        <w:t>75,176</w:t>
      </w:r>
      <w:r>
        <w:rPr>
          <w:rStyle w:val="default"/>
          <w:rFonts w:cs="FrankRuehl" w:hint="cs"/>
          <w:sz w:val="20"/>
          <w:rtl/>
        </w:rPr>
        <w:tab/>
        <w:t>64</w:t>
      </w:r>
    </w:p>
    <w:p w:rsid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0"/>
        <w:ind w:left="0" w:right="1134"/>
        <w:rPr>
          <w:rStyle w:val="default"/>
          <w:rFonts w:cs="FrankRuehl" w:hint="cs"/>
          <w:sz w:val="20"/>
          <w:rtl/>
        </w:rPr>
      </w:pPr>
      <w:r>
        <w:rPr>
          <w:rStyle w:val="default"/>
          <w:rFonts w:cs="FrankRuehl" w:hint="cs"/>
          <w:sz w:val="20"/>
          <w:rtl/>
        </w:rPr>
        <w:tab/>
        <w:t>לנוזל השדרה לטיפול בעוויתות, בקלופן</w:t>
      </w:r>
    </w:p>
    <w:p w:rsidR="00E46620" w:rsidRPr="00E46620" w:rsidRDefault="00E46620" w:rsidP="00E46620">
      <w:pPr>
        <w:pStyle w:val="P00"/>
        <w:tabs>
          <w:tab w:val="clear" w:pos="624"/>
          <w:tab w:val="clear" w:pos="1021"/>
          <w:tab w:val="clear" w:pos="1474"/>
          <w:tab w:val="clear" w:pos="1928"/>
          <w:tab w:val="clear" w:pos="2381"/>
          <w:tab w:val="clear" w:pos="2835"/>
          <w:tab w:val="clear" w:pos="6259"/>
          <w:tab w:val="left" w:pos="1418"/>
          <w:tab w:val="center" w:pos="5670"/>
          <w:tab w:val="center" w:pos="7088"/>
        </w:tabs>
        <w:spacing w:before="72"/>
        <w:ind w:left="0" w:right="1134"/>
        <w:rPr>
          <w:rStyle w:val="default"/>
          <w:rFonts w:cs="FrankRuehl" w:hint="cs"/>
          <w:sz w:val="20"/>
          <w:rtl/>
        </w:rPr>
      </w:pPr>
      <w:r>
        <w:rPr>
          <w:rStyle w:val="default"/>
          <w:rFonts w:cs="FrankRuehl" w:hint="cs"/>
          <w:sz w:val="20"/>
          <w:rtl/>
        </w:rPr>
        <w:t>62360</w:t>
      </w:r>
      <w:r>
        <w:rPr>
          <w:rStyle w:val="default"/>
          <w:rFonts w:cs="FrankRuehl" w:hint="cs"/>
          <w:sz w:val="20"/>
          <w:rtl/>
        </w:rPr>
        <w:tab/>
        <w:t>השתלת משאבה לשיכוך כאב כרוני</w:t>
      </w:r>
      <w:r>
        <w:rPr>
          <w:rStyle w:val="default"/>
          <w:rFonts w:cs="FrankRuehl" w:hint="cs"/>
          <w:sz w:val="20"/>
          <w:rtl/>
        </w:rPr>
        <w:tab/>
        <w:t>64,110</w:t>
      </w:r>
      <w:r>
        <w:rPr>
          <w:rStyle w:val="default"/>
          <w:rFonts w:cs="FrankRuehl" w:hint="cs"/>
          <w:sz w:val="20"/>
          <w:rtl/>
        </w:rPr>
        <w:tab/>
        <w:t>62</w:t>
      </w:r>
    </w:p>
    <w:p w:rsidR="00AB728B" w:rsidRDefault="00AB728B">
      <w:pPr>
        <w:pStyle w:val="P00"/>
        <w:spacing w:before="72"/>
        <w:ind w:left="0" w:right="1134"/>
        <w:rPr>
          <w:rStyle w:val="default"/>
          <w:rFonts w:cs="FrankRuehl" w:hint="cs"/>
          <w:rtl/>
        </w:rPr>
      </w:pPr>
    </w:p>
    <w:p w:rsidR="00337500" w:rsidRDefault="00337500">
      <w:pPr>
        <w:pStyle w:val="P00"/>
        <w:spacing w:before="72"/>
        <w:ind w:left="0" w:right="1134"/>
        <w:rPr>
          <w:rStyle w:val="default"/>
          <w:rFonts w:cs="FrankRuehl" w:hint="cs"/>
          <w:rtl/>
        </w:rPr>
      </w:pPr>
    </w:p>
    <w:p w:rsidR="00E261C8" w:rsidRDefault="008F2468" w:rsidP="00CF4D7D">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hint="cs"/>
          <w:rtl/>
        </w:rPr>
      </w:pPr>
      <w:r>
        <w:rPr>
          <w:rStyle w:val="default"/>
          <w:rFonts w:cs="FrankRuehl" w:hint="cs"/>
          <w:rtl/>
        </w:rPr>
        <w:t>י' באדר התשע"ג (20 בפברואר 2013</w:t>
      </w:r>
      <w:r w:rsidR="00362DE4">
        <w:rPr>
          <w:rStyle w:val="default"/>
          <w:rFonts w:cs="FrankRuehl" w:hint="cs"/>
          <w:rtl/>
        </w:rPr>
        <w:t>)</w:t>
      </w:r>
      <w:r w:rsidR="00731689">
        <w:rPr>
          <w:rStyle w:val="default"/>
          <w:rFonts w:cs="FrankRuehl" w:hint="cs"/>
          <w:rtl/>
        </w:rPr>
        <w:tab/>
      </w:r>
      <w:r w:rsidR="00CF4D7D">
        <w:rPr>
          <w:rStyle w:val="default"/>
          <w:rFonts w:cs="FrankRuehl" w:hint="cs"/>
          <w:rtl/>
        </w:rPr>
        <w:t>בנימין נתניהו</w:t>
      </w:r>
      <w:r w:rsidR="00CF4D7D">
        <w:rPr>
          <w:rStyle w:val="default"/>
          <w:rFonts w:cs="FrankRuehl" w:hint="cs"/>
          <w:rtl/>
        </w:rPr>
        <w:tab/>
      </w:r>
      <w:r w:rsidR="00B3277E">
        <w:rPr>
          <w:rStyle w:val="default"/>
          <w:rFonts w:cs="FrankRuehl" w:hint="cs"/>
          <w:rtl/>
        </w:rPr>
        <w:t>יובל שטייניץ</w:t>
      </w:r>
    </w:p>
    <w:p w:rsidR="00E261C8" w:rsidRDefault="00731689" w:rsidP="00CF4D7D">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r>
      <w:r w:rsidR="00CF4D7D">
        <w:rPr>
          <w:rFonts w:cs="FrankRuehl" w:hint="cs"/>
          <w:sz w:val="22"/>
          <w:szCs w:val="22"/>
          <w:rtl/>
        </w:rPr>
        <w:t>שר הבריאות</w:t>
      </w:r>
      <w:r w:rsidR="00CF4D7D">
        <w:rPr>
          <w:rFonts w:cs="FrankRuehl" w:hint="cs"/>
          <w:sz w:val="22"/>
          <w:szCs w:val="22"/>
          <w:rtl/>
        </w:rPr>
        <w:tab/>
      </w:r>
      <w:r w:rsidR="00B3277E">
        <w:rPr>
          <w:rFonts w:cs="FrankRuehl" w:hint="cs"/>
          <w:sz w:val="22"/>
          <w:szCs w:val="22"/>
          <w:rtl/>
        </w:rPr>
        <w:t>שר האוצר</w:t>
      </w:r>
    </w:p>
    <w:p w:rsidR="005E506D" w:rsidRDefault="005E506D" w:rsidP="006A0293">
      <w:pPr>
        <w:pStyle w:val="P00"/>
        <w:spacing w:before="72"/>
        <w:ind w:left="0" w:right="1134"/>
        <w:rPr>
          <w:rStyle w:val="default"/>
          <w:rFonts w:cs="FrankRuehl" w:hint="cs"/>
          <w:rtl/>
        </w:rPr>
      </w:pPr>
    </w:p>
    <w:p w:rsidR="00F50D88" w:rsidRPr="006A0293" w:rsidRDefault="00F50D88" w:rsidP="006A0293">
      <w:pPr>
        <w:pStyle w:val="P00"/>
        <w:spacing w:before="72"/>
        <w:ind w:left="0" w:right="1134"/>
        <w:rPr>
          <w:rStyle w:val="default"/>
          <w:rFonts w:cs="FrankRuehl" w:hint="cs"/>
          <w:rtl/>
        </w:rPr>
      </w:pPr>
    </w:p>
    <w:p w:rsidR="008E68DD" w:rsidRDefault="008E68DD" w:rsidP="006A0293">
      <w:pPr>
        <w:pStyle w:val="P00"/>
        <w:spacing w:before="72"/>
        <w:ind w:left="0" w:right="1134"/>
        <w:rPr>
          <w:rStyle w:val="default"/>
          <w:rFonts w:cs="FrankRuehl"/>
          <w:rtl/>
        </w:rPr>
      </w:pPr>
    </w:p>
    <w:p w:rsidR="008E68DD" w:rsidRDefault="008E68DD" w:rsidP="006A0293">
      <w:pPr>
        <w:pStyle w:val="P00"/>
        <w:spacing w:before="72"/>
        <w:ind w:left="0" w:right="1134"/>
        <w:rPr>
          <w:rStyle w:val="default"/>
          <w:rFonts w:cs="FrankRuehl"/>
          <w:rtl/>
        </w:rPr>
      </w:pPr>
    </w:p>
    <w:p w:rsidR="008E68DD" w:rsidRDefault="008E68DD" w:rsidP="008E68DD">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F850ED" w:rsidRPr="008E68DD" w:rsidRDefault="00F850ED" w:rsidP="008E68DD">
      <w:pPr>
        <w:pStyle w:val="P00"/>
        <w:spacing w:before="72"/>
        <w:ind w:left="0" w:right="1134"/>
        <w:jc w:val="center"/>
        <w:rPr>
          <w:rStyle w:val="default"/>
          <w:rFonts w:cs="David" w:hint="cs"/>
          <w:color w:val="0000FF"/>
          <w:szCs w:val="24"/>
          <w:u w:val="single"/>
          <w:rtl/>
        </w:rPr>
      </w:pPr>
    </w:p>
    <w:sectPr w:rsidR="00F850ED" w:rsidRPr="008E68D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0E75" w:rsidRDefault="00720E75">
      <w:r>
        <w:separator/>
      </w:r>
    </w:p>
  </w:endnote>
  <w:endnote w:type="continuationSeparator" w:id="0">
    <w:p w:rsidR="00720E75" w:rsidRDefault="0072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2D9" w:rsidRDefault="00F322D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322D9" w:rsidRDefault="00F322D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322D9" w:rsidRDefault="00F322D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68DD">
      <w:rPr>
        <w:rFonts w:cs="TopType Jerushalmi"/>
        <w:noProof/>
        <w:color w:val="000000"/>
        <w:sz w:val="14"/>
        <w:szCs w:val="14"/>
      </w:rPr>
      <w:t>Z:\000-law\yael\2013\2013-06-03\tav\500_874.doc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2D9" w:rsidRDefault="00F322D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E68DD">
      <w:rPr>
        <w:rFonts w:hAnsi="FrankRuehl" w:cs="FrankRuehl"/>
        <w:noProof/>
        <w:sz w:val="24"/>
        <w:szCs w:val="24"/>
        <w:rtl/>
      </w:rPr>
      <w:t>3</w:t>
    </w:r>
    <w:r>
      <w:rPr>
        <w:rFonts w:hAnsi="FrankRuehl" w:cs="FrankRuehl"/>
        <w:sz w:val="24"/>
        <w:szCs w:val="24"/>
        <w:rtl/>
      </w:rPr>
      <w:fldChar w:fldCharType="end"/>
    </w:r>
  </w:p>
  <w:p w:rsidR="00F322D9" w:rsidRDefault="00F322D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322D9" w:rsidRDefault="00F322D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68DD">
      <w:rPr>
        <w:rFonts w:cs="TopType Jerushalmi"/>
        <w:noProof/>
        <w:color w:val="000000"/>
        <w:sz w:val="14"/>
        <w:szCs w:val="14"/>
      </w:rPr>
      <w:t>Z:\000-law\yael\2013\2013-06-03\tav\500_874.doc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0E75" w:rsidRDefault="00720E75">
      <w:pPr>
        <w:pStyle w:val="a5"/>
        <w:rPr>
          <w:rFonts w:cs="David"/>
          <w:sz w:val="24"/>
          <w:szCs w:val="24"/>
        </w:rPr>
      </w:pPr>
      <w:r>
        <w:separator/>
      </w:r>
    </w:p>
  </w:footnote>
  <w:footnote w:type="continuationSeparator" w:id="0">
    <w:p w:rsidR="00720E75" w:rsidRDefault="00720E75">
      <w:r>
        <w:continuationSeparator/>
      </w:r>
    </w:p>
  </w:footnote>
  <w:footnote w:id="1">
    <w:p w:rsidR="00390041" w:rsidRDefault="00F322D9" w:rsidP="00390041">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פורסם </w:t>
      </w:r>
      <w:hyperlink r:id="rId1" w:history="1">
        <w:r w:rsidRPr="00390041">
          <w:rPr>
            <w:rStyle w:val="Hyperlink"/>
            <w:rFonts w:cs="FrankRuehl" w:hint="cs"/>
            <w:rtl/>
          </w:rPr>
          <w:t>ק"ת תשע"</w:t>
        </w:r>
        <w:r w:rsidR="005E506D" w:rsidRPr="00390041">
          <w:rPr>
            <w:rStyle w:val="Hyperlink"/>
            <w:rFonts w:cs="FrankRuehl" w:hint="cs"/>
            <w:rtl/>
          </w:rPr>
          <w:t>ג</w:t>
        </w:r>
        <w:r w:rsidRPr="00390041">
          <w:rPr>
            <w:rStyle w:val="Hyperlink"/>
            <w:rFonts w:cs="FrankRuehl" w:hint="cs"/>
            <w:rtl/>
          </w:rPr>
          <w:t xml:space="preserve"> מס' </w:t>
        </w:r>
        <w:r w:rsidR="00D133D8" w:rsidRPr="00390041">
          <w:rPr>
            <w:rStyle w:val="Hyperlink"/>
            <w:rFonts w:cs="FrankRuehl" w:hint="cs"/>
            <w:rtl/>
          </w:rPr>
          <w:t>7</w:t>
        </w:r>
        <w:r w:rsidR="005E506D" w:rsidRPr="00390041">
          <w:rPr>
            <w:rStyle w:val="Hyperlink"/>
            <w:rFonts w:cs="FrankRuehl" w:hint="cs"/>
            <w:rtl/>
          </w:rPr>
          <w:t>255</w:t>
        </w:r>
      </w:hyperlink>
      <w:r>
        <w:rPr>
          <w:rFonts w:cs="FrankRuehl" w:hint="cs"/>
          <w:rtl/>
        </w:rPr>
        <w:t xml:space="preserve"> מיום </w:t>
      </w:r>
      <w:r w:rsidR="005E506D">
        <w:rPr>
          <w:rFonts w:cs="FrankRuehl" w:hint="cs"/>
          <w:rtl/>
        </w:rPr>
        <w:t>30.5.2013</w:t>
      </w:r>
      <w:r>
        <w:rPr>
          <w:rFonts w:cs="FrankRuehl" w:hint="cs"/>
          <w:rtl/>
        </w:rPr>
        <w:t xml:space="preserve"> עמ' </w:t>
      </w:r>
      <w:r w:rsidR="005E506D">
        <w:rPr>
          <w:rFonts w:cs="FrankRuehl" w:hint="cs"/>
          <w:rtl/>
        </w:rPr>
        <w:t>126</w:t>
      </w:r>
      <w:r w:rsidR="00AB728B">
        <w:rPr>
          <w:rFonts w:cs="FrankRuehl" w:hint="cs"/>
          <w:rtl/>
        </w:rPr>
        <w:t>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2D9" w:rsidRDefault="00F322D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F322D9" w:rsidRDefault="00F322D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322D9" w:rsidRDefault="00F322D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2D9" w:rsidRDefault="00F50D88" w:rsidP="00AB728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w:t>
    </w:r>
    <w:r w:rsidR="00CF4D7D">
      <w:rPr>
        <w:rFonts w:hAnsi="FrankRuehl" w:cs="FrankRuehl" w:hint="cs"/>
        <w:color w:val="000000"/>
        <w:sz w:val="28"/>
        <w:szCs w:val="28"/>
        <w:rtl/>
      </w:rPr>
      <w:t xml:space="preserve"> ההסדרים במשק המדינה (קביעת </w:t>
    </w:r>
    <w:r w:rsidR="00AB728B">
      <w:rPr>
        <w:rFonts w:hAnsi="FrankRuehl" w:cs="FrankRuehl" w:hint="cs"/>
        <w:color w:val="000000"/>
        <w:sz w:val="28"/>
        <w:szCs w:val="28"/>
        <w:rtl/>
      </w:rPr>
      <w:t>שירותים מוחרגים וקביעת הפחתות</w:t>
    </w:r>
    <w:r w:rsidR="00F322D9">
      <w:rPr>
        <w:rFonts w:hAnsi="FrankRuehl" w:cs="FrankRuehl" w:hint="cs"/>
        <w:color w:val="000000"/>
        <w:sz w:val="28"/>
        <w:szCs w:val="28"/>
        <w:rtl/>
      </w:rPr>
      <w:t>), תשע"</w:t>
    </w:r>
    <w:r w:rsidR="00521E03">
      <w:rPr>
        <w:rFonts w:hAnsi="FrankRuehl" w:cs="FrankRuehl" w:hint="cs"/>
        <w:color w:val="000000"/>
        <w:sz w:val="28"/>
        <w:szCs w:val="28"/>
        <w:rtl/>
      </w:rPr>
      <w:t>ג-2013</w:t>
    </w:r>
  </w:p>
  <w:p w:rsidR="00F322D9" w:rsidRDefault="00F322D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322D9" w:rsidRDefault="00F322D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8782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4326E"/>
    <w:rsid w:val="000A51DD"/>
    <w:rsid w:val="000C1EE6"/>
    <w:rsid w:val="000D3F79"/>
    <w:rsid w:val="000D5F69"/>
    <w:rsid w:val="000E2C54"/>
    <w:rsid w:val="0010636D"/>
    <w:rsid w:val="00130E4C"/>
    <w:rsid w:val="0014736B"/>
    <w:rsid w:val="0015200F"/>
    <w:rsid w:val="00174F6E"/>
    <w:rsid w:val="00192D5E"/>
    <w:rsid w:val="002004B8"/>
    <w:rsid w:val="002B073E"/>
    <w:rsid w:val="002B7BA0"/>
    <w:rsid w:val="002C1365"/>
    <w:rsid w:val="002F2484"/>
    <w:rsid w:val="003174AB"/>
    <w:rsid w:val="00337500"/>
    <w:rsid w:val="00362DE4"/>
    <w:rsid w:val="00373414"/>
    <w:rsid w:val="0037529D"/>
    <w:rsid w:val="00386992"/>
    <w:rsid w:val="00390041"/>
    <w:rsid w:val="003A4A79"/>
    <w:rsid w:val="003B071E"/>
    <w:rsid w:val="003D4235"/>
    <w:rsid w:val="003E13AE"/>
    <w:rsid w:val="003E5E0D"/>
    <w:rsid w:val="003F0E3D"/>
    <w:rsid w:val="003F1EAF"/>
    <w:rsid w:val="00417E2E"/>
    <w:rsid w:val="00420177"/>
    <w:rsid w:val="004460FB"/>
    <w:rsid w:val="00456754"/>
    <w:rsid w:val="0046633C"/>
    <w:rsid w:val="0047772E"/>
    <w:rsid w:val="00480263"/>
    <w:rsid w:val="00493062"/>
    <w:rsid w:val="004C3DCB"/>
    <w:rsid w:val="00521E03"/>
    <w:rsid w:val="00534BF7"/>
    <w:rsid w:val="00550471"/>
    <w:rsid w:val="00550567"/>
    <w:rsid w:val="00574555"/>
    <w:rsid w:val="005D1B26"/>
    <w:rsid w:val="005E506D"/>
    <w:rsid w:val="005F2D72"/>
    <w:rsid w:val="005F5F15"/>
    <w:rsid w:val="00632FDF"/>
    <w:rsid w:val="006472E4"/>
    <w:rsid w:val="00657D32"/>
    <w:rsid w:val="00662F6E"/>
    <w:rsid w:val="006A0293"/>
    <w:rsid w:val="006A5E67"/>
    <w:rsid w:val="007016D2"/>
    <w:rsid w:val="00720E75"/>
    <w:rsid w:val="00731689"/>
    <w:rsid w:val="00732B9D"/>
    <w:rsid w:val="0073681E"/>
    <w:rsid w:val="00736981"/>
    <w:rsid w:val="00736AFA"/>
    <w:rsid w:val="007E141D"/>
    <w:rsid w:val="007F45EC"/>
    <w:rsid w:val="00831F76"/>
    <w:rsid w:val="008612E0"/>
    <w:rsid w:val="008764A2"/>
    <w:rsid w:val="008775DD"/>
    <w:rsid w:val="00881D2D"/>
    <w:rsid w:val="008D66E2"/>
    <w:rsid w:val="008E68DD"/>
    <w:rsid w:val="008F2468"/>
    <w:rsid w:val="008F7269"/>
    <w:rsid w:val="00903EF1"/>
    <w:rsid w:val="00917DEC"/>
    <w:rsid w:val="00933194"/>
    <w:rsid w:val="0096194F"/>
    <w:rsid w:val="00983AB3"/>
    <w:rsid w:val="00995475"/>
    <w:rsid w:val="009B5EC6"/>
    <w:rsid w:val="009E1E89"/>
    <w:rsid w:val="00A32DFC"/>
    <w:rsid w:val="00A36194"/>
    <w:rsid w:val="00A4707F"/>
    <w:rsid w:val="00A56E0B"/>
    <w:rsid w:val="00A81EAA"/>
    <w:rsid w:val="00AA581E"/>
    <w:rsid w:val="00AB6F94"/>
    <w:rsid w:val="00AB728B"/>
    <w:rsid w:val="00AC1111"/>
    <w:rsid w:val="00AD043E"/>
    <w:rsid w:val="00AE693F"/>
    <w:rsid w:val="00B3277E"/>
    <w:rsid w:val="00B510C2"/>
    <w:rsid w:val="00B62B6C"/>
    <w:rsid w:val="00B65110"/>
    <w:rsid w:val="00B71A97"/>
    <w:rsid w:val="00B74DF4"/>
    <w:rsid w:val="00B842A5"/>
    <w:rsid w:val="00C00A2C"/>
    <w:rsid w:val="00C10EC3"/>
    <w:rsid w:val="00C14403"/>
    <w:rsid w:val="00C45F62"/>
    <w:rsid w:val="00C857FD"/>
    <w:rsid w:val="00CA1F1E"/>
    <w:rsid w:val="00CA2851"/>
    <w:rsid w:val="00CA54C3"/>
    <w:rsid w:val="00CB0AA2"/>
    <w:rsid w:val="00CB37A5"/>
    <w:rsid w:val="00CC55CB"/>
    <w:rsid w:val="00CE00FB"/>
    <w:rsid w:val="00CE5CBD"/>
    <w:rsid w:val="00CF4D7D"/>
    <w:rsid w:val="00D133D8"/>
    <w:rsid w:val="00D14F93"/>
    <w:rsid w:val="00D166A8"/>
    <w:rsid w:val="00D31AC1"/>
    <w:rsid w:val="00D44372"/>
    <w:rsid w:val="00D446D8"/>
    <w:rsid w:val="00D63C51"/>
    <w:rsid w:val="00D6480C"/>
    <w:rsid w:val="00DD6636"/>
    <w:rsid w:val="00DE2B2A"/>
    <w:rsid w:val="00E24FCD"/>
    <w:rsid w:val="00E261C8"/>
    <w:rsid w:val="00E41B95"/>
    <w:rsid w:val="00E45CCD"/>
    <w:rsid w:val="00E46620"/>
    <w:rsid w:val="00E71242"/>
    <w:rsid w:val="00E934A7"/>
    <w:rsid w:val="00E97E4F"/>
    <w:rsid w:val="00EA53F9"/>
    <w:rsid w:val="00EB2B8E"/>
    <w:rsid w:val="00EB62D9"/>
    <w:rsid w:val="00EC10AF"/>
    <w:rsid w:val="00ED166E"/>
    <w:rsid w:val="00F1608F"/>
    <w:rsid w:val="00F322D9"/>
    <w:rsid w:val="00F47556"/>
    <w:rsid w:val="00F50D88"/>
    <w:rsid w:val="00F7197F"/>
    <w:rsid w:val="00F757C2"/>
    <w:rsid w:val="00F850ED"/>
    <w:rsid w:val="00FE0077"/>
    <w:rsid w:val="00FE1F15"/>
    <w:rsid w:val="00FE583C"/>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C461864-6FAA-4E51-85D7-2A4E9037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4084</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8060943</vt:i4>
      </vt:variant>
      <vt:variant>
        <vt:i4>0</vt:i4>
      </vt:variant>
      <vt:variant>
        <vt:i4>0</vt:i4>
      </vt:variant>
      <vt:variant>
        <vt:i4>5</vt:i4>
      </vt:variant>
      <vt:variant>
        <vt:lpwstr>http://www.nevo.co.il/Law_word/law06/TAK-7255.pdf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ההסדרים במשק המדינה (קביעת שירותים מוחרגים וקביעת הפחתות), תשע"ג-2013</vt:lpwstr>
  </property>
  <property fmtid="{D5CDD505-2E9C-101B-9397-08002B2CF9AE}" pid="4" name="LAWNUMBER">
    <vt:lpwstr>0874</vt:lpwstr>
  </property>
  <property fmtid="{D5CDD505-2E9C-101B-9397-08002B2CF9AE}" pid="5" name="TYPE">
    <vt:lpwstr>01</vt:lpwstr>
  </property>
  <property fmtid="{D5CDD505-2E9C-101B-9397-08002B2CF9AE}" pid="6" name="CHNAME">
    <vt:lpwstr>בריאות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בריאות</vt:lpwstr>
  </property>
  <property fmtid="{D5CDD505-2E9C-101B-9397-08002B2CF9AE}" pid="22" name="NOSE21">
    <vt:lpwstr>בתי חולים</vt:lpwstr>
  </property>
  <property fmtid="{D5CDD505-2E9C-101B-9397-08002B2CF9AE}" pid="23" name="NOSE31">
    <vt:lpwstr/>
  </property>
  <property fmtid="{D5CDD505-2E9C-101B-9397-08002B2CF9AE}" pid="24" name="NOSE41">
    <vt:lpwstr/>
  </property>
  <property fmtid="{D5CDD505-2E9C-101B-9397-08002B2CF9AE}" pid="25" name="NOSE12">
    <vt:lpwstr>משפט פרטי וכלכלה</vt:lpwstr>
  </property>
  <property fmtid="{D5CDD505-2E9C-101B-9397-08002B2CF9AE}" pid="26" name="NOSE22">
    <vt:lpwstr>כספים</vt:lpwstr>
  </property>
  <property fmtid="{D5CDD505-2E9C-101B-9397-08002B2CF9AE}" pid="27" name="NOSE32">
    <vt:lpwstr>תקציב ומשק המדינה</vt:lpwstr>
  </property>
  <property fmtid="{D5CDD505-2E9C-101B-9397-08002B2CF9AE}" pid="28" name="NOSE42">
    <vt:lpwstr>מדיניות כלכלית</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חוק ההסדרים במשק המדינה (תיקוני חקיקה להשגת יעדי התקציב והמדיניות הכלכלית לשנת הכספים 2002)</vt:lpwstr>
  </property>
  <property fmtid="{D5CDD505-2E9C-101B-9397-08002B2CF9AE}" pid="63" name="MEKOR_SAIF1">
    <vt:lpwstr>12חXאX;12חXבX;17XאX8X</vt:lpwstr>
  </property>
  <property fmtid="{D5CDD505-2E9C-101B-9397-08002B2CF9AE}" pid="64" name="LINKK1">
    <vt:lpwstr>http://www.nevo.co.il/Law_word/law06/TAK-7255.pdf;‎רשומות - תקנות כלליות#פורסם ק"ת ‏תשע"ג מס' 7255 #מיום 30.5.2013 עמ' 1268‏</vt:lpwstr>
  </property>
</Properties>
</file>