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4C6F" w:rsidRDefault="00B64C6F">
      <w:pPr>
        <w:pStyle w:val="big-header"/>
        <w:ind w:left="0" w:right="1134"/>
        <w:rPr>
          <w:rFonts w:cs="FrankRuehl" w:hint="cs"/>
          <w:sz w:val="32"/>
          <w:rtl/>
        </w:rPr>
      </w:pPr>
      <w:r>
        <w:rPr>
          <w:rFonts w:cs="FrankRuehl"/>
          <w:sz w:val="32"/>
          <w:rtl/>
        </w:rPr>
        <w:t>צו ההתגוננות האזרחית (עבירות קנס), תשל"ו–1976</w:t>
      </w:r>
    </w:p>
    <w:p w:rsidR="004775A8" w:rsidRPr="004775A8" w:rsidRDefault="004775A8" w:rsidP="004775A8">
      <w:pPr>
        <w:spacing w:line="320" w:lineRule="auto"/>
        <w:jc w:val="left"/>
        <w:rPr>
          <w:rFonts w:cs="FrankRuehl"/>
          <w:szCs w:val="26"/>
          <w:rtl/>
        </w:rPr>
      </w:pPr>
    </w:p>
    <w:p w:rsidR="004775A8" w:rsidRDefault="004775A8" w:rsidP="004775A8">
      <w:pPr>
        <w:spacing w:line="320" w:lineRule="auto"/>
        <w:jc w:val="left"/>
        <w:rPr>
          <w:rFonts w:cs="Miriam"/>
          <w:szCs w:val="22"/>
          <w:rtl/>
        </w:rPr>
      </w:pPr>
      <w:r w:rsidRPr="004775A8">
        <w:rPr>
          <w:rFonts w:cs="Miriam"/>
          <w:szCs w:val="22"/>
          <w:rtl/>
        </w:rPr>
        <w:t>בטחון</w:t>
      </w:r>
      <w:r w:rsidRPr="004775A8">
        <w:rPr>
          <w:rFonts w:cs="FrankRuehl"/>
          <w:szCs w:val="26"/>
          <w:rtl/>
        </w:rPr>
        <w:t xml:space="preserve"> – התגוננות אזרחית</w:t>
      </w:r>
    </w:p>
    <w:p w:rsidR="004775A8" w:rsidRDefault="004775A8" w:rsidP="004775A8">
      <w:pPr>
        <w:spacing w:line="320" w:lineRule="auto"/>
        <w:jc w:val="left"/>
        <w:rPr>
          <w:rFonts w:cs="Miriam"/>
          <w:szCs w:val="22"/>
          <w:rtl/>
        </w:rPr>
      </w:pPr>
      <w:r w:rsidRPr="004775A8">
        <w:rPr>
          <w:rFonts w:cs="Miriam"/>
          <w:szCs w:val="22"/>
          <w:rtl/>
        </w:rPr>
        <w:t>עונשין ומשפט פלילי</w:t>
      </w:r>
      <w:r w:rsidRPr="004775A8">
        <w:rPr>
          <w:rFonts w:cs="FrankRuehl"/>
          <w:szCs w:val="26"/>
          <w:rtl/>
        </w:rPr>
        <w:t xml:space="preserve"> – עבירות – עבירות קנס</w:t>
      </w:r>
    </w:p>
    <w:p w:rsidR="005E3CD6" w:rsidRPr="004775A8" w:rsidRDefault="004775A8" w:rsidP="004775A8">
      <w:pPr>
        <w:spacing w:line="320" w:lineRule="auto"/>
        <w:jc w:val="left"/>
        <w:rPr>
          <w:rFonts w:cs="Miriam" w:hint="cs"/>
          <w:szCs w:val="22"/>
          <w:rtl/>
        </w:rPr>
      </w:pPr>
      <w:r w:rsidRPr="004775A8">
        <w:rPr>
          <w:rFonts w:cs="Miriam"/>
          <w:szCs w:val="22"/>
          <w:rtl/>
        </w:rPr>
        <w:t>בתי משפט וסדרי דין</w:t>
      </w:r>
      <w:r w:rsidRPr="004775A8">
        <w:rPr>
          <w:rFonts w:cs="FrankRuehl"/>
          <w:szCs w:val="26"/>
          <w:rtl/>
        </w:rPr>
        <w:t xml:space="preserve"> – סדר דין פלילי – עבירות קנס</w:t>
      </w:r>
    </w:p>
    <w:p w:rsidR="00B64C6F" w:rsidRDefault="00B64C6F">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64C6F">
        <w:tblPrEx>
          <w:tblCellMar>
            <w:top w:w="0" w:type="dxa"/>
            <w:bottom w:w="0" w:type="dxa"/>
          </w:tblCellMar>
        </w:tblPrEx>
        <w:tc>
          <w:tcPr>
            <w:tcW w:w="850" w:type="dxa"/>
          </w:tcPr>
          <w:p w:rsidR="00B64C6F" w:rsidRDefault="00B64C6F">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B64C6F" w:rsidRDefault="00B64C6F">
            <w:pPr>
              <w:spacing w:line="240" w:lineRule="auto"/>
              <w:rPr>
                <w:sz w:val="24"/>
              </w:rPr>
            </w:pPr>
            <w:hyperlink w:anchor="Seif0" w:tooltip="אכרזה על עבירות קנס" w:history="1">
              <w:r>
                <w:rPr>
                  <w:rStyle w:val="Hyperlink"/>
                </w:rPr>
                <w:t>Go</w:t>
              </w:r>
            </w:hyperlink>
          </w:p>
        </w:tc>
        <w:tc>
          <w:tcPr>
            <w:tcW w:w="5669" w:type="dxa"/>
          </w:tcPr>
          <w:p w:rsidR="00B64C6F" w:rsidRDefault="00B64C6F">
            <w:pPr>
              <w:spacing w:line="240" w:lineRule="auto"/>
              <w:rPr>
                <w:sz w:val="24"/>
                <w:rtl/>
              </w:rPr>
            </w:pPr>
            <w:r>
              <w:rPr>
                <w:sz w:val="24"/>
                <w:rtl/>
              </w:rPr>
              <w:t>אכרזה על עבירות קנס</w:t>
            </w:r>
          </w:p>
        </w:tc>
        <w:tc>
          <w:tcPr>
            <w:tcW w:w="1247" w:type="dxa"/>
          </w:tcPr>
          <w:p w:rsidR="00B64C6F" w:rsidRDefault="00B64C6F">
            <w:pPr>
              <w:spacing w:line="240" w:lineRule="auto"/>
              <w:rPr>
                <w:sz w:val="24"/>
              </w:rPr>
            </w:pPr>
            <w:r>
              <w:rPr>
                <w:sz w:val="24"/>
                <w:rtl/>
              </w:rPr>
              <w:t xml:space="preserve">סעיף 1 </w:t>
            </w:r>
          </w:p>
        </w:tc>
      </w:tr>
      <w:tr w:rsidR="00B64C6F">
        <w:tblPrEx>
          <w:tblCellMar>
            <w:top w:w="0" w:type="dxa"/>
            <w:bottom w:w="0" w:type="dxa"/>
          </w:tblCellMar>
        </w:tblPrEx>
        <w:tc>
          <w:tcPr>
            <w:tcW w:w="850" w:type="dxa"/>
          </w:tcPr>
          <w:p w:rsidR="00B64C6F" w:rsidRDefault="00B64C6F">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B64C6F" w:rsidRDefault="00B64C6F">
            <w:pPr>
              <w:spacing w:line="240" w:lineRule="auto"/>
              <w:rPr>
                <w:sz w:val="24"/>
              </w:rPr>
            </w:pPr>
            <w:hyperlink w:anchor="Seif1" w:tooltip="שיעורי הקנס" w:history="1">
              <w:r>
                <w:rPr>
                  <w:rStyle w:val="Hyperlink"/>
                </w:rPr>
                <w:t>Go</w:t>
              </w:r>
            </w:hyperlink>
          </w:p>
        </w:tc>
        <w:tc>
          <w:tcPr>
            <w:tcW w:w="5669" w:type="dxa"/>
          </w:tcPr>
          <w:p w:rsidR="00B64C6F" w:rsidRDefault="00B64C6F">
            <w:pPr>
              <w:spacing w:line="240" w:lineRule="auto"/>
              <w:rPr>
                <w:sz w:val="24"/>
                <w:rtl/>
              </w:rPr>
            </w:pPr>
            <w:r>
              <w:rPr>
                <w:sz w:val="24"/>
                <w:rtl/>
              </w:rPr>
              <w:t>שיעורי הקנס</w:t>
            </w:r>
          </w:p>
        </w:tc>
        <w:tc>
          <w:tcPr>
            <w:tcW w:w="1247" w:type="dxa"/>
          </w:tcPr>
          <w:p w:rsidR="00B64C6F" w:rsidRDefault="00B64C6F">
            <w:pPr>
              <w:spacing w:line="240" w:lineRule="auto"/>
              <w:rPr>
                <w:sz w:val="24"/>
              </w:rPr>
            </w:pPr>
            <w:r>
              <w:rPr>
                <w:sz w:val="24"/>
                <w:rtl/>
              </w:rPr>
              <w:t xml:space="preserve">סעיף 2 </w:t>
            </w:r>
          </w:p>
        </w:tc>
      </w:tr>
      <w:tr w:rsidR="00B64C6F">
        <w:tblPrEx>
          <w:tblCellMar>
            <w:top w:w="0" w:type="dxa"/>
            <w:bottom w:w="0" w:type="dxa"/>
          </w:tblCellMar>
        </w:tblPrEx>
        <w:tc>
          <w:tcPr>
            <w:tcW w:w="850" w:type="dxa"/>
          </w:tcPr>
          <w:p w:rsidR="00B64C6F" w:rsidRDefault="00B64C6F">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B64C6F" w:rsidRDefault="00B64C6F">
            <w:pPr>
              <w:spacing w:line="240" w:lineRule="auto"/>
              <w:rPr>
                <w:sz w:val="24"/>
              </w:rPr>
            </w:pPr>
            <w:hyperlink w:anchor="Seif2" w:tooltip="נוסח ההזמנה  למשפט" w:history="1">
              <w:r>
                <w:rPr>
                  <w:rStyle w:val="Hyperlink"/>
                </w:rPr>
                <w:t>Go</w:t>
              </w:r>
            </w:hyperlink>
          </w:p>
        </w:tc>
        <w:tc>
          <w:tcPr>
            <w:tcW w:w="5669" w:type="dxa"/>
          </w:tcPr>
          <w:p w:rsidR="00B64C6F" w:rsidRDefault="00B64C6F">
            <w:pPr>
              <w:spacing w:line="240" w:lineRule="auto"/>
              <w:rPr>
                <w:sz w:val="24"/>
                <w:rtl/>
              </w:rPr>
            </w:pPr>
            <w:r>
              <w:rPr>
                <w:sz w:val="24"/>
                <w:rtl/>
              </w:rPr>
              <w:t>נוסח ההזמנה  למשפט</w:t>
            </w:r>
          </w:p>
        </w:tc>
        <w:tc>
          <w:tcPr>
            <w:tcW w:w="1247" w:type="dxa"/>
          </w:tcPr>
          <w:p w:rsidR="00B64C6F" w:rsidRDefault="00B64C6F">
            <w:pPr>
              <w:spacing w:line="240" w:lineRule="auto"/>
              <w:rPr>
                <w:sz w:val="24"/>
              </w:rPr>
            </w:pPr>
            <w:r>
              <w:rPr>
                <w:sz w:val="24"/>
                <w:rtl/>
              </w:rPr>
              <w:t xml:space="preserve">סעיף 3 </w:t>
            </w:r>
          </w:p>
        </w:tc>
      </w:tr>
      <w:tr w:rsidR="00B64C6F">
        <w:tblPrEx>
          <w:tblCellMar>
            <w:top w:w="0" w:type="dxa"/>
            <w:bottom w:w="0" w:type="dxa"/>
          </w:tblCellMar>
        </w:tblPrEx>
        <w:tc>
          <w:tcPr>
            <w:tcW w:w="850" w:type="dxa"/>
          </w:tcPr>
          <w:p w:rsidR="00B64C6F" w:rsidRDefault="00B64C6F">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B64C6F" w:rsidRDefault="00B64C6F">
            <w:pPr>
              <w:spacing w:line="240" w:lineRule="auto"/>
              <w:rPr>
                <w:sz w:val="24"/>
              </w:rPr>
            </w:pPr>
            <w:hyperlink w:anchor="Seif3" w:tooltip="אופן תשלום  הקנס" w:history="1">
              <w:r>
                <w:rPr>
                  <w:rStyle w:val="Hyperlink"/>
                </w:rPr>
                <w:t>Go</w:t>
              </w:r>
            </w:hyperlink>
          </w:p>
        </w:tc>
        <w:tc>
          <w:tcPr>
            <w:tcW w:w="5669" w:type="dxa"/>
          </w:tcPr>
          <w:p w:rsidR="00B64C6F" w:rsidRDefault="00B64C6F">
            <w:pPr>
              <w:spacing w:line="240" w:lineRule="auto"/>
              <w:rPr>
                <w:sz w:val="24"/>
                <w:rtl/>
              </w:rPr>
            </w:pPr>
            <w:r>
              <w:rPr>
                <w:sz w:val="24"/>
                <w:rtl/>
              </w:rPr>
              <w:t>אופן תשלום  הקנס</w:t>
            </w:r>
          </w:p>
        </w:tc>
        <w:tc>
          <w:tcPr>
            <w:tcW w:w="1247" w:type="dxa"/>
          </w:tcPr>
          <w:p w:rsidR="00B64C6F" w:rsidRDefault="00B64C6F">
            <w:pPr>
              <w:spacing w:line="240" w:lineRule="auto"/>
              <w:rPr>
                <w:sz w:val="24"/>
              </w:rPr>
            </w:pPr>
            <w:r>
              <w:rPr>
                <w:sz w:val="24"/>
                <w:rtl/>
              </w:rPr>
              <w:t xml:space="preserve">סעיף 4 </w:t>
            </w:r>
          </w:p>
        </w:tc>
      </w:tr>
      <w:tr w:rsidR="00B64C6F">
        <w:tblPrEx>
          <w:tblCellMar>
            <w:top w:w="0" w:type="dxa"/>
            <w:bottom w:w="0" w:type="dxa"/>
          </w:tblCellMar>
        </w:tblPrEx>
        <w:tc>
          <w:tcPr>
            <w:tcW w:w="850" w:type="dxa"/>
          </w:tcPr>
          <w:p w:rsidR="00B64C6F" w:rsidRDefault="00B64C6F">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B64C6F" w:rsidRDefault="00B64C6F">
            <w:pPr>
              <w:spacing w:line="240" w:lineRule="auto"/>
              <w:rPr>
                <w:sz w:val="24"/>
              </w:rPr>
            </w:pPr>
            <w:hyperlink w:anchor="Seif4" w:tooltip="תחילה" w:history="1">
              <w:r>
                <w:rPr>
                  <w:rStyle w:val="Hyperlink"/>
                </w:rPr>
                <w:t>Go</w:t>
              </w:r>
            </w:hyperlink>
          </w:p>
        </w:tc>
        <w:tc>
          <w:tcPr>
            <w:tcW w:w="5669" w:type="dxa"/>
          </w:tcPr>
          <w:p w:rsidR="00B64C6F" w:rsidRDefault="00B64C6F">
            <w:pPr>
              <w:spacing w:line="240" w:lineRule="auto"/>
              <w:rPr>
                <w:sz w:val="24"/>
                <w:rtl/>
              </w:rPr>
            </w:pPr>
            <w:r>
              <w:rPr>
                <w:sz w:val="24"/>
                <w:rtl/>
              </w:rPr>
              <w:t>תחילה</w:t>
            </w:r>
          </w:p>
        </w:tc>
        <w:tc>
          <w:tcPr>
            <w:tcW w:w="1247" w:type="dxa"/>
          </w:tcPr>
          <w:p w:rsidR="00B64C6F" w:rsidRDefault="00B64C6F">
            <w:pPr>
              <w:spacing w:line="240" w:lineRule="auto"/>
              <w:rPr>
                <w:sz w:val="24"/>
              </w:rPr>
            </w:pPr>
            <w:r>
              <w:rPr>
                <w:sz w:val="24"/>
                <w:rtl/>
              </w:rPr>
              <w:t xml:space="preserve">סעיף 5 </w:t>
            </w:r>
          </w:p>
        </w:tc>
      </w:tr>
      <w:tr w:rsidR="00B64C6F">
        <w:tblPrEx>
          <w:tblCellMar>
            <w:top w:w="0" w:type="dxa"/>
            <w:bottom w:w="0" w:type="dxa"/>
          </w:tblCellMar>
        </w:tblPrEx>
        <w:tc>
          <w:tcPr>
            <w:tcW w:w="850" w:type="dxa"/>
          </w:tcPr>
          <w:p w:rsidR="00B64C6F" w:rsidRDefault="00B64C6F">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B64C6F" w:rsidRDefault="00B64C6F">
            <w:pPr>
              <w:spacing w:line="240" w:lineRule="auto"/>
              <w:rPr>
                <w:sz w:val="24"/>
              </w:rPr>
            </w:pPr>
            <w:hyperlink w:anchor="Seif5" w:tooltip="ביטול" w:history="1">
              <w:r>
                <w:rPr>
                  <w:rStyle w:val="Hyperlink"/>
                </w:rPr>
                <w:t>Go</w:t>
              </w:r>
            </w:hyperlink>
          </w:p>
        </w:tc>
        <w:tc>
          <w:tcPr>
            <w:tcW w:w="5669" w:type="dxa"/>
          </w:tcPr>
          <w:p w:rsidR="00B64C6F" w:rsidRDefault="00B64C6F">
            <w:pPr>
              <w:spacing w:line="240" w:lineRule="auto"/>
              <w:rPr>
                <w:sz w:val="24"/>
                <w:rtl/>
              </w:rPr>
            </w:pPr>
            <w:r>
              <w:rPr>
                <w:sz w:val="24"/>
                <w:rtl/>
              </w:rPr>
              <w:t>ביטול</w:t>
            </w:r>
          </w:p>
        </w:tc>
        <w:tc>
          <w:tcPr>
            <w:tcW w:w="1247" w:type="dxa"/>
          </w:tcPr>
          <w:p w:rsidR="00B64C6F" w:rsidRDefault="00B64C6F">
            <w:pPr>
              <w:spacing w:line="240" w:lineRule="auto"/>
              <w:rPr>
                <w:sz w:val="24"/>
              </w:rPr>
            </w:pPr>
            <w:r>
              <w:rPr>
                <w:sz w:val="24"/>
                <w:rtl/>
              </w:rPr>
              <w:t xml:space="preserve">סעיף 6 </w:t>
            </w:r>
          </w:p>
        </w:tc>
      </w:tr>
      <w:tr w:rsidR="00B64C6F">
        <w:tblPrEx>
          <w:tblCellMar>
            <w:top w:w="0" w:type="dxa"/>
            <w:bottom w:w="0" w:type="dxa"/>
          </w:tblCellMar>
        </w:tblPrEx>
        <w:tc>
          <w:tcPr>
            <w:tcW w:w="850" w:type="dxa"/>
          </w:tcPr>
          <w:p w:rsidR="00B64C6F" w:rsidRDefault="00B64C6F">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B64C6F" w:rsidRDefault="00B64C6F">
            <w:pPr>
              <w:spacing w:line="240" w:lineRule="auto"/>
              <w:rPr>
                <w:sz w:val="24"/>
              </w:rPr>
            </w:pPr>
            <w:hyperlink w:anchor="Seif6" w:tooltip="השם" w:history="1">
              <w:r>
                <w:rPr>
                  <w:rStyle w:val="Hyperlink"/>
                </w:rPr>
                <w:t>Go</w:t>
              </w:r>
            </w:hyperlink>
          </w:p>
        </w:tc>
        <w:tc>
          <w:tcPr>
            <w:tcW w:w="5669" w:type="dxa"/>
          </w:tcPr>
          <w:p w:rsidR="00B64C6F" w:rsidRDefault="00B64C6F">
            <w:pPr>
              <w:spacing w:line="240" w:lineRule="auto"/>
              <w:rPr>
                <w:sz w:val="24"/>
                <w:rtl/>
              </w:rPr>
            </w:pPr>
            <w:r>
              <w:rPr>
                <w:sz w:val="24"/>
                <w:rtl/>
              </w:rPr>
              <w:t>השם</w:t>
            </w:r>
          </w:p>
        </w:tc>
        <w:tc>
          <w:tcPr>
            <w:tcW w:w="1247" w:type="dxa"/>
          </w:tcPr>
          <w:p w:rsidR="00B64C6F" w:rsidRDefault="00B64C6F">
            <w:pPr>
              <w:spacing w:line="240" w:lineRule="auto"/>
              <w:rPr>
                <w:sz w:val="24"/>
              </w:rPr>
            </w:pPr>
            <w:r>
              <w:rPr>
                <w:sz w:val="24"/>
                <w:rtl/>
              </w:rPr>
              <w:t xml:space="preserve">סעיף 7 </w:t>
            </w:r>
          </w:p>
        </w:tc>
      </w:tr>
      <w:tr w:rsidR="00B64C6F">
        <w:tblPrEx>
          <w:tblCellMar>
            <w:top w:w="0" w:type="dxa"/>
            <w:bottom w:w="0" w:type="dxa"/>
          </w:tblCellMar>
        </w:tblPrEx>
        <w:tc>
          <w:tcPr>
            <w:tcW w:w="850" w:type="dxa"/>
          </w:tcPr>
          <w:p w:rsidR="00B64C6F" w:rsidRDefault="00B64C6F">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B64C6F" w:rsidRDefault="00B64C6F">
            <w:pPr>
              <w:spacing w:line="240" w:lineRule="auto"/>
              <w:rPr>
                <w:sz w:val="24"/>
              </w:rPr>
            </w:pPr>
            <w:hyperlink w:anchor="med0" w:tooltip="תוספת ראשונה" w:history="1">
              <w:r>
                <w:rPr>
                  <w:rStyle w:val="Hyperlink"/>
                </w:rPr>
                <w:t>Go</w:t>
              </w:r>
            </w:hyperlink>
          </w:p>
        </w:tc>
        <w:tc>
          <w:tcPr>
            <w:tcW w:w="5669" w:type="dxa"/>
          </w:tcPr>
          <w:p w:rsidR="00B64C6F" w:rsidRDefault="00B64C6F">
            <w:pPr>
              <w:spacing w:line="240" w:lineRule="auto"/>
              <w:rPr>
                <w:sz w:val="24"/>
              </w:rPr>
            </w:pPr>
            <w:r>
              <w:rPr>
                <w:sz w:val="24"/>
                <w:rtl/>
              </w:rPr>
              <w:t>תוספת ראשונה</w:t>
            </w:r>
          </w:p>
        </w:tc>
        <w:tc>
          <w:tcPr>
            <w:tcW w:w="1247" w:type="dxa"/>
          </w:tcPr>
          <w:p w:rsidR="00B64C6F" w:rsidRDefault="00B64C6F">
            <w:pPr>
              <w:spacing w:line="240" w:lineRule="auto"/>
              <w:rPr>
                <w:sz w:val="24"/>
              </w:rPr>
            </w:pPr>
          </w:p>
        </w:tc>
      </w:tr>
      <w:tr w:rsidR="00B64C6F">
        <w:tblPrEx>
          <w:tblCellMar>
            <w:top w:w="0" w:type="dxa"/>
            <w:bottom w:w="0" w:type="dxa"/>
          </w:tblCellMar>
        </w:tblPrEx>
        <w:tc>
          <w:tcPr>
            <w:tcW w:w="850" w:type="dxa"/>
          </w:tcPr>
          <w:p w:rsidR="00B64C6F" w:rsidRDefault="00B64C6F">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B64C6F" w:rsidRDefault="00B64C6F">
            <w:pPr>
              <w:spacing w:line="240" w:lineRule="auto"/>
              <w:rPr>
                <w:sz w:val="24"/>
              </w:rPr>
            </w:pPr>
            <w:hyperlink w:anchor="med1" w:tooltip="תוספת שניה" w:history="1">
              <w:r>
                <w:rPr>
                  <w:rStyle w:val="Hyperlink"/>
                </w:rPr>
                <w:t>Go</w:t>
              </w:r>
            </w:hyperlink>
          </w:p>
        </w:tc>
        <w:tc>
          <w:tcPr>
            <w:tcW w:w="5669" w:type="dxa"/>
          </w:tcPr>
          <w:p w:rsidR="00B64C6F" w:rsidRDefault="00B64C6F">
            <w:pPr>
              <w:spacing w:line="240" w:lineRule="auto"/>
              <w:rPr>
                <w:sz w:val="24"/>
              </w:rPr>
            </w:pPr>
            <w:r>
              <w:rPr>
                <w:sz w:val="24"/>
                <w:rtl/>
              </w:rPr>
              <w:t>תוספת שניה</w:t>
            </w:r>
          </w:p>
        </w:tc>
        <w:tc>
          <w:tcPr>
            <w:tcW w:w="1247" w:type="dxa"/>
          </w:tcPr>
          <w:p w:rsidR="00B64C6F" w:rsidRDefault="00B64C6F">
            <w:pPr>
              <w:spacing w:line="240" w:lineRule="auto"/>
              <w:rPr>
                <w:sz w:val="24"/>
              </w:rPr>
            </w:pPr>
          </w:p>
        </w:tc>
      </w:tr>
      <w:tr w:rsidR="00B64C6F">
        <w:tblPrEx>
          <w:tblCellMar>
            <w:top w:w="0" w:type="dxa"/>
            <w:bottom w:w="0" w:type="dxa"/>
          </w:tblCellMar>
        </w:tblPrEx>
        <w:tc>
          <w:tcPr>
            <w:tcW w:w="850" w:type="dxa"/>
          </w:tcPr>
          <w:p w:rsidR="00B64C6F" w:rsidRDefault="00B64C6F">
            <w:pPr>
              <w:spacing w:line="240" w:lineRule="auto"/>
              <w:rPr>
                <w:sz w:val="24"/>
              </w:rPr>
            </w:pPr>
            <w:r>
              <w:rPr>
                <w:sz w:val="24"/>
                <w:rtl/>
              </w:rPr>
              <w:fldChar w:fldCharType="begin"/>
            </w:r>
            <w:r>
              <w:rPr>
                <w:sz w:val="24"/>
                <w:rtl/>
              </w:rPr>
              <w:instrText xml:space="preserve"> </w:instrText>
            </w:r>
            <w:r>
              <w:rPr>
                <w:sz w:val="24"/>
              </w:rPr>
              <w:instrText>PAGEREF med2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B64C6F" w:rsidRDefault="00B64C6F">
            <w:pPr>
              <w:spacing w:line="240" w:lineRule="auto"/>
              <w:rPr>
                <w:sz w:val="24"/>
              </w:rPr>
            </w:pPr>
            <w:hyperlink w:anchor="med2" w:tooltip="חוק ההתגוננות האזרחית, תשיא–1951" w:history="1">
              <w:r>
                <w:rPr>
                  <w:rStyle w:val="Hyperlink"/>
                </w:rPr>
                <w:t>Go</w:t>
              </w:r>
            </w:hyperlink>
          </w:p>
        </w:tc>
        <w:tc>
          <w:tcPr>
            <w:tcW w:w="5669" w:type="dxa"/>
          </w:tcPr>
          <w:p w:rsidR="00B64C6F" w:rsidRDefault="00B64C6F">
            <w:pPr>
              <w:spacing w:line="240" w:lineRule="auto"/>
              <w:rPr>
                <w:sz w:val="24"/>
              </w:rPr>
            </w:pPr>
            <w:r>
              <w:rPr>
                <w:sz w:val="24"/>
                <w:rtl/>
              </w:rPr>
              <w:t>חוק ההתגוננות האזרחית, תשיא–1951</w:t>
            </w:r>
          </w:p>
        </w:tc>
        <w:tc>
          <w:tcPr>
            <w:tcW w:w="1247" w:type="dxa"/>
          </w:tcPr>
          <w:p w:rsidR="00B64C6F" w:rsidRDefault="00B64C6F">
            <w:pPr>
              <w:spacing w:line="240" w:lineRule="auto"/>
              <w:rPr>
                <w:sz w:val="24"/>
              </w:rPr>
            </w:pPr>
          </w:p>
        </w:tc>
      </w:tr>
    </w:tbl>
    <w:p w:rsidR="00B64C6F" w:rsidRDefault="00B64C6F">
      <w:pPr>
        <w:pStyle w:val="big-header"/>
        <w:ind w:left="0" w:right="1134"/>
        <w:rPr>
          <w:rFonts w:cs="FrankRuehl"/>
          <w:sz w:val="32"/>
          <w:rtl/>
        </w:rPr>
      </w:pPr>
    </w:p>
    <w:p w:rsidR="00B64C6F" w:rsidRDefault="00B64C6F">
      <w:pPr>
        <w:pStyle w:val="big-header"/>
        <w:ind w:left="0" w:right="1134"/>
        <w:rPr>
          <w:rStyle w:val="default"/>
          <w:rFonts w:cs="FrankRuehl"/>
          <w:rtl/>
        </w:rPr>
      </w:pPr>
      <w:r>
        <w:rPr>
          <w:rFonts w:cs="FrankRuehl"/>
          <w:sz w:val="32"/>
          <w:rtl/>
        </w:rPr>
        <w:br w:type="page"/>
      </w:r>
      <w:r w:rsidR="004775A8">
        <w:rPr>
          <w:rFonts w:cs="FrankRuehl"/>
          <w:sz w:val="32"/>
          <w:rtl/>
        </w:rPr>
        <w:lastRenderedPageBreak/>
        <w:t xml:space="preserve"> </w:t>
      </w:r>
      <w:r>
        <w:rPr>
          <w:rFonts w:cs="FrankRuehl"/>
          <w:sz w:val="32"/>
          <w:rtl/>
        </w:rPr>
        <w:t>צו</w:t>
      </w:r>
      <w:r>
        <w:rPr>
          <w:rFonts w:cs="FrankRuehl" w:hint="cs"/>
          <w:sz w:val="32"/>
          <w:rtl/>
        </w:rPr>
        <w:t xml:space="preserve"> ההתגוננות האזרחית (עבירות קנס), תשל"ו</w:t>
      </w:r>
      <w:r>
        <w:rPr>
          <w:rFonts w:cs="FrankRuehl"/>
          <w:sz w:val="32"/>
          <w:rtl/>
        </w:rPr>
        <w:t>–1976</w:t>
      </w:r>
      <w:r>
        <w:rPr>
          <w:rStyle w:val="super"/>
          <w:rFonts w:cs="Miriam"/>
          <w:rtl/>
          <w:lang w:eastAsia="he-IL"/>
        </w:rPr>
        <w:t>(30)</w:t>
      </w:r>
    </w:p>
    <w:p w:rsidR="00B64C6F" w:rsidRDefault="00B64C6F">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24א ו-27(ג) לחוק ההתגוננות האזרחית, תשי"א</w:t>
      </w:r>
      <w:r>
        <w:rPr>
          <w:rStyle w:val="default"/>
          <w:rFonts w:cs="FrankRuehl"/>
          <w:rtl/>
        </w:rPr>
        <w:t xml:space="preserve">–1951, </w:t>
      </w:r>
      <w:r>
        <w:rPr>
          <w:rStyle w:val="default"/>
          <w:rFonts w:cs="FrankRuehl" w:hint="cs"/>
          <w:rtl/>
        </w:rPr>
        <w:t>אני מכריז ומצווה לאמור:</w:t>
      </w:r>
    </w:p>
    <w:p w:rsidR="00B64C6F" w:rsidRDefault="00B64C6F">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6pt;z-index:251654656" o:allowincell="f" filled="f" stroked="f" strokecolor="lime" strokeweight=".25pt">
            <v:textbox inset="0,0,0,0">
              <w:txbxContent>
                <w:p w:rsidR="00B64C6F" w:rsidRDefault="00B64C6F">
                  <w:pPr>
                    <w:spacing w:line="160" w:lineRule="exact"/>
                    <w:jc w:val="left"/>
                    <w:rPr>
                      <w:rFonts w:cs="Miriam"/>
                      <w:noProof/>
                      <w:sz w:val="18"/>
                      <w:szCs w:val="18"/>
                      <w:rtl/>
                    </w:rPr>
                  </w:pPr>
                  <w:r>
                    <w:rPr>
                      <w:rFonts w:cs="Miriam"/>
                      <w:sz w:val="18"/>
                      <w:szCs w:val="18"/>
                      <w:rtl/>
                    </w:rPr>
                    <w:t>אכ</w:t>
                  </w:r>
                  <w:r>
                    <w:rPr>
                      <w:rFonts w:cs="Miriam" w:hint="cs"/>
                      <w:sz w:val="18"/>
                      <w:szCs w:val="18"/>
                      <w:rtl/>
                    </w:rPr>
                    <w:t>רזה על</w:t>
                  </w:r>
                </w:p>
                <w:p w:rsidR="00B64C6F" w:rsidRDefault="00B64C6F">
                  <w:pPr>
                    <w:spacing w:line="160" w:lineRule="exact"/>
                    <w:jc w:val="left"/>
                    <w:rPr>
                      <w:rFonts w:cs="Miriam"/>
                      <w:noProof/>
                      <w:sz w:val="18"/>
                      <w:szCs w:val="18"/>
                      <w:rtl/>
                    </w:rPr>
                  </w:pPr>
                  <w:r>
                    <w:rPr>
                      <w:rFonts w:cs="Miriam"/>
                      <w:sz w:val="18"/>
                      <w:szCs w:val="18"/>
                      <w:rtl/>
                    </w:rPr>
                    <w:t>עב</w:t>
                  </w:r>
                  <w:r>
                    <w:rPr>
                      <w:rFonts w:cs="Miriam" w:hint="cs"/>
                      <w:sz w:val="18"/>
                      <w:szCs w:val="18"/>
                      <w:rtl/>
                    </w:rPr>
                    <w:t>ירות קנס</w:t>
                  </w:r>
                </w:p>
              </w:txbxContent>
            </v:textbox>
            <w10:anchorlock/>
          </v:rect>
        </w:pict>
      </w:r>
      <w:r>
        <w:rPr>
          <w:rStyle w:val="big-number"/>
          <w:rFonts w:cs="Miriam"/>
          <w:rtl/>
        </w:rPr>
        <w:t>1.</w:t>
      </w:r>
      <w:r>
        <w:rPr>
          <w:rStyle w:val="big-number"/>
          <w:rFonts w:cs="Miriam"/>
          <w:rtl/>
        </w:rPr>
        <w:tab/>
      </w:r>
      <w:r>
        <w:rPr>
          <w:rStyle w:val="default"/>
          <w:rFonts w:cs="FrankRuehl"/>
          <w:rtl/>
        </w:rPr>
        <w:t>כל</w:t>
      </w:r>
      <w:r>
        <w:rPr>
          <w:rStyle w:val="default"/>
          <w:rFonts w:cs="FrankRuehl" w:hint="cs"/>
          <w:rtl/>
        </w:rPr>
        <w:t xml:space="preserve"> עבירה על הוראה שבסעיפי החוק או הוראה שבתקנות שהותקנו על פיו, המפורטים בתוספת </w:t>
      </w:r>
      <w:r>
        <w:rPr>
          <w:rStyle w:val="default"/>
          <w:rFonts w:cs="FrankRuehl"/>
          <w:rtl/>
        </w:rPr>
        <w:t>הר</w:t>
      </w:r>
      <w:r>
        <w:rPr>
          <w:rStyle w:val="default"/>
          <w:rFonts w:cs="FrankRuehl" w:hint="cs"/>
          <w:rtl/>
        </w:rPr>
        <w:t>אשונה, מוכרזת כעבירת קנס.</w:t>
      </w:r>
    </w:p>
    <w:p w:rsidR="00B64C6F" w:rsidRDefault="00B64C6F">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8pt;z-index:251655680" o:allowincell="f" filled="f" stroked="f" strokecolor="lime" strokeweight=".25pt">
            <v:textbox inset="0,0,0,0">
              <w:txbxContent>
                <w:p w:rsidR="00B64C6F" w:rsidRDefault="00B64C6F">
                  <w:pPr>
                    <w:spacing w:line="160" w:lineRule="exact"/>
                    <w:jc w:val="left"/>
                    <w:rPr>
                      <w:rFonts w:cs="Miriam"/>
                      <w:noProof/>
                      <w:sz w:val="18"/>
                      <w:szCs w:val="18"/>
                      <w:rtl/>
                    </w:rPr>
                  </w:pPr>
                  <w:r>
                    <w:rPr>
                      <w:rFonts w:cs="Miriam"/>
                      <w:sz w:val="18"/>
                      <w:szCs w:val="18"/>
                      <w:rtl/>
                    </w:rPr>
                    <w:t>שי</w:t>
                  </w:r>
                  <w:r>
                    <w:rPr>
                      <w:rFonts w:cs="Miriam" w:hint="cs"/>
                      <w:sz w:val="18"/>
                      <w:szCs w:val="18"/>
                      <w:rtl/>
                    </w:rPr>
                    <w:t>עורי הקנס</w:t>
                  </w:r>
                </w:p>
              </w:txbxContent>
            </v:textbox>
            <w10:anchorlock/>
          </v:rect>
        </w:pict>
      </w:r>
      <w:r>
        <w:rPr>
          <w:rStyle w:val="big-number"/>
          <w:rFonts w:cs="Miriam"/>
          <w:rtl/>
        </w:rPr>
        <w:t>2.</w:t>
      </w:r>
      <w:r>
        <w:rPr>
          <w:rStyle w:val="big-number"/>
          <w:rFonts w:cs="Miriam"/>
          <w:rtl/>
        </w:rPr>
        <w:tab/>
      </w:r>
      <w:r>
        <w:rPr>
          <w:rStyle w:val="default"/>
          <w:rFonts w:cs="FrankRuehl"/>
          <w:rtl/>
        </w:rPr>
        <w:t>שי</w:t>
      </w:r>
      <w:r>
        <w:rPr>
          <w:rStyle w:val="default"/>
          <w:rFonts w:cs="FrankRuehl" w:hint="cs"/>
          <w:rtl/>
        </w:rPr>
        <w:t>עורי הקנס לכל עבירת קנס יהיו הסכומים הנקובים בתוספת הראשונה לצדה בטור א' לעבירה ראשונה ובטור ב' לכל עבירה חוזרת או נוספת.</w:t>
      </w:r>
    </w:p>
    <w:p w:rsidR="00B64C6F" w:rsidRDefault="00B64C6F">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20.35pt;z-index:251656704" o:allowincell="f" filled="f" stroked="f" strokecolor="lime" strokeweight=".25pt">
            <v:textbox inset="0,0,0,0">
              <w:txbxContent>
                <w:p w:rsidR="00B64C6F" w:rsidRDefault="00B64C6F">
                  <w:pPr>
                    <w:spacing w:line="160" w:lineRule="exact"/>
                    <w:jc w:val="left"/>
                    <w:rPr>
                      <w:rFonts w:cs="Miriam"/>
                      <w:sz w:val="18"/>
                      <w:szCs w:val="18"/>
                      <w:rtl/>
                    </w:rPr>
                  </w:pPr>
                  <w:r>
                    <w:rPr>
                      <w:rFonts w:cs="Miriam"/>
                      <w:sz w:val="18"/>
                      <w:szCs w:val="18"/>
                      <w:rtl/>
                    </w:rPr>
                    <w:t>נו</w:t>
                  </w:r>
                  <w:r>
                    <w:rPr>
                      <w:rFonts w:cs="Miriam" w:hint="cs"/>
                      <w:sz w:val="18"/>
                      <w:szCs w:val="18"/>
                      <w:rtl/>
                    </w:rPr>
                    <w:t xml:space="preserve">סח ההזמנה </w:t>
                  </w:r>
                </w:p>
                <w:p w:rsidR="00B64C6F" w:rsidRDefault="00B64C6F">
                  <w:pPr>
                    <w:spacing w:line="160" w:lineRule="exact"/>
                    <w:jc w:val="left"/>
                    <w:rPr>
                      <w:rFonts w:cs="Miriam"/>
                      <w:noProof/>
                      <w:sz w:val="18"/>
                      <w:szCs w:val="18"/>
                      <w:rtl/>
                    </w:rPr>
                  </w:pPr>
                  <w:r>
                    <w:rPr>
                      <w:rFonts w:cs="Miriam" w:hint="cs"/>
                      <w:sz w:val="18"/>
                      <w:szCs w:val="18"/>
                      <w:rtl/>
                    </w:rPr>
                    <w:t>ל</w:t>
                  </w:r>
                  <w:r>
                    <w:rPr>
                      <w:rFonts w:cs="Miriam"/>
                      <w:sz w:val="18"/>
                      <w:szCs w:val="18"/>
                      <w:rtl/>
                    </w:rPr>
                    <w:t>מ</w:t>
                  </w:r>
                  <w:r>
                    <w:rPr>
                      <w:rFonts w:cs="Miriam" w:hint="cs"/>
                      <w:sz w:val="18"/>
                      <w:szCs w:val="18"/>
                      <w:rtl/>
                    </w:rPr>
                    <w:t>שפט</w:t>
                  </w:r>
                </w:p>
              </w:txbxContent>
            </v:textbox>
            <w10:anchorlock/>
          </v:rect>
        </w:pict>
      </w:r>
      <w:r>
        <w:rPr>
          <w:rStyle w:val="big-number"/>
          <w:rFonts w:cs="Miriam"/>
          <w:rtl/>
        </w:rPr>
        <w:t>3.</w:t>
      </w:r>
      <w:r>
        <w:rPr>
          <w:rStyle w:val="big-number"/>
          <w:rFonts w:cs="Miriam"/>
          <w:rtl/>
        </w:rPr>
        <w:tab/>
      </w:r>
      <w:r>
        <w:rPr>
          <w:rStyle w:val="default"/>
          <w:rFonts w:cs="FrankRuehl"/>
          <w:rtl/>
        </w:rPr>
        <w:t>הה</w:t>
      </w:r>
      <w:r>
        <w:rPr>
          <w:rStyle w:val="default"/>
          <w:rFonts w:cs="FrankRuehl" w:hint="cs"/>
          <w:rtl/>
        </w:rPr>
        <w:t>זמנה למשפט לענין סעיף 24א(ב) לחוק תהיה לפי הטופס שבתוספת השניה,</w:t>
      </w:r>
      <w:r>
        <w:rPr>
          <w:rStyle w:val="default"/>
          <w:rFonts w:cs="FrankRuehl"/>
          <w:rtl/>
        </w:rPr>
        <w:t xml:space="preserve"> </w:t>
      </w:r>
      <w:r>
        <w:rPr>
          <w:rStyle w:val="default"/>
          <w:rFonts w:cs="FrankRuehl" w:hint="cs"/>
          <w:rtl/>
        </w:rPr>
        <w:t>או בטופס הדומה לו ככל האפשר.</w:t>
      </w:r>
    </w:p>
    <w:p w:rsidR="00B64C6F" w:rsidRDefault="00B64C6F">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23.75pt;z-index:251657728" o:allowincell="f" filled="f" stroked="f" strokecolor="lime" strokeweight=".25pt">
            <v:textbox inset="0,0,0,0">
              <w:txbxContent>
                <w:p w:rsidR="00B64C6F" w:rsidRDefault="00B64C6F">
                  <w:pPr>
                    <w:spacing w:line="160" w:lineRule="exact"/>
                    <w:jc w:val="left"/>
                    <w:rPr>
                      <w:rFonts w:cs="Miriam"/>
                      <w:sz w:val="18"/>
                      <w:szCs w:val="18"/>
                      <w:rtl/>
                    </w:rPr>
                  </w:pPr>
                  <w:r>
                    <w:rPr>
                      <w:rFonts w:cs="Miriam"/>
                      <w:sz w:val="18"/>
                      <w:szCs w:val="18"/>
                      <w:rtl/>
                    </w:rPr>
                    <w:t>או</w:t>
                  </w:r>
                  <w:r>
                    <w:rPr>
                      <w:rFonts w:cs="Miriam" w:hint="cs"/>
                      <w:sz w:val="18"/>
                      <w:szCs w:val="18"/>
                      <w:rtl/>
                    </w:rPr>
                    <w:t xml:space="preserve">פן תשלום </w:t>
                  </w:r>
                </w:p>
                <w:p w:rsidR="00B64C6F" w:rsidRDefault="00B64C6F">
                  <w:pPr>
                    <w:spacing w:line="160" w:lineRule="exact"/>
                    <w:jc w:val="left"/>
                    <w:rPr>
                      <w:rFonts w:cs="Miriam"/>
                      <w:noProof/>
                      <w:sz w:val="18"/>
                      <w:szCs w:val="18"/>
                      <w:rtl/>
                    </w:rPr>
                  </w:pPr>
                  <w:r>
                    <w:rPr>
                      <w:rFonts w:cs="Miriam" w:hint="cs"/>
                      <w:sz w:val="18"/>
                      <w:szCs w:val="18"/>
                      <w:rtl/>
                    </w:rPr>
                    <w:t>ה</w:t>
                  </w:r>
                  <w:r>
                    <w:rPr>
                      <w:rFonts w:cs="Miriam"/>
                      <w:sz w:val="18"/>
                      <w:szCs w:val="18"/>
                      <w:rtl/>
                    </w:rPr>
                    <w:t>ק</w:t>
                  </w:r>
                  <w:r>
                    <w:rPr>
                      <w:rFonts w:cs="Miriam" w:hint="cs"/>
                      <w:sz w:val="18"/>
                      <w:szCs w:val="18"/>
                      <w:rtl/>
                    </w:rPr>
                    <w:t>נס</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משלם קנס על עבירת קנס לבית המשפט הנקוב בהזמנה ימציא עם התשלום לפקיד בית המשפט את ההזמנה שנמסרה לו על פי סעיף 24א(ב) לחוק, ופקיד בית המשפט לא יקבל את התשלום אלא אם קיבל את ההזמנה ונוכח שהתשלום הוא בשיעור הקבוע בה.</w:t>
      </w:r>
    </w:p>
    <w:p w:rsidR="00B64C6F" w:rsidRDefault="00B64C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משלם את סכום הקנס על ידי בנק </w:t>
      </w:r>
      <w:r>
        <w:rPr>
          <w:rStyle w:val="default"/>
          <w:rFonts w:cs="FrankRuehl"/>
          <w:rtl/>
        </w:rPr>
        <w:t>הד</w:t>
      </w:r>
      <w:r>
        <w:rPr>
          <w:rStyle w:val="default"/>
          <w:rFonts w:cs="FrankRuehl" w:hint="cs"/>
          <w:rtl/>
        </w:rPr>
        <w:t>ואר בשיעור שנקבע בצו זה לגבי העבירה הנזכרת בהזמנה וממציא את ההזמנה שנמסרה לו לפקיד בבנק הדואר המקבל את התשלום, יראו אותו כאילו שילם את הקנס בבית המשפט בהתאם לסעיף 24א(ג) לחוק.</w:t>
      </w:r>
    </w:p>
    <w:p w:rsidR="00B64C6F" w:rsidRDefault="00B64C6F">
      <w:pPr>
        <w:pStyle w:val="P00"/>
        <w:spacing w:before="72"/>
        <w:ind w:left="0" w:right="1134"/>
        <w:rPr>
          <w:rFonts w:cs="FrankRuehl"/>
          <w:sz w:val="26"/>
          <w:rtl/>
        </w:rPr>
      </w:pPr>
      <w:r>
        <w:rPr>
          <w:rFonts w:cs="FrankRuehl"/>
          <w:sz w:val="26"/>
          <w:rtl/>
        </w:rPr>
        <w:t>------------</w:t>
      </w:r>
    </w:p>
    <w:p w:rsidR="00B64C6F" w:rsidRDefault="00B64C6F" w:rsidP="004775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(30)</w:t>
      </w:r>
      <w:r>
        <w:rPr>
          <w:rFonts w:cs="FrankRuehl"/>
          <w:rtl/>
        </w:rPr>
        <w:t> </w:t>
      </w:r>
      <w:r>
        <w:rPr>
          <w:rFonts w:cs="FrankRuehl"/>
          <w:rtl/>
        </w:rPr>
        <w:t>פו</w:t>
      </w:r>
      <w:r>
        <w:rPr>
          <w:rFonts w:cs="FrankRuehl" w:hint="cs"/>
          <w:rtl/>
        </w:rPr>
        <w:t xml:space="preserve">רסם </w:t>
      </w:r>
      <w:hyperlink r:id="rId6" w:history="1">
        <w:r w:rsidRPr="004775A8">
          <w:rPr>
            <w:rStyle w:val="Hyperlink"/>
            <w:rFonts w:cs="FrankRuehl" w:hint="cs"/>
            <w:rtl/>
          </w:rPr>
          <w:t xml:space="preserve">ק"ת </w:t>
        </w:r>
        <w:r w:rsidR="004775A8" w:rsidRPr="004775A8">
          <w:rPr>
            <w:rStyle w:val="Hyperlink"/>
            <w:rFonts w:cs="FrankRuehl" w:hint="cs"/>
            <w:rtl/>
          </w:rPr>
          <w:t xml:space="preserve">תשל"ו </w:t>
        </w:r>
        <w:r w:rsidRPr="004775A8">
          <w:rPr>
            <w:rStyle w:val="Hyperlink"/>
            <w:rFonts w:cs="FrankRuehl" w:hint="cs"/>
            <w:rtl/>
          </w:rPr>
          <w:t>מס' 3581</w:t>
        </w:r>
      </w:hyperlink>
      <w:r>
        <w:rPr>
          <w:rFonts w:cs="FrankRuehl" w:hint="cs"/>
          <w:rtl/>
        </w:rPr>
        <w:t xml:space="preserve"> מיום </w:t>
      </w:r>
      <w:r w:rsidR="004775A8">
        <w:rPr>
          <w:rFonts w:cs="FrankRuehl" w:hint="cs"/>
          <w:rtl/>
        </w:rPr>
        <w:t xml:space="preserve">29.8.1976 </w:t>
      </w:r>
      <w:r>
        <w:rPr>
          <w:rFonts w:cs="FrankRuehl" w:hint="cs"/>
          <w:rtl/>
        </w:rPr>
        <w:t>עמ' 2485.</w:t>
      </w:r>
    </w:p>
    <w:p w:rsidR="00B64C6F" w:rsidRDefault="00B64C6F">
      <w:pPr>
        <w:pStyle w:val="page"/>
        <w:widowControl/>
        <w:ind w:right="1134"/>
        <w:rPr>
          <w:rFonts w:cs="David"/>
          <w:position w:val="0"/>
          <w:sz w:val="22"/>
          <w:rtl/>
        </w:rPr>
      </w:pPr>
      <w:r>
        <w:rPr>
          <w:rFonts w:cs="David"/>
          <w:position w:val="0"/>
          <w:sz w:val="22"/>
          <w:rtl/>
        </w:rPr>
        <w:t xml:space="preserve"> </w:t>
      </w:r>
    </w:p>
    <w:p w:rsidR="00B64C6F" w:rsidRDefault="00B64C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משלם את סכום הקנס על ידי הדואר יצרף לתשלום את ההזמנה שנמסרה לו וישלחם בדואר רשום.</w:t>
      </w:r>
    </w:p>
    <w:p w:rsidR="00B64C6F" w:rsidRDefault="00B64C6F">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8pt;z-index:251658752" o:allowincell="f" filled="f" stroked="f" strokecolor="lime" strokeweight=".25pt">
            <v:textbox inset="0,0,0,0">
              <w:txbxContent>
                <w:p w:rsidR="00B64C6F" w:rsidRDefault="00B64C6F">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5.</w:t>
      </w:r>
      <w:r>
        <w:rPr>
          <w:rStyle w:val="big-number"/>
          <w:rFonts w:cs="Miriam"/>
          <w:rtl/>
        </w:rPr>
        <w:tab/>
      </w:r>
      <w:r>
        <w:rPr>
          <w:rStyle w:val="default"/>
          <w:rFonts w:cs="FrankRuehl"/>
          <w:rtl/>
        </w:rPr>
        <w:t>תח</w:t>
      </w:r>
      <w:r>
        <w:rPr>
          <w:rStyle w:val="default"/>
          <w:rFonts w:cs="FrankRuehl" w:hint="cs"/>
          <w:rtl/>
        </w:rPr>
        <w:t>ילתו של צו זה ביום השלושים לאחר פרסומו.</w:t>
      </w:r>
    </w:p>
    <w:p w:rsidR="00B64C6F" w:rsidRDefault="00B64C6F">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8pt;z-index:251659776" o:allowincell="f" filled="f" stroked="f" strokecolor="lime" strokeweight=".25pt">
            <v:textbox inset="0,0,0,0">
              <w:txbxContent>
                <w:p w:rsidR="00B64C6F" w:rsidRDefault="00B64C6F">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6.</w:t>
      </w:r>
      <w:r>
        <w:rPr>
          <w:rStyle w:val="big-number"/>
          <w:rFonts w:cs="Miriam"/>
          <w:rtl/>
        </w:rPr>
        <w:tab/>
      </w:r>
      <w:r>
        <w:rPr>
          <w:rStyle w:val="default"/>
          <w:rFonts w:cs="FrankRuehl"/>
          <w:rtl/>
        </w:rPr>
        <w:t>צו</w:t>
      </w:r>
      <w:r>
        <w:rPr>
          <w:rStyle w:val="default"/>
          <w:rFonts w:cs="FrankRuehl" w:hint="cs"/>
          <w:rtl/>
        </w:rPr>
        <w:t xml:space="preserve"> התגוננות האזרחית (עביר</w:t>
      </w:r>
      <w:r>
        <w:rPr>
          <w:rStyle w:val="default"/>
          <w:rFonts w:cs="FrankRuehl"/>
          <w:rtl/>
        </w:rPr>
        <w:t>ת</w:t>
      </w:r>
      <w:r>
        <w:rPr>
          <w:rStyle w:val="default"/>
          <w:rFonts w:cs="FrankRuehl" w:hint="cs"/>
          <w:rtl/>
        </w:rPr>
        <w:t xml:space="preserve"> קנס), תשל"ה</w:t>
      </w:r>
      <w:r>
        <w:rPr>
          <w:rStyle w:val="default"/>
          <w:rFonts w:cs="FrankRuehl"/>
          <w:rtl/>
        </w:rPr>
        <w:t xml:space="preserve">–1974 — </w:t>
      </w:r>
      <w:r>
        <w:rPr>
          <w:rStyle w:val="default"/>
          <w:rFonts w:cs="FrankRuehl" w:hint="cs"/>
          <w:rtl/>
        </w:rPr>
        <w:t>בטל.</w:t>
      </w:r>
    </w:p>
    <w:p w:rsidR="00B64C6F" w:rsidRDefault="00B64C6F">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8pt;z-index:251660800" o:allowincell="f" filled="f" stroked="f" strokecolor="lime" strokeweight=".25pt">
            <v:textbox inset="0,0,0,0">
              <w:txbxContent>
                <w:p w:rsidR="00B64C6F" w:rsidRDefault="00B64C6F">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7.</w:t>
      </w:r>
      <w:r>
        <w:rPr>
          <w:rStyle w:val="big-number"/>
          <w:rFonts w:cs="Miriam"/>
          <w:rtl/>
        </w:rPr>
        <w:tab/>
      </w:r>
      <w:r>
        <w:rPr>
          <w:rStyle w:val="default"/>
          <w:rFonts w:cs="FrankRuehl"/>
          <w:rtl/>
        </w:rPr>
        <w:t>לצ</w:t>
      </w:r>
      <w:r>
        <w:rPr>
          <w:rStyle w:val="default"/>
          <w:rFonts w:cs="FrankRuehl" w:hint="cs"/>
          <w:rtl/>
        </w:rPr>
        <w:t>ו זה ייקרא "צו ההתגוננות האזרחית (</w:t>
      </w:r>
      <w:r>
        <w:rPr>
          <w:rStyle w:val="default"/>
          <w:rFonts w:cs="FrankRuehl"/>
          <w:rtl/>
        </w:rPr>
        <w:t>עב</w:t>
      </w:r>
      <w:r>
        <w:rPr>
          <w:rStyle w:val="default"/>
          <w:rFonts w:cs="FrankRuehl" w:hint="cs"/>
          <w:rtl/>
        </w:rPr>
        <w:t>ירות קנס), תשל"ו</w:t>
      </w:r>
      <w:r>
        <w:rPr>
          <w:rStyle w:val="default"/>
          <w:rFonts w:cs="FrankRuehl"/>
          <w:rtl/>
        </w:rPr>
        <w:t>– 1976".</w:t>
      </w:r>
    </w:p>
    <w:p w:rsidR="00B64C6F" w:rsidRDefault="00B64C6F">
      <w:pPr>
        <w:pStyle w:val="medium2-header"/>
        <w:keepLines w:val="0"/>
        <w:spacing w:before="72"/>
        <w:ind w:left="0" w:right="1134"/>
        <w:rPr>
          <w:rFonts w:cs="FrankRuehl"/>
          <w:noProof/>
          <w:rtl/>
        </w:rPr>
      </w:pPr>
      <w:bookmarkStart w:id="7" w:name="med0"/>
      <w:bookmarkEnd w:id="7"/>
      <w:r>
        <w:rPr>
          <w:rFonts w:cs="FrankRuehl"/>
          <w:noProof/>
          <w:rtl/>
        </w:rPr>
        <w:t>תו</w:t>
      </w:r>
      <w:r>
        <w:rPr>
          <w:rFonts w:cs="FrankRuehl" w:hint="cs"/>
          <w:noProof/>
          <w:rtl/>
        </w:rPr>
        <w:t>ספת ראשונה</w:t>
      </w:r>
    </w:p>
    <w:p w:rsidR="00B64C6F" w:rsidRDefault="00B64C6F">
      <w:pPr>
        <w:pStyle w:val="medium-header"/>
        <w:keepNext w:val="0"/>
        <w:keepLines w:val="0"/>
        <w:ind w:left="0" w:right="1134"/>
        <w:rPr>
          <w:rFonts w:cs="FrankRuehl"/>
          <w:sz w:val="26"/>
          <w:rtl/>
        </w:rPr>
      </w:pPr>
      <w:r>
        <w:rPr>
          <w:rFonts w:cs="FrankRuehl"/>
          <w:sz w:val="26"/>
          <w:rtl/>
        </w:rPr>
        <w:t>(ס</w:t>
      </w:r>
      <w:r>
        <w:rPr>
          <w:rFonts w:cs="FrankRuehl" w:hint="cs"/>
          <w:sz w:val="26"/>
          <w:rtl/>
        </w:rPr>
        <w:t>עיף 1)</w:t>
      </w:r>
    </w:p>
    <w:p w:rsidR="00B64C6F" w:rsidRDefault="00B64C6F">
      <w:pPr>
        <w:pStyle w:val="medium-header"/>
        <w:keepNext w:val="0"/>
        <w:keepLines w:val="0"/>
        <w:ind w:left="0" w:right="1134"/>
        <w:rPr>
          <w:rFonts w:cs="FrankRuehl"/>
          <w:sz w:val="26"/>
          <w:rtl/>
        </w:rPr>
      </w:pPr>
      <w:r>
        <w:rPr>
          <w:rFonts w:cs="FrankRuehl" w:hint="cs"/>
          <w:sz w:val="26"/>
          <w:rtl/>
        </w:rPr>
        <w:t>ש</w:t>
      </w:r>
      <w:r>
        <w:rPr>
          <w:rFonts w:cs="FrankRuehl"/>
          <w:sz w:val="26"/>
          <w:rtl/>
        </w:rPr>
        <w:t>י</w:t>
      </w:r>
      <w:r>
        <w:rPr>
          <w:rFonts w:cs="FrankRuehl" w:hint="cs"/>
          <w:sz w:val="26"/>
          <w:rtl/>
        </w:rPr>
        <w:t>עורי הקנס בלירות</w:t>
      </w:r>
    </w:p>
    <w:p w:rsidR="00B64C6F" w:rsidRDefault="00B64C6F">
      <w:pPr>
        <w:pStyle w:val="medium-header"/>
        <w:keepNext w:val="0"/>
        <w:keepLines w:val="0"/>
        <w:ind w:left="0" w:right="1134"/>
        <w:rPr>
          <w:rFonts w:cs="FrankRuehl"/>
          <w:sz w:val="26"/>
          <w:rtl/>
        </w:rPr>
      </w:pPr>
      <w:r>
        <w:rPr>
          <w:rFonts w:cs="FrankRuehl"/>
          <w:sz w:val="26"/>
          <w:rtl/>
        </w:rPr>
        <w:t> </w:t>
      </w:r>
      <w:r>
        <w:rPr>
          <w:rFonts w:cs="FrankRuehl" w:hint="cs"/>
          <w:sz w:val="26"/>
          <w:rtl/>
        </w:rPr>
        <w:t>ט</w:t>
      </w:r>
      <w:r>
        <w:rPr>
          <w:rFonts w:cs="FrankRuehl"/>
          <w:sz w:val="26"/>
          <w:rtl/>
        </w:rPr>
        <w:t>ו</w:t>
      </w:r>
      <w:r>
        <w:rPr>
          <w:rFonts w:cs="FrankRuehl" w:hint="cs"/>
          <w:sz w:val="26"/>
          <w:rtl/>
        </w:rPr>
        <w:t>ר א'</w:t>
      </w:r>
      <w:r>
        <w:rPr>
          <w:rFonts w:cs="FrankRuehl"/>
          <w:sz w:val="26"/>
          <w:rtl/>
        </w:rPr>
        <w:t> </w:t>
      </w:r>
      <w:r>
        <w:rPr>
          <w:rFonts w:cs="FrankRuehl" w:hint="cs"/>
          <w:sz w:val="26"/>
          <w:rtl/>
        </w:rPr>
        <w:t>ט</w:t>
      </w:r>
      <w:r>
        <w:rPr>
          <w:rFonts w:cs="FrankRuehl"/>
          <w:sz w:val="26"/>
          <w:rtl/>
        </w:rPr>
        <w:t>ו</w:t>
      </w:r>
      <w:r>
        <w:rPr>
          <w:rFonts w:cs="FrankRuehl" w:hint="cs"/>
          <w:sz w:val="26"/>
          <w:rtl/>
        </w:rPr>
        <w:t>ר ב'</w:t>
      </w:r>
    </w:p>
    <w:p w:rsidR="00B64C6F" w:rsidRDefault="00B64C6F">
      <w:pPr>
        <w:pStyle w:val="P00"/>
        <w:spacing w:before="72"/>
        <w:ind w:left="0" w:right="1134"/>
        <w:rPr>
          <w:rFonts w:cs="FrankRuehl"/>
          <w:sz w:val="26"/>
          <w:rtl/>
        </w:rPr>
      </w:pPr>
      <w:r>
        <w:rPr>
          <w:rFonts w:cs="FrankRuehl"/>
          <w:sz w:val="26"/>
          <w:rtl/>
        </w:rPr>
        <w:t>1.</w:t>
      </w:r>
      <w:r>
        <w:rPr>
          <w:rFonts w:cs="FrankRuehl"/>
          <w:sz w:val="26"/>
          <w:rtl/>
        </w:rPr>
        <w:t> </w:t>
      </w:r>
      <w:r>
        <w:rPr>
          <w:rFonts w:cs="FrankRuehl" w:hint="cs"/>
          <w:sz w:val="26"/>
          <w:rtl/>
        </w:rPr>
        <w:t>ס</w:t>
      </w:r>
      <w:r>
        <w:rPr>
          <w:rFonts w:cs="FrankRuehl"/>
          <w:sz w:val="26"/>
          <w:rtl/>
        </w:rPr>
        <w:t>ע</w:t>
      </w:r>
      <w:r>
        <w:rPr>
          <w:rFonts w:cs="FrankRuehl" w:hint="cs"/>
          <w:sz w:val="26"/>
          <w:rtl/>
        </w:rPr>
        <w:t>יף 14(ו) לחוק</w:t>
      </w:r>
      <w:r>
        <w:rPr>
          <w:rFonts w:cs="FrankRuehl"/>
          <w:sz w:val="26"/>
          <w:rtl/>
        </w:rPr>
        <w:t> </w:t>
      </w:r>
      <w:r>
        <w:rPr>
          <w:rFonts w:cs="FrankRuehl" w:hint="cs"/>
          <w:sz w:val="26"/>
          <w:rtl/>
        </w:rPr>
        <w:t>100</w:t>
      </w:r>
      <w:r>
        <w:rPr>
          <w:rFonts w:cs="FrankRuehl" w:hint="cs"/>
          <w:sz w:val="26"/>
          <w:rtl/>
        </w:rPr>
        <w:t> </w:t>
      </w:r>
      <w:r>
        <w:rPr>
          <w:rFonts w:cs="FrankRuehl" w:hint="cs"/>
          <w:sz w:val="26"/>
          <w:rtl/>
        </w:rPr>
        <w:t>200</w:t>
      </w:r>
    </w:p>
    <w:p w:rsidR="00B64C6F" w:rsidRDefault="00B64C6F">
      <w:pPr>
        <w:pStyle w:val="P00"/>
        <w:spacing w:before="72"/>
        <w:ind w:left="0" w:right="1134"/>
        <w:rPr>
          <w:rFonts w:cs="FrankRuehl"/>
          <w:sz w:val="26"/>
          <w:rtl/>
        </w:rPr>
      </w:pPr>
      <w:r>
        <w:rPr>
          <w:rFonts w:cs="FrankRuehl" w:hint="cs"/>
          <w:sz w:val="26"/>
          <w:rtl/>
        </w:rPr>
        <w:t>2.</w:t>
      </w:r>
      <w:r>
        <w:rPr>
          <w:rFonts w:cs="FrankRuehl" w:hint="cs"/>
          <w:sz w:val="26"/>
          <w:rtl/>
        </w:rPr>
        <w:t> </w:t>
      </w:r>
      <w:r>
        <w:rPr>
          <w:rFonts w:cs="FrankRuehl" w:hint="cs"/>
          <w:sz w:val="26"/>
          <w:rtl/>
        </w:rPr>
        <w:t>ס</w:t>
      </w:r>
      <w:r>
        <w:rPr>
          <w:rFonts w:cs="FrankRuehl"/>
          <w:sz w:val="26"/>
          <w:rtl/>
        </w:rPr>
        <w:t>ע</w:t>
      </w:r>
      <w:r>
        <w:rPr>
          <w:rFonts w:cs="FrankRuehl" w:hint="cs"/>
          <w:sz w:val="26"/>
          <w:rtl/>
        </w:rPr>
        <w:t>יף 15(א) לחוק</w:t>
      </w:r>
      <w:r>
        <w:rPr>
          <w:rFonts w:cs="FrankRuehl"/>
          <w:sz w:val="26"/>
          <w:rtl/>
        </w:rPr>
        <w:t> </w:t>
      </w:r>
      <w:r>
        <w:rPr>
          <w:rFonts w:cs="FrankRuehl" w:hint="cs"/>
          <w:sz w:val="26"/>
          <w:rtl/>
        </w:rPr>
        <w:t>200</w:t>
      </w:r>
      <w:r>
        <w:rPr>
          <w:rFonts w:cs="FrankRuehl" w:hint="cs"/>
          <w:sz w:val="26"/>
          <w:rtl/>
        </w:rPr>
        <w:t> </w:t>
      </w:r>
      <w:r>
        <w:rPr>
          <w:rFonts w:cs="FrankRuehl" w:hint="cs"/>
          <w:sz w:val="26"/>
          <w:rtl/>
        </w:rPr>
        <w:t>400</w:t>
      </w:r>
    </w:p>
    <w:p w:rsidR="00B64C6F" w:rsidRDefault="00B64C6F">
      <w:pPr>
        <w:pStyle w:val="P00"/>
        <w:tabs>
          <w:tab w:val="clear" w:pos="624"/>
          <w:tab w:val="left" w:pos="425"/>
        </w:tabs>
        <w:spacing w:before="72"/>
        <w:ind w:left="425" w:right="1134" w:hanging="425"/>
        <w:rPr>
          <w:rFonts w:cs="FrankRuehl"/>
          <w:sz w:val="26"/>
          <w:rtl/>
        </w:rPr>
      </w:pPr>
      <w:r>
        <w:rPr>
          <w:rFonts w:cs="FrankRuehl"/>
          <w:sz w:val="26"/>
          <w:rtl/>
        </w:rPr>
        <w:t>3.</w:t>
      </w:r>
      <w:r>
        <w:rPr>
          <w:rFonts w:cs="FrankRuehl"/>
          <w:sz w:val="26"/>
          <w:rtl/>
        </w:rPr>
        <w:t> </w:t>
      </w:r>
      <w:r>
        <w:rPr>
          <w:rFonts w:cs="FrankRuehl"/>
          <w:sz w:val="26"/>
          <w:rtl/>
        </w:rPr>
        <w:t> </w:t>
      </w:r>
      <w:r>
        <w:rPr>
          <w:rFonts w:cs="FrankRuehl"/>
          <w:sz w:val="26"/>
          <w:rtl/>
        </w:rPr>
        <w:t>תק</w:t>
      </w:r>
      <w:r>
        <w:rPr>
          <w:rFonts w:cs="FrankRuehl" w:hint="cs"/>
          <w:sz w:val="26"/>
          <w:rtl/>
        </w:rPr>
        <w:t>נות ההתגוננות האזרחית (התנהגות במקומות ציבוריים), תשי"ז</w:t>
      </w:r>
      <w:r>
        <w:rPr>
          <w:rFonts w:cs="FrankRuehl"/>
          <w:sz w:val="26"/>
          <w:rtl/>
        </w:rPr>
        <w:t>–1956</w:t>
      </w:r>
      <w:r>
        <w:rPr>
          <w:rFonts w:cs="FrankRuehl"/>
          <w:sz w:val="26"/>
          <w:rtl/>
        </w:rPr>
        <w:t> </w:t>
      </w:r>
      <w:r>
        <w:rPr>
          <w:rFonts w:cs="FrankRuehl" w:hint="cs"/>
          <w:sz w:val="26"/>
          <w:rtl/>
        </w:rPr>
        <w:t>50</w:t>
      </w:r>
      <w:r>
        <w:rPr>
          <w:rFonts w:cs="FrankRuehl" w:hint="cs"/>
          <w:sz w:val="26"/>
          <w:rtl/>
        </w:rPr>
        <w:t> </w:t>
      </w:r>
      <w:r>
        <w:rPr>
          <w:rFonts w:cs="FrankRuehl" w:hint="cs"/>
          <w:sz w:val="26"/>
          <w:rtl/>
        </w:rPr>
        <w:t>100</w:t>
      </w:r>
    </w:p>
    <w:p w:rsidR="00B64C6F" w:rsidRDefault="00B64C6F">
      <w:pPr>
        <w:pStyle w:val="P00"/>
        <w:spacing w:before="72"/>
        <w:ind w:left="0" w:right="1134"/>
        <w:rPr>
          <w:rFonts w:cs="FrankRuehl"/>
          <w:sz w:val="26"/>
          <w:rtl/>
        </w:rPr>
      </w:pPr>
      <w:r>
        <w:rPr>
          <w:rFonts w:cs="FrankRuehl"/>
          <w:sz w:val="26"/>
          <w:rtl/>
        </w:rPr>
        <w:t>4.</w:t>
      </w:r>
      <w:r>
        <w:rPr>
          <w:rFonts w:cs="FrankRuehl"/>
          <w:sz w:val="26"/>
          <w:rtl/>
        </w:rPr>
        <w:t> </w:t>
      </w:r>
      <w:r>
        <w:rPr>
          <w:rFonts w:cs="FrankRuehl" w:hint="cs"/>
          <w:sz w:val="26"/>
          <w:rtl/>
        </w:rPr>
        <w:t>ת</w:t>
      </w:r>
      <w:r>
        <w:rPr>
          <w:rFonts w:cs="FrankRuehl"/>
          <w:sz w:val="26"/>
          <w:rtl/>
        </w:rPr>
        <w:t>ק</w:t>
      </w:r>
      <w:r>
        <w:rPr>
          <w:rFonts w:cs="FrankRuehl" w:hint="cs"/>
          <w:sz w:val="26"/>
          <w:rtl/>
        </w:rPr>
        <w:t>נות ההתגוננות האזרחית (הגנה על שמשות), ת</w:t>
      </w:r>
      <w:r>
        <w:rPr>
          <w:rFonts w:cs="FrankRuehl"/>
          <w:sz w:val="26"/>
          <w:rtl/>
        </w:rPr>
        <w:t>שי</w:t>
      </w:r>
      <w:r>
        <w:rPr>
          <w:rFonts w:cs="FrankRuehl" w:hint="cs"/>
          <w:sz w:val="26"/>
          <w:rtl/>
        </w:rPr>
        <w:t>"ז</w:t>
      </w:r>
      <w:r>
        <w:rPr>
          <w:rFonts w:cs="FrankRuehl"/>
          <w:sz w:val="26"/>
          <w:rtl/>
        </w:rPr>
        <w:t xml:space="preserve">–1956 </w:t>
      </w:r>
      <w:r>
        <w:rPr>
          <w:rFonts w:cs="FrankRuehl"/>
          <w:sz w:val="26"/>
          <w:rtl/>
        </w:rPr>
        <w:t> </w:t>
      </w:r>
      <w:r>
        <w:rPr>
          <w:rFonts w:cs="FrankRuehl" w:hint="cs"/>
          <w:sz w:val="26"/>
          <w:rtl/>
        </w:rPr>
        <w:t>75</w:t>
      </w:r>
      <w:r>
        <w:rPr>
          <w:rFonts w:cs="FrankRuehl" w:hint="cs"/>
          <w:sz w:val="26"/>
          <w:rtl/>
        </w:rPr>
        <w:t> </w:t>
      </w:r>
      <w:r>
        <w:rPr>
          <w:rFonts w:cs="FrankRuehl" w:hint="cs"/>
          <w:sz w:val="26"/>
          <w:rtl/>
        </w:rPr>
        <w:t>150</w:t>
      </w:r>
    </w:p>
    <w:p w:rsidR="00B64C6F" w:rsidRDefault="00B64C6F">
      <w:pPr>
        <w:pStyle w:val="P00"/>
        <w:spacing w:before="72"/>
        <w:ind w:left="0" w:right="1134"/>
        <w:rPr>
          <w:rFonts w:cs="FrankRuehl"/>
          <w:sz w:val="26"/>
          <w:rtl/>
        </w:rPr>
      </w:pPr>
      <w:r>
        <w:rPr>
          <w:rFonts w:cs="FrankRuehl" w:hint="cs"/>
          <w:sz w:val="26"/>
          <w:rtl/>
        </w:rPr>
        <w:t>5.</w:t>
      </w:r>
      <w:r>
        <w:rPr>
          <w:rFonts w:cs="FrankRuehl" w:hint="cs"/>
          <w:sz w:val="26"/>
          <w:rtl/>
        </w:rPr>
        <w:t> </w:t>
      </w:r>
      <w:r>
        <w:rPr>
          <w:rFonts w:cs="FrankRuehl" w:hint="cs"/>
          <w:sz w:val="26"/>
          <w:rtl/>
        </w:rPr>
        <w:t>ת</w:t>
      </w:r>
      <w:r>
        <w:rPr>
          <w:rFonts w:cs="FrankRuehl"/>
          <w:sz w:val="26"/>
          <w:rtl/>
        </w:rPr>
        <w:t>ק</w:t>
      </w:r>
      <w:r>
        <w:rPr>
          <w:rFonts w:cs="FrankRuehl" w:hint="cs"/>
          <w:sz w:val="26"/>
          <w:rtl/>
        </w:rPr>
        <w:t>נות ההתגוננות האזרחית (איפול), תשי"ז</w:t>
      </w:r>
      <w:r>
        <w:rPr>
          <w:rFonts w:cs="FrankRuehl"/>
          <w:sz w:val="26"/>
          <w:rtl/>
        </w:rPr>
        <w:t>–1956</w:t>
      </w:r>
      <w:r>
        <w:rPr>
          <w:rFonts w:cs="FrankRuehl"/>
          <w:sz w:val="26"/>
          <w:rtl/>
        </w:rPr>
        <w:t> </w:t>
      </w:r>
      <w:r>
        <w:rPr>
          <w:rFonts w:cs="FrankRuehl" w:hint="cs"/>
          <w:sz w:val="26"/>
          <w:rtl/>
        </w:rPr>
        <w:t>100</w:t>
      </w:r>
      <w:r>
        <w:rPr>
          <w:rFonts w:cs="FrankRuehl" w:hint="cs"/>
          <w:sz w:val="26"/>
          <w:rtl/>
        </w:rPr>
        <w:t> </w:t>
      </w:r>
      <w:r>
        <w:rPr>
          <w:rFonts w:cs="FrankRuehl" w:hint="cs"/>
          <w:sz w:val="26"/>
          <w:rtl/>
        </w:rPr>
        <w:t>200</w:t>
      </w:r>
    </w:p>
    <w:p w:rsidR="00B64C6F" w:rsidRDefault="00B64C6F">
      <w:pPr>
        <w:pStyle w:val="P00"/>
        <w:spacing w:before="72"/>
        <w:ind w:left="624" w:right="1134" w:hanging="624"/>
        <w:rPr>
          <w:rFonts w:cs="FrankRuehl"/>
          <w:sz w:val="26"/>
          <w:rtl/>
        </w:rPr>
      </w:pPr>
      <w:r>
        <w:rPr>
          <w:rFonts w:cs="FrankRuehl"/>
          <w:sz w:val="26"/>
          <w:rtl/>
        </w:rPr>
        <w:t>6.</w:t>
      </w:r>
      <w:r>
        <w:rPr>
          <w:rFonts w:cs="FrankRuehl"/>
          <w:sz w:val="26"/>
          <w:rtl/>
        </w:rPr>
        <w:t> </w:t>
      </w:r>
      <w:r>
        <w:rPr>
          <w:rFonts w:cs="FrankRuehl" w:hint="cs"/>
          <w:sz w:val="26"/>
          <w:rtl/>
        </w:rPr>
        <w:t>ת</w:t>
      </w:r>
      <w:r>
        <w:rPr>
          <w:rFonts w:cs="FrankRuehl"/>
          <w:sz w:val="26"/>
          <w:rtl/>
        </w:rPr>
        <w:t>ק</w:t>
      </w:r>
      <w:r>
        <w:rPr>
          <w:rFonts w:cs="FrankRuehl" w:hint="cs"/>
          <w:sz w:val="26"/>
          <w:rtl/>
        </w:rPr>
        <w:t>נות ההתגוננות האזרחית (קריאה לחפירת תעלות להתגוננות אזרחית), תשכ"ה</w:t>
      </w:r>
      <w:r>
        <w:rPr>
          <w:rFonts w:cs="FrankRuehl"/>
          <w:sz w:val="26"/>
          <w:rtl/>
        </w:rPr>
        <w:t>–1965</w:t>
      </w:r>
      <w:r>
        <w:rPr>
          <w:rFonts w:cs="FrankRuehl"/>
          <w:sz w:val="26"/>
          <w:rtl/>
        </w:rPr>
        <w:t> </w:t>
      </w:r>
      <w:r>
        <w:rPr>
          <w:rFonts w:cs="FrankRuehl" w:hint="cs"/>
          <w:sz w:val="26"/>
          <w:rtl/>
        </w:rPr>
        <w:t>150</w:t>
      </w:r>
      <w:r>
        <w:rPr>
          <w:rFonts w:cs="FrankRuehl" w:hint="cs"/>
          <w:sz w:val="26"/>
          <w:rtl/>
        </w:rPr>
        <w:t> </w:t>
      </w:r>
      <w:r>
        <w:rPr>
          <w:rFonts w:cs="FrankRuehl" w:hint="cs"/>
          <w:sz w:val="26"/>
          <w:rtl/>
        </w:rPr>
        <w:t>300</w:t>
      </w:r>
    </w:p>
    <w:p w:rsidR="00B64C6F" w:rsidRDefault="00B64C6F">
      <w:pPr>
        <w:pStyle w:val="P00"/>
        <w:spacing w:before="72"/>
        <w:ind w:left="283" w:right="1134" w:hanging="283"/>
        <w:rPr>
          <w:rFonts w:cs="FrankRuehl"/>
          <w:sz w:val="26"/>
          <w:rtl/>
        </w:rPr>
      </w:pPr>
      <w:r>
        <w:rPr>
          <w:rFonts w:cs="FrankRuehl"/>
          <w:sz w:val="26"/>
          <w:rtl/>
        </w:rPr>
        <w:t>7.</w:t>
      </w:r>
      <w:r>
        <w:rPr>
          <w:rFonts w:cs="FrankRuehl"/>
          <w:sz w:val="26"/>
          <w:rtl/>
        </w:rPr>
        <w:t> </w:t>
      </w:r>
      <w:r>
        <w:rPr>
          <w:rFonts w:cs="FrankRuehl" w:hint="cs"/>
          <w:sz w:val="26"/>
          <w:rtl/>
        </w:rPr>
        <w:t>ת</w:t>
      </w:r>
      <w:r>
        <w:rPr>
          <w:rFonts w:cs="FrankRuehl"/>
          <w:sz w:val="26"/>
          <w:rtl/>
        </w:rPr>
        <w:t>ק</w:t>
      </w:r>
      <w:r>
        <w:rPr>
          <w:rFonts w:cs="FrankRuehl" w:hint="cs"/>
          <w:sz w:val="26"/>
          <w:rtl/>
        </w:rPr>
        <w:t>נות ההתגוננות האזרחית</w:t>
      </w:r>
      <w:r>
        <w:rPr>
          <w:rFonts w:cs="FrankRuehl"/>
          <w:sz w:val="26"/>
          <w:rtl/>
        </w:rPr>
        <w:t xml:space="preserve"> (</w:t>
      </w:r>
      <w:r>
        <w:rPr>
          <w:rFonts w:cs="FrankRuehl" w:hint="cs"/>
          <w:sz w:val="26"/>
          <w:rtl/>
        </w:rPr>
        <w:t>הגבלת השימוש באותות אזעקה וארגעה), תשכ"ה</w:t>
      </w:r>
      <w:r>
        <w:rPr>
          <w:rFonts w:cs="FrankRuehl"/>
          <w:sz w:val="26"/>
          <w:rtl/>
        </w:rPr>
        <w:t>–1964</w:t>
      </w:r>
      <w:r>
        <w:rPr>
          <w:rFonts w:cs="FrankRuehl"/>
          <w:sz w:val="26"/>
          <w:rtl/>
        </w:rPr>
        <w:t> </w:t>
      </w:r>
      <w:r>
        <w:rPr>
          <w:rFonts w:cs="FrankRuehl" w:hint="cs"/>
          <w:sz w:val="26"/>
          <w:rtl/>
        </w:rPr>
        <w:t>500</w:t>
      </w:r>
      <w:r>
        <w:rPr>
          <w:rFonts w:cs="FrankRuehl" w:hint="cs"/>
          <w:sz w:val="26"/>
          <w:rtl/>
        </w:rPr>
        <w:t> </w:t>
      </w:r>
      <w:r>
        <w:rPr>
          <w:rFonts w:cs="FrankRuehl" w:hint="cs"/>
          <w:sz w:val="26"/>
          <w:rtl/>
        </w:rPr>
        <w:t>1000</w:t>
      </w:r>
    </w:p>
    <w:p w:rsidR="00B64C6F" w:rsidRDefault="00B64C6F">
      <w:pPr>
        <w:pStyle w:val="P00"/>
        <w:spacing w:before="72"/>
        <w:ind w:left="283" w:right="1134" w:hanging="283"/>
        <w:rPr>
          <w:rFonts w:cs="FrankRuehl"/>
          <w:sz w:val="26"/>
          <w:rtl/>
        </w:rPr>
      </w:pPr>
      <w:r>
        <w:rPr>
          <w:rFonts w:cs="FrankRuehl" w:hint="cs"/>
          <w:sz w:val="26"/>
          <w:rtl/>
        </w:rPr>
        <w:t>8.</w:t>
      </w:r>
      <w:r>
        <w:rPr>
          <w:rFonts w:cs="FrankRuehl" w:hint="cs"/>
          <w:sz w:val="26"/>
          <w:rtl/>
        </w:rPr>
        <w:t> </w:t>
      </w:r>
      <w:r>
        <w:rPr>
          <w:rFonts w:cs="FrankRuehl" w:hint="cs"/>
          <w:sz w:val="26"/>
          <w:rtl/>
        </w:rPr>
        <w:t>ת</w:t>
      </w:r>
      <w:r>
        <w:rPr>
          <w:rFonts w:cs="FrankRuehl"/>
          <w:sz w:val="26"/>
          <w:rtl/>
        </w:rPr>
        <w:t>ק</w:t>
      </w:r>
      <w:r>
        <w:rPr>
          <w:rFonts w:cs="FrankRuehl" w:hint="cs"/>
          <w:sz w:val="26"/>
          <w:rtl/>
        </w:rPr>
        <w:t>נה 7 לתקנו</w:t>
      </w:r>
      <w:r>
        <w:rPr>
          <w:rFonts w:cs="FrankRuehl"/>
          <w:sz w:val="26"/>
          <w:rtl/>
        </w:rPr>
        <w:t xml:space="preserve">ת </w:t>
      </w:r>
      <w:r>
        <w:rPr>
          <w:rFonts w:cs="FrankRuehl" w:hint="cs"/>
          <w:sz w:val="26"/>
          <w:rtl/>
        </w:rPr>
        <w:t>ההתגוננות האזרחית (תנאים להתקנת מתקנים ולשימוש בהם), תשכ"ה</w:t>
      </w:r>
      <w:r>
        <w:rPr>
          <w:rFonts w:cs="FrankRuehl"/>
          <w:sz w:val="26"/>
          <w:rtl/>
        </w:rPr>
        <w:t>–1965</w:t>
      </w:r>
      <w:r>
        <w:rPr>
          <w:rFonts w:cs="FrankRuehl"/>
          <w:sz w:val="26"/>
          <w:rtl/>
        </w:rPr>
        <w:t> </w:t>
      </w:r>
      <w:r>
        <w:rPr>
          <w:rFonts w:cs="FrankRuehl" w:hint="cs"/>
          <w:sz w:val="26"/>
          <w:rtl/>
        </w:rPr>
        <w:t>500</w:t>
      </w:r>
      <w:r>
        <w:rPr>
          <w:rFonts w:cs="FrankRuehl" w:hint="cs"/>
          <w:sz w:val="26"/>
          <w:rtl/>
        </w:rPr>
        <w:t> </w:t>
      </w:r>
      <w:r>
        <w:rPr>
          <w:rFonts w:cs="FrankRuehl" w:hint="cs"/>
          <w:sz w:val="26"/>
          <w:rtl/>
        </w:rPr>
        <w:t>1000</w:t>
      </w:r>
    </w:p>
    <w:p w:rsidR="00B64C6F" w:rsidRDefault="00B64C6F">
      <w:pPr>
        <w:pStyle w:val="P00"/>
        <w:spacing w:before="72"/>
        <w:ind w:left="283" w:right="1134" w:hanging="283"/>
        <w:rPr>
          <w:rFonts w:cs="FrankRuehl"/>
          <w:sz w:val="26"/>
          <w:rtl/>
        </w:rPr>
      </w:pPr>
      <w:r>
        <w:rPr>
          <w:rFonts w:cs="FrankRuehl" w:hint="cs"/>
          <w:sz w:val="26"/>
          <w:rtl/>
        </w:rPr>
        <w:t>9.</w:t>
      </w:r>
      <w:r>
        <w:rPr>
          <w:rFonts w:cs="FrankRuehl" w:hint="cs"/>
          <w:sz w:val="26"/>
          <w:rtl/>
        </w:rPr>
        <w:t> </w:t>
      </w:r>
      <w:r>
        <w:rPr>
          <w:rFonts w:cs="FrankRuehl" w:hint="cs"/>
          <w:sz w:val="26"/>
          <w:rtl/>
        </w:rPr>
        <w:t>ת</w:t>
      </w:r>
      <w:r>
        <w:rPr>
          <w:rFonts w:cs="FrankRuehl"/>
          <w:sz w:val="26"/>
          <w:rtl/>
        </w:rPr>
        <w:t>ק</w:t>
      </w:r>
      <w:r>
        <w:rPr>
          <w:rFonts w:cs="FrankRuehl" w:hint="cs"/>
          <w:sz w:val="26"/>
          <w:rtl/>
        </w:rPr>
        <w:t>נות ההתגוננות האזרחית (הודעות בעל תפקיד נדרש), תש"ל</w:t>
      </w:r>
      <w:r>
        <w:rPr>
          <w:rFonts w:cs="FrankRuehl"/>
          <w:sz w:val="26"/>
          <w:rtl/>
        </w:rPr>
        <w:t>–1970</w:t>
      </w:r>
      <w:r>
        <w:rPr>
          <w:rFonts w:cs="FrankRuehl"/>
          <w:sz w:val="26"/>
          <w:rtl/>
        </w:rPr>
        <w:t> </w:t>
      </w:r>
      <w:r>
        <w:rPr>
          <w:rFonts w:cs="FrankRuehl" w:hint="cs"/>
          <w:sz w:val="26"/>
          <w:rtl/>
        </w:rPr>
        <w:t>50</w:t>
      </w:r>
      <w:r>
        <w:rPr>
          <w:rFonts w:cs="FrankRuehl" w:hint="cs"/>
          <w:sz w:val="26"/>
          <w:rtl/>
        </w:rPr>
        <w:t> </w:t>
      </w:r>
      <w:r>
        <w:rPr>
          <w:rFonts w:cs="FrankRuehl" w:hint="cs"/>
          <w:sz w:val="26"/>
          <w:rtl/>
        </w:rPr>
        <w:t>100</w:t>
      </w:r>
    </w:p>
    <w:p w:rsidR="00B64C6F" w:rsidRDefault="00B64C6F">
      <w:pPr>
        <w:pStyle w:val="page"/>
        <w:widowControl/>
        <w:ind w:right="1134"/>
        <w:rPr>
          <w:rFonts w:cs="David"/>
          <w:position w:val="0"/>
          <w:sz w:val="22"/>
          <w:rtl/>
        </w:rPr>
      </w:pPr>
    </w:p>
    <w:p w:rsidR="00B64C6F" w:rsidRDefault="00B64C6F">
      <w:pPr>
        <w:pStyle w:val="page"/>
        <w:widowControl/>
        <w:ind w:right="1134"/>
        <w:rPr>
          <w:rFonts w:cs="David"/>
          <w:position w:val="0"/>
          <w:sz w:val="22"/>
          <w:rtl/>
        </w:rPr>
      </w:pPr>
    </w:p>
    <w:p w:rsidR="00B64C6F" w:rsidRDefault="00B64C6F">
      <w:pPr>
        <w:pStyle w:val="page"/>
        <w:widowControl/>
        <w:ind w:right="1134"/>
        <w:rPr>
          <w:rFonts w:cs="David"/>
          <w:position w:val="0"/>
          <w:sz w:val="22"/>
          <w:rtl/>
        </w:rPr>
      </w:pPr>
    </w:p>
    <w:p w:rsidR="00B64C6F" w:rsidRDefault="00B64C6F">
      <w:pPr>
        <w:pStyle w:val="page"/>
        <w:widowControl/>
        <w:ind w:right="1134"/>
        <w:rPr>
          <w:rFonts w:cs="David"/>
          <w:position w:val="0"/>
          <w:sz w:val="22"/>
          <w:rtl/>
        </w:rPr>
      </w:pPr>
    </w:p>
    <w:p w:rsidR="00B64C6F" w:rsidRDefault="00B64C6F">
      <w:pPr>
        <w:pStyle w:val="page"/>
        <w:widowControl/>
        <w:ind w:right="1134"/>
        <w:rPr>
          <w:rFonts w:cs="David"/>
          <w:position w:val="0"/>
          <w:sz w:val="22"/>
          <w:rtl/>
        </w:rPr>
      </w:pPr>
      <w:r>
        <w:rPr>
          <w:rFonts w:cs="David"/>
          <w:position w:val="0"/>
          <w:sz w:val="22"/>
          <w:rtl/>
        </w:rPr>
        <w:t xml:space="preserve"> </w:t>
      </w:r>
    </w:p>
    <w:p w:rsidR="00B64C6F" w:rsidRDefault="00B64C6F">
      <w:pPr>
        <w:pStyle w:val="medium2-header"/>
        <w:keepLines w:val="0"/>
        <w:spacing w:before="72"/>
        <w:ind w:left="0" w:right="1134"/>
        <w:rPr>
          <w:rFonts w:cs="FrankRuehl"/>
          <w:noProof/>
          <w:rtl/>
        </w:rPr>
      </w:pPr>
      <w:bookmarkStart w:id="8" w:name="med1"/>
      <w:bookmarkEnd w:id="8"/>
      <w:r>
        <w:rPr>
          <w:rFonts w:cs="FrankRuehl"/>
          <w:noProof/>
          <w:rtl/>
        </w:rPr>
        <w:t>תו</w:t>
      </w:r>
      <w:r>
        <w:rPr>
          <w:rFonts w:cs="FrankRuehl" w:hint="cs"/>
          <w:noProof/>
          <w:rtl/>
        </w:rPr>
        <w:t>ספת שניה</w:t>
      </w:r>
    </w:p>
    <w:p w:rsidR="00B64C6F" w:rsidRDefault="00B64C6F">
      <w:pPr>
        <w:pStyle w:val="medium-header"/>
        <w:keepNext w:val="0"/>
        <w:keepLines w:val="0"/>
        <w:ind w:left="0" w:right="1134"/>
        <w:rPr>
          <w:rFonts w:cs="FrankRuehl"/>
          <w:sz w:val="26"/>
          <w:rtl/>
        </w:rPr>
      </w:pPr>
      <w:r>
        <w:rPr>
          <w:rFonts w:cs="FrankRuehl"/>
          <w:sz w:val="26"/>
          <w:rtl/>
        </w:rPr>
        <w:t>(ס</w:t>
      </w:r>
      <w:r>
        <w:rPr>
          <w:rFonts w:cs="FrankRuehl" w:hint="cs"/>
          <w:sz w:val="26"/>
          <w:rtl/>
        </w:rPr>
        <w:t>עיף 3)</w:t>
      </w:r>
    </w:p>
    <w:p w:rsidR="00B64C6F" w:rsidRDefault="00B64C6F">
      <w:pPr>
        <w:pStyle w:val="medium2-header"/>
        <w:keepLines w:val="0"/>
        <w:spacing w:before="72"/>
        <w:ind w:left="0" w:right="1134"/>
        <w:rPr>
          <w:rFonts w:cs="FrankRuehl"/>
          <w:noProof/>
          <w:rtl/>
        </w:rPr>
      </w:pPr>
      <w:bookmarkStart w:id="9" w:name="med2"/>
      <w:bookmarkEnd w:id="9"/>
      <w:r>
        <w:rPr>
          <w:rFonts w:cs="FrankRuehl"/>
          <w:noProof/>
          <w:rtl/>
        </w:rPr>
        <w:t>חו</w:t>
      </w:r>
      <w:r>
        <w:rPr>
          <w:rFonts w:cs="FrankRuehl" w:hint="cs"/>
          <w:noProof/>
          <w:rtl/>
        </w:rPr>
        <w:t>ק ההתגוננות האזרחית, תשי"א</w:t>
      </w:r>
      <w:r>
        <w:rPr>
          <w:rFonts w:cs="FrankRuehl"/>
          <w:noProof/>
          <w:rtl/>
        </w:rPr>
        <w:t>–1951</w:t>
      </w:r>
    </w:p>
    <w:p w:rsidR="00B64C6F" w:rsidRDefault="00B64C6F">
      <w:pPr>
        <w:pStyle w:val="medium-header"/>
        <w:keepNext w:val="0"/>
        <w:keepLines w:val="0"/>
        <w:ind w:left="0" w:right="1134"/>
        <w:rPr>
          <w:rFonts w:cs="FrankRuehl"/>
          <w:sz w:val="26"/>
          <w:rtl/>
        </w:rPr>
      </w:pPr>
      <w:r>
        <w:rPr>
          <w:rFonts w:cs="FrankRuehl"/>
          <w:sz w:val="26"/>
          <w:rtl/>
        </w:rPr>
        <w:t>(ס</w:t>
      </w:r>
      <w:r>
        <w:rPr>
          <w:rFonts w:cs="FrankRuehl" w:hint="cs"/>
          <w:sz w:val="26"/>
          <w:rtl/>
        </w:rPr>
        <w:t>עיף 24א)</w:t>
      </w:r>
    </w:p>
    <w:p w:rsidR="00B64C6F" w:rsidRDefault="00B64C6F">
      <w:pPr>
        <w:pStyle w:val="header-2"/>
        <w:ind w:left="0" w:right="1134"/>
        <w:rPr>
          <w:rFonts w:cs="Miriam"/>
          <w:rtl/>
        </w:rPr>
      </w:pPr>
      <w:r>
        <w:rPr>
          <w:rFonts w:cs="Miriam"/>
          <w:rtl/>
        </w:rPr>
        <w:t>הז</w:t>
      </w:r>
      <w:r>
        <w:rPr>
          <w:rFonts w:cs="Miriam" w:hint="cs"/>
          <w:rtl/>
        </w:rPr>
        <w:t>מנה לדין וכתב א</w:t>
      </w:r>
      <w:r>
        <w:rPr>
          <w:rFonts w:cs="Miriam"/>
          <w:rtl/>
        </w:rPr>
        <w:t>יש</w:t>
      </w:r>
      <w:r>
        <w:rPr>
          <w:rFonts w:cs="Miriam" w:hint="cs"/>
          <w:rtl/>
        </w:rPr>
        <w:t>ום</w:t>
      </w:r>
    </w:p>
    <w:p w:rsidR="00B64C6F" w:rsidRDefault="00B64C6F">
      <w:pPr>
        <w:pStyle w:val="medium-header"/>
        <w:keepNext w:val="0"/>
        <w:keepLines w:val="0"/>
        <w:ind w:left="0" w:right="1134"/>
        <w:rPr>
          <w:rFonts w:cs="FrankRuehl"/>
          <w:sz w:val="26"/>
          <w:rtl/>
        </w:rPr>
      </w:pPr>
      <w:r>
        <w:rPr>
          <w:rFonts w:cs="FrankRuehl"/>
          <w:sz w:val="26"/>
          <w:rtl/>
        </w:rPr>
        <w:t>(ע</w:t>
      </w:r>
      <w:r>
        <w:rPr>
          <w:rFonts w:cs="FrankRuehl" w:hint="cs"/>
          <w:sz w:val="26"/>
          <w:rtl/>
        </w:rPr>
        <w:t>בירות קנס)</w:t>
      </w:r>
    </w:p>
    <w:p w:rsidR="00B64C6F" w:rsidRDefault="00B64C6F">
      <w:pPr>
        <w:pStyle w:val="P00"/>
        <w:spacing w:before="72"/>
        <w:ind w:left="0" w:right="1134"/>
        <w:rPr>
          <w:rFonts w:cs="FrankRuehl"/>
          <w:sz w:val="26"/>
          <w:rtl/>
        </w:rPr>
      </w:pPr>
      <w:r>
        <w:rPr>
          <w:rFonts w:cs="FrankRuehl"/>
          <w:sz w:val="26"/>
          <w:rtl/>
        </w:rPr>
        <w:t>בב</w:t>
      </w:r>
      <w:r>
        <w:rPr>
          <w:rFonts w:cs="FrankRuehl" w:hint="cs"/>
          <w:sz w:val="26"/>
          <w:rtl/>
        </w:rPr>
        <w:t xml:space="preserve">ית משפט שלום/העירוני </w:t>
      </w:r>
    </w:p>
    <w:p w:rsidR="00B64C6F" w:rsidRDefault="00B64C6F">
      <w:pPr>
        <w:pStyle w:val="P00"/>
        <w:spacing w:before="72"/>
        <w:ind w:left="0" w:right="1134"/>
        <w:rPr>
          <w:rFonts w:cs="FrankRuehl"/>
          <w:sz w:val="26"/>
          <w:rtl/>
        </w:rPr>
      </w:pPr>
      <w:r>
        <w:rPr>
          <w:rFonts w:cs="FrankRuehl" w:hint="cs"/>
          <w:sz w:val="26"/>
          <w:rtl/>
        </w:rPr>
        <w:t>מ</w:t>
      </w:r>
      <w:r>
        <w:rPr>
          <w:rFonts w:cs="FrankRuehl"/>
          <w:sz w:val="26"/>
          <w:rtl/>
        </w:rPr>
        <w:t>ד</w:t>
      </w:r>
      <w:r>
        <w:rPr>
          <w:rFonts w:cs="FrankRuehl" w:hint="cs"/>
          <w:sz w:val="26"/>
          <w:rtl/>
        </w:rPr>
        <w:t>ינת ישראל נגד</w:t>
      </w:r>
    </w:p>
    <w:p w:rsidR="00B64C6F" w:rsidRDefault="00B64C6F">
      <w:pPr>
        <w:pStyle w:val="P00"/>
        <w:spacing w:before="72"/>
        <w:ind w:left="0" w:right="1134"/>
        <w:rPr>
          <w:rFonts w:cs="FrankRuehl"/>
          <w:sz w:val="26"/>
          <w:rtl/>
        </w:rPr>
      </w:pPr>
      <w:r>
        <w:rPr>
          <w:rFonts w:cs="FrankRuehl"/>
          <w:sz w:val="26"/>
          <w:rtl/>
        </w:rPr>
        <w:t> </w:t>
      </w:r>
    </w:p>
    <w:p w:rsidR="00B64C6F" w:rsidRDefault="00B64C6F">
      <w:pPr>
        <w:pStyle w:val="P00"/>
        <w:spacing w:before="72"/>
        <w:ind w:left="0" w:right="1134"/>
        <w:rPr>
          <w:rStyle w:val="default"/>
          <w:rFonts w:cs="FrankRuehl"/>
          <w:rtl/>
        </w:rPr>
      </w:pPr>
      <w:r>
        <w:rPr>
          <w:rFonts w:cs="FrankRuehl"/>
          <w:sz w:val="26"/>
          <w:rtl/>
        </w:rPr>
        <w:t> </w:t>
      </w:r>
      <w:r>
        <w:rPr>
          <w:rFonts w:cs="FrankRuehl"/>
          <w:sz w:val="26"/>
          <w:rtl/>
        </w:rPr>
        <w:t> </w:t>
      </w:r>
      <w:r>
        <w:rPr>
          <w:rStyle w:val="default"/>
          <w:rFonts w:cs="FrankRuehl"/>
          <w:rtl/>
        </w:rPr>
        <w:t>שם</w:t>
      </w:r>
      <w:r>
        <w:rPr>
          <w:rStyle w:val="default"/>
          <w:rFonts w:cs="FrankRuehl" w:hint="cs"/>
          <w:rtl/>
        </w:rPr>
        <w:t xml:space="preserve"> פרטי</w:t>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 xml:space="preserve"> ש</w:t>
      </w:r>
      <w:r>
        <w:rPr>
          <w:rStyle w:val="default"/>
          <w:rFonts w:cs="FrankRuehl" w:hint="cs"/>
          <w:rtl/>
        </w:rPr>
        <w:t>ם משפחה</w:t>
      </w:r>
    </w:p>
    <w:p w:rsidR="00B64C6F" w:rsidRDefault="00B64C6F">
      <w:pPr>
        <w:pStyle w:val="P00"/>
        <w:spacing w:before="72"/>
        <w:ind w:left="0"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B64C6F" w:rsidRDefault="00B64C6F">
      <w:pPr>
        <w:pStyle w:val="P00"/>
        <w:spacing w:before="72"/>
        <w:ind w:left="0" w:right="1134"/>
        <w:rPr>
          <w:rStyle w:val="default"/>
          <w:rFonts w:cs="FrankRuehl"/>
          <w:rtl/>
        </w:rPr>
      </w:pPr>
      <w:r>
        <w:rPr>
          <w:rFonts w:cs="FrankRuehl"/>
          <w:sz w:val="26"/>
          <w:rtl/>
        </w:rPr>
        <w:t> </w:t>
      </w:r>
      <w:r>
        <w:rPr>
          <w:rFonts w:cs="FrankRuehl"/>
          <w:sz w:val="26"/>
          <w:rtl/>
        </w:rPr>
        <w:t> </w:t>
      </w:r>
      <w:r>
        <w:rPr>
          <w:rStyle w:val="default"/>
          <w:rFonts w:cs="FrankRuehl"/>
          <w:rtl/>
        </w:rPr>
        <w:t>מס</w:t>
      </w:r>
      <w:r>
        <w:rPr>
          <w:rStyle w:val="default"/>
          <w:rFonts w:cs="FrankRuehl" w:hint="cs"/>
          <w:rtl/>
        </w:rPr>
        <w:t>' הזהות</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המ</w:t>
      </w:r>
      <w:r>
        <w:rPr>
          <w:rStyle w:val="default"/>
          <w:rFonts w:cs="FrankRuehl" w:hint="cs"/>
          <w:rtl/>
        </w:rPr>
        <w:t>ען</w:t>
      </w:r>
    </w:p>
    <w:p w:rsidR="00B64C6F" w:rsidRDefault="00B64C6F">
      <w:pPr>
        <w:pStyle w:val="P00"/>
        <w:spacing w:before="72"/>
        <w:ind w:left="0" w:right="1134"/>
        <w:rPr>
          <w:rStyle w:val="default"/>
          <w:rFonts w:cs="FrankRuehl"/>
          <w:rtl/>
        </w:rPr>
      </w:pPr>
      <w:r>
        <w:rPr>
          <w:rStyle w:val="default"/>
          <w:rFonts w:cs="FrankRuehl" w:hint="cs"/>
          <w:rtl/>
        </w:rPr>
        <w:t>ת</w:t>
      </w:r>
      <w:r>
        <w:rPr>
          <w:rStyle w:val="default"/>
          <w:rFonts w:cs="FrankRuehl"/>
          <w:rtl/>
        </w:rPr>
        <w:t>י</w:t>
      </w:r>
      <w:r>
        <w:rPr>
          <w:rStyle w:val="default"/>
          <w:rFonts w:cs="FrankRuehl" w:hint="cs"/>
          <w:rtl/>
        </w:rPr>
        <w:t>אור העובדות המהוות את העבירה:</w:t>
      </w:r>
    </w:p>
    <w:p w:rsidR="00B64C6F" w:rsidRDefault="00B64C6F">
      <w:pPr>
        <w:pStyle w:val="P00"/>
        <w:spacing w:before="72"/>
        <w:ind w:left="0" w:right="1134"/>
        <w:rPr>
          <w:rStyle w:val="default"/>
          <w:rFonts w:cs="FrankRuehl"/>
          <w:rtl/>
        </w:rPr>
      </w:pPr>
      <w:r>
        <w:rPr>
          <w:rStyle w:val="default"/>
          <w:rFonts w:cs="FrankRuehl" w:hint="cs"/>
          <w:rtl/>
        </w:rPr>
        <w:t>ב</w:t>
      </w:r>
      <w:r>
        <w:rPr>
          <w:rStyle w:val="default"/>
          <w:rFonts w:cs="FrankRuehl"/>
          <w:rtl/>
        </w:rPr>
        <w:t>ת</w:t>
      </w:r>
      <w:r>
        <w:rPr>
          <w:rStyle w:val="default"/>
          <w:rFonts w:cs="FrankRuehl" w:hint="cs"/>
          <w:rtl/>
        </w:rPr>
        <w:t xml:space="preserve">אריך  בשעה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במ</w:t>
      </w:r>
      <w:r>
        <w:rPr>
          <w:rStyle w:val="default"/>
          <w:rFonts w:cs="FrankRuehl" w:hint="cs"/>
          <w:rtl/>
        </w:rPr>
        <w:t xml:space="preserve">קום </w:t>
      </w:r>
    </w:p>
    <w:p w:rsidR="00B64C6F" w:rsidRDefault="00B64C6F">
      <w:pPr>
        <w:pStyle w:val="P00"/>
        <w:spacing w:before="72"/>
        <w:ind w:left="0" w:right="1134"/>
        <w:rPr>
          <w:rFonts w:cs="FrankRuehl"/>
          <w:sz w:val="26"/>
          <w:rtl/>
        </w:rPr>
      </w:pPr>
    </w:p>
    <w:p w:rsidR="00B64C6F" w:rsidRDefault="00B64C6F">
      <w:pPr>
        <w:pStyle w:val="P00"/>
        <w:spacing w:before="72"/>
        <w:ind w:left="0" w:right="1134"/>
        <w:rPr>
          <w:rFonts w:cs="FrankRuehl"/>
          <w:sz w:val="26"/>
          <w:rtl/>
        </w:rPr>
      </w:pPr>
      <w:r>
        <w:rPr>
          <w:rFonts w:cs="FrankRuehl" w:hint="cs"/>
          <w:sz w:val="26"/>
          <w:rtl/>
        </w:rPr>
        <w:t>ע</w:t>
      </w:r>
      <w:r>
        <w:rPr>
          <w:rFonts w:cs="FrankRuehl"/>
          <w:sz w:val="26"/>
          <w:rtl/>
        </w:rPr>
        <w:t>ב</w:t>
      </w:r>
      <w:r>
        <w:rPr>
          <w:rFonts w:cs="FrankRuehl" w:hint="cs"/>
          <w:sz w:val="26"/>
          <w:rtl/>
        </w:rPr>
        <w:t>ירה על:</w:t>
      </w:r>
    </w:p>
    <w:p w:rsidR="00B64C6F" w:rsidRDefault="00B64C6F">
      <w:pPr>
        <w:pStyle w:val="P00"/>
        <w:spacing w:before="72"/>
        <w:ind w:left="0" w:right="1134"/>
        <w:rPr>
          <w:rStyle w:val="default"/>
          <w:rFonts w:cs="FrankRuehl"/>
          <w:rtl/>
        </w:rPr>
      </w:pP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(ה</w:t>
      </w:r>
      <w:r>
        <w:rPr>
          <w:rStyle w:val="default"/>
          <w:rFonts w:cs="FrankRuehl" w:hint="cs"/>
          <w:rtl/>
        </w:rPr>
        <w:t>חיקוק והסעיף)</w:t>
      </w:r>
    </w:p>
    <w:p w:rsidR="00B64C6F" w:rsidRDefault="00B64C6F">
      <w:pPr>
        <w:pStyle w:val="P00"/>
        <w:spacing w:before="72"/>
        <w:ind w:left="0" w:right="1134"/>
        <w:rPr>
          <w:rStyle w:val="default"/>
          <w:rFonts w:cs="FrankRuehl"/>
          <w:rtl/>
        </w:rPr>
      </w:pPr>
      <w:r>
        <w:rPr>
          <w:rStyle w:val="default"/>
          <w:rFonts w:cs="FrankRuehl" w:hint="cs"/>
          <w:rtl/>
        </w:rPr>
        <w:t>ש</w:t>
      </w:r>
      <w:r>
        <w:rPr>
          <w:rStyle w:val="default"/>
          <w:rFonts w:cs="FrankRuehl"/>
          <w:rtl/>
        </w:rPr>
        <w:t>מ</w:t>
      </w:r>
      <w:r>
        <w:rPr>
          <w:rStyle w:val="default"/>
          <w:rFonts w:cs="FrankRuehl" w:hint="cs"/>
          <w:rtl/>
        </w:rPr>
        <w:t>ות עדי</w:t>
      </w:r>
      <w:r>
        <w:rPr>
          <w:rStyle w:val="default"/>
          <w:rFonts w:cs="FrankRuehl"/>
          <w:rtl/>
        </w:rPr>
        <w:t xml:space="preserve"> ה</w:t>
      </w:r>
      <w:r>
        <w:rPr>
          <w:rStyle w:val="default"/>
          <w:rFonts w:cs="FrankRuehl" w:hint="cs"/>
          <w:rtl/>
        </w:rPr>
        <w:t>תביעה:</w:t>
      </w:r>
    </w:p>
    <w:p w:rsidR="00B64C6F" w:rsidRDefault="00B64C6F">
      <w:pPr>
        <w:pStyle w:val="P00"/>
        <w:spacing w:before="72"/>
        <w:ind w:left="0" w:right="1134"/>
        <w:rPr>
          <w:rStyle w:val="default"/>
          <w:rFonts w:cs="FrankRuehl"/>
          <w:rtl/>
        </w:rPr>
      </w:pPr>
      <w:r>
        <w:rPr>
          <w:rStyle w:val="default"/>
          <w:rFonts w:cs="FrankRuehl" w:hint="cs"/>
          <w:rtl/>
        </w:rPr>
        <w:t>......................................</w:t>
      </w:r>
    </w:p>
    <w:p w:rsidR="00B64C6F" w:rsidRDefault="00B64C6F">
      <w:pPr>
        <w:pStyle w:val="P00"/>
        <w:spacing w:before="72"/>
        <w:ind w:left="0" w:right="1134"/>
        <w:rPr>
          <w:rFonts w:cs="FrankRuehl"/>
          <w:sz w:val="26"/>
          <w:rtl/>
        </w:rPr>
      </w:pPr>
      <w:r>
        <w:rPr>
          <w:rFonts w:cs="FrankRuehl"/>
          <w:sz w:val="26"/>
          <w:rtl/>
        </w:rPr>
        <w:t>......................................</w:t>
      </w:r>
    </w:p>
    <w:p w:rsidR="00B64C6F" w:rsidRDefault="00B64C6F">
      <w:pPr>
        <w:pStyle w:val="P00"/>
        <w:spacing w:before="72"/>
        <w:ind w:left="0" w:right="1134"/>
        <w:rPr>
          <w:rStyle w:val="default"/>
          <w:rFonts w:cs="FrankRuehl"/>
          <w:rtl/>
        </w:rPr>
      </w:pPr>
      <w:r>
        <w:rPr>
          <w:rStyle w:val="default"/>
          <w:rFonts w:cs="FrankRuehl"/>
          <w:rtl/>
        </w:rPr>
        <w:t>ני</w:t>
      </w:r>
      <w:r>
        <w:rPr>
          <w:rStyle w:val="default"/>
          <w:rFonts w:cs="FrankRuehl" w:hint="cs"/>
          <w:rtl/>
        </w:rPr>
        <w:t>תנת לך הברירה, במקום להישפט על העבירה האמורה, לשלם את הקנס שנקבע לעבירה זו בצו ההתגוננות האזרחית (עבירות קנס), תשל"ו</w:t>
      </w:r>
      <w:r>
        <w:rPr>
          <w:rStyle w:val="default"/>
          <w:rFonts w:cs="FrankRuehl"/>
          <w:rtl/>
        </w:rPr>
        <w:t xml:space="preserve">–1976, </w:t>
      </w:r>
      <w:r>
        <w:rPr>
          <w:rStyle w:val="default"/>
          <w:rFonts w:cs="FrankRuehl" w:hint="cs"/>
          <w:rtl/>
        </w:rPr>
        <w:t>בסך ............ לירות, תוך חמישה-עשר יום מת</w:t>
      </w:r>
      <w:r>
        <w:rPr>
          <w:rStyle w:val="default"/>
          <w:rFonts w:cs="FrankRuehl"/>
          <w:rtl/>
        </w:rPr>
        <w:t>אר</w:t>
      </w:r>
      <w:r>
        <w:rPr>
          <w:rStyle w:val="default"/>
          <w:rFonts w:cs="FrankRuehl" w:hint="cs"/>
          <w:rtl/>
        </w:rPr>
        <w:t>יך קבלת הזמנה זו, בקופת בית משפט השלום/העירוני ב .................... או לבית המשפט האמור על ידי בנק הדואר או על ידי הדואר.</w:t>
      </w:r>
    </w:p>
    <w:p w:rsidR="00B64C6F" w:rsidRDefault="00B64C6F">
      <w:pPr>
        <w:pStyle w:val="P00"/>
        <w:spacing w:before="72"/>
        <w:ind w:left="0" w:right="1134"/>
        <w:rPr>
          <w:rStyle w:val="default"/>
          <w:rFonts w:cs="FrankRuehl"/>
          <w:rtl/>
        </w:rPr>
      </w:pPr>
      <w:r>
        <w:rPr>
          <w:rStyle w:val="default"/>
          <w:rFonts w:cs="FrankRuehl" w:hint="cs"/>
          <w:rtl/>
        </w:rPr>
        <w:t>א</w:t>
      </w:r>
      <w:r>
        <w:rPr>
          <w:rStyle w:val="default"/>
          <w:rFonts w:cs="FrankRuehl"/>
          <w:rtl/>
        </w:rPr>
        <w:t>ם</w:t>
      </w:r>
      <w:r>
        <w:rPr>
          <w:rStyle w:val="default"/>
          <w:rFonts w:cs="FrankRuehl" w:hint="cs"/>
          <w:rtl/>
        </w:rPr>
        <w:t xml:space="preserve"> לא תשלם את הקנס הנך מוזמן להתייצב בבית המשפט הנ"ל כדי ל</w:t>
      </w:r>
      <w:r>
        <w:rPr>
          <w:rStyle w:val="default"/>
          <w:rFonts w:cs="FrankRuehl"/>
          <w:rtl/>
        </w:rPr>
        <w:t>ה</w:t>
      </w:r>
      <w:r>
        <w:rPr>
          <w:rStyle w:val="default"/>
          <w:rFonts w:cs="FrankRuehl" w:hint="cs"/>
          <w:rtl/>
        </w:rPr>
        <w:t>ישפט על ההאשמה האמורה בתאריך .................. בשעה .............. .</w:t>
      </w:r>
    </w:p>
    <w:p w:rsidR="00B64C6F" w:rsidRDefault="00B64C6F">
      <w:pPr>
        <w:pStyle w:val="page"/>
        <w:widowControl/>
        <w:ind w:right="1134"/>
        <w:rPr>
          <w:rFonts w:cs="David"/>
          <w:position w:val="0"/>
          <w:sz w:val="22"/>
          <w:rtl/>
        </w:rPr>
      </w:pPr>
      <w:r>
        <w:rPr>
          <w:rFonts w:cs="David"/>
          <w:position w:val="0"/>
          <w:sz w:val="22"/>
          <w:rtl/>
        </w:rPr>
        <w:t xml:space="preserve"> </w:t>
      </w:r>
    </w:p>
    <w:p w:rsidR="00B64C6F" w:rsidRDefault="00B64C6F">
      <w:pPr>
        <w:pStyle w:val="page"/>
        <w:widowControl/>
        <w:ind w:right="1134"/>
        <w:jc w:val="both"/>
        <w:rPr>
          <w:rFonts w:cs="David"/>
          <w:position w:val="0"/>
          <w:sz w:val="22"/>
          <w:rtl/>
        </w:rPr>
      </w:pPr>
      <w:r>
        <w:rPr>
          <w:rStyle w:val="default"/>
          <w:rFonts w:cs="FrankRuehl"/>
          <w:rtl/>
        </w:rPr>
        <w:t>אם</w:t>
      </w:r>
      <w:r>
        <w:rPr>
          <w:rStyle w:val="default"/>
          <w:rFonts w:cs="FrankRuehl" w:hint="cs"/>
          <w:rtl/>
        </w:rPr>
        <w:t xml:space="preserve"> לא תשלם את הקנס ולא תופיע בעצמך ולא תהיה מיוצג על ידי סניגור בבית המשפט בתאריך ובשעה הנקובים לעיל, יראוך כמודה בעובדות ובית-המשפט יהיה רשאי לדונך שלא בפניך</w:t>
      </w:r>
      <w:r>
        <w:rPr>
          <w:rFonts w:cs="David"/>
          <w:position w:val="0"/>
          <w:sz w:val="22"/>
          <w:rtl/>
        </w:rPr>
        <w:t>.</w:t>
      </w:r>
    </w:p>
    <w:p w:rsidR="00B64C6F" w:rsidRDefault="00B64C6F">
      <w:pPr>
        <w:pStyle w:val="page"/>
        <w:widowControl/>
        <w:ind w:right="1134"/>
        <w:rPr>
          <w:rFonts w:cs="David"/>
          <w:position w:val="0"/>
          <w:sz w:val="22"/>
          <w:rtl/>
        </w:rPr>
      </w:pPr>
    </w:p>
    <w:p w:rsidR="00B64C6F" w:rsidRDefault="00B64C6F">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p>
    <w:p w:rsidR="00B64C6F" w:rsidRDefault="00B64C6F">
      <w:pPr>
        <w:pStyle w:val="sig-1"/>
        <w:widowControl/>
        <w:ind w:left="0" w:right="1134"/>
        <w:rPr>
          <w:rFonts w:cs="FrankRuehl"/>
          <w:sz w:val="22"/>
          <w:rtl/>
        </w:rPr>
      </w:pPr>
      <w:r>
        <w:rPr>
          <w:rFonts w:cs="FrankRuehl"/>
          <w:sz w:val="22"/>
          <w:rtl/>
        </w:rPr>
        <w:tab/>
        <w:t>ח</w:t>
      </w:r>
      <w:r>
        <w:rPr>
          <w:rFonts w:cs="FrankRuehl" w:hint="cs"/>
          <w:sz w:val="22"/>
          <w:rtl/>
        </w:rPr>
        <w:t>תימת המקבל</w:t>
      </w:r>
      <w:r>
        <w:rPr>
          <w:rFonts w:cs="FrankRuehl"/>
          <w:sz w:val="22"/>
          <w:rtl/>
        </w:rPr>
        <w:tab/>
      </w:r>
      <w:r>
        <w:rPr>
          <w:rFonts w:cs="FrankRuehl"/>
          <w:sz w:val="22"/>
          <w:rtl/>
        </w:rPr>
        <w:tab/>
        <w:t>ח</w:t>
      </w:r>
      <w:r>
        <w:rPr>
          <w:rFonts w:cs="FrankRuehl" w:hint="cs"/>
          <w:sz w:val="22"/>
          <w:rtl/>
        </w:rPr>
        <w:t>תימת המוסר</w:t>
      </w:r>
    </w:p>
    <w:p w:rsidR="00B64C6F" w:rsidRDefault="00B64C6F">
      <w:pPr>
        <w:pStyle w:val="sig-1"/>
        <w:widowControl/>
        <w:ind w:left="0" w:right="1134"/>
        <w:rPr>
          <w:rFonts w:cs="FrankRuehl"/>
          <w:sz w:val="22"/>
          <w:rtl/>
        </w:rPr>
      </w:pPr>
    </w:p>
    <w:p w:rsidR="00B64C6F" w:rsidRDefault="00B64C6F">
      <w:pPr>
        <w:pStyle w:val="P00"/>
        <w:spacing w:before="72"/>
        <w:ind w:left="0" w:right="1134"/>
        <w:rPr>
          <w:rFonts w:cs="FrankRuehl"/>
          <w:sz w:val="26"/>
          <w:rtl/>
        </w:rPr>
      </w:pPr>
      <w:r>
        <w:rPr>
          <w:rFonts w:cs="FrankRuehl"/>
          <w:sz w:val="26"/>
          <w:rtl/>
        </w:rPr>
        <w:t>מס</w:t>
      </w:r>
      <w:r>
        <w:rPr>
          <w:rFonts w:cs="FrankRuehl" w:hint="cs"/>
          <w:sz w:val="26"/>
          <w:rtl/>
        </w:rPr>
        <w:t>ירה בדואר: מסרתי את ההזמנה וכתב האישו</w:t>
      </w:r>
      <w:r>
        <w:rPr>
          <w:rFonts w:cs="FrankRuehl"/>
          <w:sz w:val="26"/>
          <w:rtl/>
        </w:rPr>
        <w:t xml:space="preserve">ם </w:t>
      </w:r>
      <w:r>
        <w:rPr>
          <w:rFonts w:cs="FrankRuehl" w:hint="cs"/>
          <w:sz w:val="26"/>
          <w:rtl/>
        </w:rPr>
        <w:t>למשלוח בדואר רשום.</w:t>
      </w:r>
    </w:p>
    <w:p w:rsidR="00B64C6F" w:rsidRDefault="00B64C6F">
      <w:pPr>
        <w:pStyle w:val="P00"/>
        <w:spacing w:before="72"/>
        <w:ind w:left="0" w:right="1134"/>
        <w:rPr>
          <w:rFonts w:cs="FrankRuehl"/>
          <w:sz w:val="26"/>
          <w:rtl/>
        </w:rPr>
      </w:pPr>
    </w:p>
    <w:p w:rsidR="00B64C6F" w:rsidRDefault="00B64C6F">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p>
    <w:p w:rsidR="00B64C6F" w:rsidRDefault="00B64C6F">
      <w:pPr>
        <w:pStyle w:val="sig-1"/>
        <w:widowControl/>
        <w:ind w:left="0" w:right="1134"/>
        <w:rPr>
          <w:rFonts w:cs="FrankRuehl"/>
          <w:sz w:val="22"/>
          <w:rtl/>
        </w:rPr>
      </w:pPr>
      <w:r>
        <w:rPr>
          <w:rFonts w:cs="FrankRuehl"/>
          <w:sz w:val="22"/>
          <w:rtl/>
        </w:rPr>
        <w:tab/>
        <w:t>ח</w:t>
      </w:r>
      <w:r>
        <w:rPr>
          <w:rFonts w:cs="FrankRuehl" w:hint="cs"/>
          <w:sz w:val="22"/>
          <w:rtl/>
        </w:rPr>
        <w:t>תימה</w:t>
      </w:r>
      <w:r>
        <w:rPr>
          <w:rFonts w:cs="FrankRuehl"/>
          <w:sz w:val="22"/>
          <w:rtl/>
        </w:rPr>
        <w:tab/>
      </w:r>
      <w:r>
        <w:rPr>
          <w:rFonts w:cs="FrankRuehl"/>
          <w:sz w:val="22"/>
          <w:rtl/>
        </w:rPr>
        <w:tab/>
        <w:t>ח</w:t>
      </w:r>
      <w:r>
        <w:rPr>
          <w:rFonts w:cs="FrankRuehl" w:hint="cs"/>
          <w:sz w:val="22"/>
          <w:rtl/>
        </w:rPr>
        <w:t>תימת המוסר</w:t>
      </w:r>
    </w:p>
    <w:p w:rsidR="00B64C6F" w:rsidRDefault="00B64C6F">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ו</w:t>
      </w:r>
      <w:r>
        <w:rPr>
          <w:rFonts w:cs="FrankRuehl" w:hint="cs"/>
          <w:sz w:val="22"/>
          <w:rtl/>
        </w:rPr>
        <w:t>חותמת הדואר</w:t>
      </w:r>
    </w:p>
    <w:p w:rsidR="00B64C6F" w:rsidRDefault="00B64C6F">
      <w:pPr>
        <w:pStyle w:val="sig-1"/>
        <w:widowControl/>
        <w:ind w:left="0" w:right="1134"/>
        <w:rPr>
          <w:rFonts w:cs="FrankRuehl"/>
          <w:sz w:val="22"/>
          <w:rtl/>
        </w:rPr>
      </w:pPr>
    </w:p>
    <w:p w:rsidR="00B64C6F" w:rsidRDefault="00B64C6F">
      <w:pPr>
        <w:pStyle w:val="footnote"/>
        <w:widowControl/>
        <w:tabs>
          <w:tab w:val="center" w:pos="851"/>
          <w:tab w:val="center" w:pos="2835"/>
          <w:tab w:val="center" w:pos="4820"/>
        </w:tabs>
        <w:suppressAutoHyphens w:val="0"/>
        <w:ind w:left="0" w:right="1134"/>
        <w:rPr>
          <w:rFonts w:cs="FrankRuehl"/>
          <w:rtl/>
        </w:rPr>
      </w:pPr>
      <w:r>
        <w:rPr>
          <w:rFonts w:cs="FrankRuehl"/>
          <w:rtl/>
        </w:rPr>
        <w:t>הע</w:t>
      </w:r>
      <w:r>
        <w:rPr>
          <w:rFonts w:cs="FrankRuehl" w:hint="cs"/>
          <w:rtl/>
        </w:rPr>
        <w:t>רות:</w:t>
      </w:r>
      <w:r>
        <w:rPr>
          <w:rFonts w:cs="FrankRuehl"/>
          <w:rtl/>
        </w:rPr>
        <w:t> </w:t>
      </w:r>
      <w:r>
        <w:rPr>
          <w:rFonts w:cs="FrankRuehl"/>
          <w:rtl/>
        </w:rPr>
        <w:t> </w:t>
      </w:r>
      <w:r>
        <w:rPr>
          <w:rFonts w:cs="FrankRuehl"/>
          <w:rtl/>
        </w:rPr>
        <w:t> </w:t>
      </w:r>
      <w:r>
        <w:rPr>
          <w:rFonts w:cs="FrankRuehl"/>
          <w:rtl/>
        </w:rPr>
        <w:t>1.</w:t>
      </w:r>
      <w:r>
        <w:rPr>
          <w:rFonts w:cs="FrankRuehl"/>
          <w:rtl/>
        </w:rPr>
        <w:t> </w:t>
      </w:r>
      <w:r>
        <w:rPr>
          <w:rFonts w:cs="FrankRuehl"/>
          <w:rtl/>
        </w:rPr>
        <w:t>בש</w:t>
      </w:r>
      <w:r>
        <w:rPr>
          <w:rFonts w:cs="FrankRuehl" w:hint="cs"/>
          <w:rtl/>
        </w:rPr>
        <w:t>עת תשלום הקנס עליך להמציא הזמנה זו.</w:t>
      </w:r>
    </w:p>
    <w:p w:rsidR="00B64C6F" w:rsidRDefault="00B64C6F">
      <w:pPr>
        <w:pStyle w:val="footnote"/>
        <w:widowControl/>
        <w:tabs>
          <w:tab w:val="center" w:pos="851"/>
          <w:tab w:val="center" w:pos="2835"/>
          <w:tab w:val="center" w:pos="4820"/>
        </w:tabs>
        <w:suppressAutoHyphens w:val="0"/>
        <w:ind w:left="0" w:right="1134"/>
        <w:rPr>
          <w:rFonts w:cs="FrankRuehl"/>
          <w:rtl/>
        </w:rPr>
      </w:pPr>
      <w:r>
        <w:rPr>
          <w:rFonts w:cs="FrankRuehl"/>
          <w:rtl/>
        </w:rPr>
        <w:t> </w:t>
      </w:r>
      <w:r>
        <w:rPr>
          <w:rFonts w:cs="FrankRuehl"/>
          <w:rtl/>
        </w:rPr>
        <w:t> </w:t>
      </w:r>
      <w:r>
        <w:rPr>
          <w:rFonts w:cs="FrankRuehl"/>
          <w:rtl/>
        </w:rPr>
        <w:t> </w:t>
      </w:r>
      <w:r>
        <w:rPr>
          <w:rFonts w:cs="FrankRuehl"/>
          <w:rtl/>
        </w:rPr>
        <w:t>2.</w:t>
      </w:r>
      <w:r>
        <w:rPr>
          <w:rFonts w:cs="FrankRuehl"/>
          <w:rtl/>
        </w:rPr>
        <w:t> </w:t>
      </w:r>
      <w:r>
        <w:rPr>
          <w:rFonts w:cs="FrankRuehl"/>
          <w:rtl/>
        </w:rPr>
        <w:t>תש</w:t>
      </w:r>
      <w:r>
        <w:rPr>
          <w:rFonts w:cs="FrankRuehl" w:hint="cs"/>
          <w:rtl/>
        </w:rPr>
        <w:t xml:space="preserve">לום סכום הקנס לאחר שעברו חמישה-עשר יום מיום מסירת הזמנה זו, או </w:t>
      </w:r>
      <w:r>
        <w:rPr>
          <w:rFonts w:cs="FrankRuehl"/>
          <w:rtl/>
        </w:rPr>
        <w:t>ת</w:t>
      </w:r>
      <w:r>
        <w:rPr>
          <w:rFonts w:cs="FrankRuehl" w:hint="cs"/>
          <w:rtl/>
        </w:rPr>
        <w:t>שלום שהוא קטן משיעור הקנס שנקבע לעבירה, אינם משחררים מהחובה להישפט על ה</w:t>
      </w:r>
      <w:r>
        <w:rPr>
          <w:rFonts w:cs="FrankRuehl"/>
          <w:rtl/>
        </w:rPr>
        <w:t>עב</w:t>
      </w:r>
      <w:r>
        <w:rPr>
          <w:rFonts w:cs="FrankRuehl" w:hint="cs"/>
          <w:rtl/>
        </w:rPr>
        <w:t>ירה הנ"ל.</w:t>
      </w:r>
    </w:p>
    <w:p w:rsidR="00B64C6F" w:rsidRDefault="00B64C6F">
      <w:pPr>
        <w:pStyle w:val="footnote"/>
        <w:widowControl/>
        <w:tabs>
          <w:tab w:val="center" w:pos="851"/>
          <w:tab w:val="center" w:pos="2835"/>
          <w:tab w:val="center" w:pos="4820"/>
        </w:tabs>
        <w:suppressAutoHyphens w:val="0"/>
        <w:ind w:left="0" w:right="1134"/>
        <w:rPr>
          <w:rFonts w:cs="FrankRuehl"/>
          <w:rtl/>
        </w:rPr>
      </w:pPr>
    </w:p>
    <w:p w:rsidR="00B64C6F" w:rsidRDefault="00B64C6F">
      <w:pPr>
        <w:pStyle w:val="sig-0"/>
        <w:ind w:left="0" w:right="1134"/>
        <w:rPr>
          <w:rFonts w:cs="FrankRuehl"/>
          <w:sz w:val="26"/>
          <w:rtl/>
        </w:rPr>
      </w:pPr>
      <w:r>
        <w:rPr>
          <w:rFonts w:cs="FrankRuehl"/>
          <w:sz w:val="26"/>
          <w:rtl/>
        </w:rPr>
        <w:t xml:space="preserve">ו' </w:t>
      </w:r>
      <w:r>
        <w:rPr>
          <w:rFonts w:cs="FrankRuehl" w:hint="cs"/>
          <w:sz w:val="26"/>
          <w:rtl/>
        </w:rPr>
        <w:t>באב תשל"ו (2 באוגוסט 1976)</w:t>
      </w:r>
      <w:r>
        <w:rPr>
          <w:rFonts w:cs="FrankRuehl"/>
          <w:sz w:val="26"/>
          <w:rtl/>
        </w:rPr>
        <w:tab/>
        <w:t>ש</w:t>
      </w:r>
      <w:r>
        <w:rPr>
          <w:rFonts w:cs="FrankRuehl" w:hint="cs"/>
          <w:sz w:val="26"/>
          <w:rtl/>
        </w:rPr>
        <w:t>מעון פרס</w:t>
      </w:r>
    </w:p>
    <w:p w:rsidR="00B64C6F" w:rsidRDefault="00B64C6F">
      <w:pPr>
        <w:pStyle w:val="sig-0"/>
        <w:ind w:left="0" w:right="1134"/>
        <w:rPr>
          <w:rFonts w:cs="FrankRuehl"/>
          <w:sz w:val="26"/>
          <w:rtl/>
        </w:rPr>
      </w:pPr>
      <w:r>
        <w:rPr>
          <w:rFonts w:cs="FrankRuehl" w:hint="cs"/>
          <w:sz w:val="26"/>
          <w:rtl/>
        </w:rPr>
        <w:t>א</w:t>
      </w:r>
      <w:r>
        <w:rPr>
          <w:rFonts w:cs="FrankRuehl"/>
          <w:sz w:val="26"/>
          <w:rtl/>
        </w:rPr>
        <w:t>נ</w:t>
      </w:r>
      <w:r>
        <w:rPr>
          <w:rFonts w:cs="FrankRuehl" w:hint="cs"/>
          <w:sz w:val="26"/>
          <w:rtl/>
        </w:rPr>
        <w:t>י מסכים.</w:t>
      </w:r>
      <w:r>
        <w:rPr>
          <w:rFonts w:cs="FrankRuehl"/>
          <w:sz w:val="26"/>
          <w:rtl/>
        </w:rPr>
        <w:tab/>
        <w:t>ש</w:t>
      </w:r>
      <w:r>
        <w:rPr>
          <w:rFonts w:cs="FrankRuehl" w:hint="cs"/>
          <w:sz w:val="26"/>
          <w:rtl/>
        </w:rPr>
        <w:t>ר הבטחון</w:t>
      </w:r>
    </w:p>
    <w:p w:rsidR="00B64C6F" w:rsidRDefault="00B64C6F">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t>ח</w:t>
      </w:r>
      <w:r>
        <w:rPr>
          <w:rFonts w:cs="FrankRuehl" w:hint="cs"/>
          <w:sz w:val="22"/>
          <w:rtl/>
        </w:rPr>
        <w:t>יים י' צדוק</w:t>
      </w:r>
    </w:p>
    <w:p w:rsidR="00B64C6F" w:rsidRDefault="00B64C6F">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t>ש</w:t>
      </w:r>
      <w:r>
        <w:rPr>
          <w:rFonts w:cs="FrankRuehl" w:hint="cs"/>
          <w:sz w:val="22"/>
          <w:rtl/>
        </w:rPr>
        <w:t>ר המשפטים</w:t>
      </w:r>
    </w:p>
    <w:p w:rsidR="00B64C6F" w:rsidRDefault="00B64C6F">
      <w:pPr>
        <w:pStyle w:val="sig-1"/>
        <w:widowControl/>
        <w:tabs>
          <w:tab w:val="clear" w:pos="851"/>
          <w:tab w:val="clear" w:pos="2835"/>
          <w:tab w:val="clear" w:pos="4820"/>
          <w:tab w:val="center" w:pos="1985"/>
          <w:tab w:val="center" w:pos="4536"/>
        </w:tabs>
        <w:ind w:left="0" w:right="1134"/>
        <w:rPr>
          <w:rFonts w:cs="FrankRuehl"/>
          <w:sz w:val="22"/>
          <w:rtl/>
        </w:rPr>
      </w:pPr>
    </w:p>
    <w:p w:rsidR="00B64C6F" w:rsidRDefault="00B64C6F">
      <w:pPr>
        <w:pStyle w:val="sig-1"/>
        <w:widowControl/>
        <w:tabs>
          <w:tab w:val="clear" w:pos="851"/>
          <w:tab w:val="clear" w:pos="2835"/>
          <w:tab w:val="clear" w:pos="4820"/>
          <w:tab w:val="center" w:pos="1985"/>
          <w:tab w:val="center" w:pos="4536"/>
        </w:tabs>
        <w:ind w:left="0" w:right="1134"/>
        <w:rPr>
          <w:rFonts w:cs="FrankRuehl"/>
          <w:sz w:val="22"/>
          <w:rtl/>
        </w:rPr>
      </w:pPr>
    </w:p>
    <w:p w:rsidR="00B64C6F" w:rsidRDefault="00B64C6F">
      <w:pPr>
        <w:pStyle w:val="page"/>
        <w:widowControl/>
        <w:ind w:right="1134"/>
        <w:rPr>
          <w:rFonts w:cs="David"/>
          <w:position w:val="0"/>
          <w:sz w:val="22"/>
          <w:rtl/>
        </w:rPr>
      </w:pPr>
    </w:p>
    <w:p w:rsidR="00B64C6F" w:rsidRDefault="00B64C6F">
      <w:pPr>
        <w:pStyle w:val="page"/>
        <w:widowControl/>
        <w:ind w:right="1134"/>
        <w:rPr>
          <w:rFonts w:cs="David"/>
          <w:position w:val="0"/>
          <w:sz w:val="22"/>
          <w:rtl/>
        </w:rPr>
      </w:pPr>
    </w:p>
    <w:p w:rsidR="00B64C6F" w:rsidRDefault="00B64C6F">
      <w:pPr>
        <w:pStyle w:val="page"/>
        <w:widowControl/>
        <w:ind w:right="1134"/>
        <w:rPr>
          <w:rFonts w:cs="David"/>
          <w:position w:val="0"/>
          <w:sz w:val="22"/>
          <w:rtl/>
        </w:rPr>
      </w:pPr>
    </w:p>
    <w:p w:rsidR="00B64C6F" w:rsidRDefault="00B64C6F">
      <w:pPr>
        <w:pStyle w:val="page"/>
        <w:widowControl/>
        <w:ind w:right="1134"/>
        <w:rPr>
          <w:rFonts w:cs="David"/>
          <w:position w:val="0"/>
          <w:sz w:val="22"/>
          <w:rtl/>
        </w:rPr>
      </w:pPr>
    </w:p>
    <w:p w:rsidR="00B64C6F" w:rsidRDefault="00B64C6F">
      <w:pPr>
        <w:pStyle w:val="page"/>
        <w:widowControl/>
        <w:ind w:right="1134"/>
        <w:rPr>
          <w:rFonts w:cs="David"/>
          <w:position w:val="0"/>
          <w:sz w:val="22"/>
          <w:rtl/>
        </w:rPr>
      </w:pPr>
    </w:p>
    <w:p w:rsidR="00B64C6F" w:rsidRDefault="00B64C6F">
      <w:pPr>
        <w:pStyle w:val="page"/>
        <w:widowControl/>
        <w:ind w:right="1134"/>
        <w:rPr>
          <w:rFonts w:cs="David"/>
          <w:position w:val="0"/>
          <w:sz w:val="22"/>
          <w:rtl/>
        </w:rPr>
      </w:pPr>
    </w:p>
    <w:p w:rsidR="00B64C6F" w:rsidRDefault="00B64C6F">
      <w:pPr>
        <w:pStyle w:val="page"/>
        <w:widowControl/>
        <w:ind w:right="1134"/>
        <w:rPr>
          <w:rFonts w:cs="David"/>
          <w:position w:val="0"/>
          <w:sz w:val="22"/>
          <w:rtl/>
        </w:rPr>
      </w:pPr>
    </w:p>
    <w:p w:rsidR="00B64C6F" w:rsidRDefault="00B64C6F">
      <w:pPr>
        <w:pStyle w:val="page"/>
        <w:widowControl/>
        <w:ind w:right="1134"/>
        <w:rPr>
          <w:rFonts w:cs="David"/>
          <w:position w:val="0"/>
          <w:sz w:val="22"/>
          <w:rtl/>
        </w:rPr>
      </w:pPr>
    </w:p>
    <w:p w:rsidR="00B64C6F" w:rsidRDefault="00B64C6F">
      <w:pPr>
        <w:pStyle w:val="page"/>
        <w:widowControl/>
        <w:ind w:right="1134"/>
        <w:rPr>
          <w:rFonts w:cs="David"/>
          <w:position w:val="0"/>
          <w:sz w:val="22"/>
          <w:rtl/>
        </w:rPr>
      </w:pPr>
    </w:p>
    <w:p w:rsidR="00B64C6F" w:rsidRDefault="00B64C6F">
      <w:pPr>
        <w:pStyle w:val="page"/>
        <w:widowControl/>
        <w:ind w:right="1134"/>
        <w:rPr>
          <w:rFonts w:cs="David"/>
          <w:position w:val="0"/>
          <w:sz w:val="22"/>
          <w:rtl/>
        </w:rPr>
      </w:pPr>
    </w:p>
    <w:p w:rsidR="00B64C6F" w:rsidRDefault="00B64C6F">
      <w:pPr>
        <w:pStyle w:val="page"/>
        <w:widowControl/>
        <w:ind w:right="1134"/>
        <w:rPr>
          <w:rFonts w:cs="David"/>
          <w:position w:val="0"/>
          <w:sz w:val="22"/>
          <w:rtl/>
        </w:rPr>
      </w:pPr>
    </w:p>
    <w:p w:rsidR="00B64C6F" w:rsidRDefault="00B64C6F">
      <w:pPr>
        <w:ind w:right="1134"/>
        <w:rPr>
          <w:rFonts w:cs="David"/>
          <w:sz w:val="24"/>
          <w:rtl/>
        </w:rPr>
      </w:pPr>
      <w:bookmarkStart w:id="10" w:name="LawPartEnd"/>
    </w:p>
    <w:bookmarkEnd w:id="10"/>
    <w:p w:rsidR="00B64C6F" w:rsidRDefault="00B64C6F">
      <w:pPr>
        <w:ind w:right="1134"/>
        <w:rPr>
          <w:rFonts w:cs="David"/>
          <w:sz w:val="24"/>
          <w:rtl/>
        </w:rPr>
      </w:pPr>
    </w:p>
    <w:sectPr w:rsidR="00B64C6F">
      <w:headerReference w:type="even" r:id="rId7"/>
      <w:headerReference w:type="default" r:id="rId8"/>
      <w:footerReference w:type="even" r:id="rId9"/>
      <w:footerReference w:type="default" r:id="rId10"/>
      <w:headerReference w:type="first" r:id="rId11"/>
      <w:footerReference w:type="firs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A2746" w:rsidRDefault="00DA2746">
      <w:r>
        <w:separator/>
      </w:r>
    </w:p>
  </w:endnote>
  <w:endnote w:type="continuationSeparator" w:id="0">
    <w:p w:rsidR="00DA2746" w:rsidRDefault="00DA2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4C6F" w:rsidRDefault="00B64C6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64C6F" w:rsidRDefault="00B64C6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64C6F" w:rsidRDefault="00B64C6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M:\0a-lishca\law\gideon-03-02-13\law01\125_028.doc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4C6F" w:rsidRDefault="00B64C6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57102">
      <w:rPr>
        <w:rFonts w:hAnsi="FrankRuehl" w:cs="FrankRuehl"/>
        <w:noProof/>
        <w:sz w:val="24"/>
        <w:szCs w:val="24"/>
        <w:rtl/>
      </w:rPr>
      <w:t>2</w:t>
    </w:r>
    <w:r>
      <w:rPr>
        <w:rFonts w:hAnsi="FrankRuehl" w:cs="FrankRuehl"/>
        <w:sz w:val="24"/>
        <w:szCs w:val="24"/>
        <w:rtl/>
      </w:rPr>
      <w:fldChar w:fldCharType="end"/>
    </w:r>
  </w:p>
  <w:p w:rsidR="00B64C6F" w:rsidRDefault="00B64C6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64C6F" w:rsidRDefault="00B64C6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M:\0a-lishca\law\gideon-03-02-13\law01\125_028.doc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4C6F" w:rsidRDefault="00B64C6F">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A2746" w:rsidRDefault="00DA2746">
      <w:r>
        <w:separator/>
      </w:r>
    </w:p>
  </w:footnote>
  <w:footnote w:type="continuationSeparator" w:id="0">
    <w:p w:rsidR="00DA2746" w:rsidRDefault="00DA2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4C6F" w:rsidRDefault="00B64C6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ההתגוננות האזרחית (עבירות קנס), תשל"ו–1976</w:t>
    </w:r>
  </w:p>
  <w:p w:rsidR="00B64C6F" w:rsidRDefault="00B64C6F">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B64C6F" w:rsidRDefault="00B64C6F">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4C6F" w:rsidRDefault="00B64C6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ההתגוננות האזרחית (עבירות קנס), תשל"ו–1976</w:t>
    </w:r>
  </w:p>
  <w:p w:rsidR="00B64C6F" w:rsidRDefault="00B64C6F">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B64C6F" w:rsidRDefault="00B64C6F">
    <w:pPr>
      <w:pStyle w:val="a3"/>
      <w:pBdr>
        <w:top w:val="single" w:sz="4" w:space="0" w:color="auto"/>
      </w:pBdr>
      <w:spacing w:line="220" w:lineRule="exact"/>
      <w:ind w:left="0" w:right="1134"/>
      <w:jc w:val="center"/>
      <w:rPr>
        <w:rFonts w:hAnsi="FrankRuehl" w:cs="FrankRuehl"/>
        <w:color w:val="000000"/>
        <w:sz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4C6F" w:rsidRDefault="00B64C6F">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7466"/>
    <w:rsid w:val="00057102"/>
    <w:rsid w:val="004775A8"/>
    <w:rsid w:val="005E3CD6"/>
    <w:rsid w:val="00817466"/>
    <w:rsid w:val="00B13904"/>
    <w:rsid w:val="00B63E22"/>
    <w:rsid w:val="00B64C6F"/>
    <w:rsid w:val="00DA27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F1BBAF9-B39E-4A38-AF22-56062C3D2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3581.pdf"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פרק 125</vt:lpstr>
    </vt:vector>
  </TitlesOfParts>
  <Company/>
  <LinksUpToDate>false</LinksUpToDate>
  <CharactersWithSpaces>4464</CharactersWithSpaces>
  <SharedDoc>false</SharedDoc>
  <HLinks>
    <vt:vector size="66" baseType="variant">
      <vt:variant>
        <vt:i4>7471116</vt:i4>
      </vt:variant>
      <vt:variant>
        <vt:i4>60</vt:i4>
      </vt:variant>
      <vt:variant>
        <vt:i4>0</vt:i4>
      </vt:variant>
      <vt:variant>
        <vt:i4>5</vt:i4>
      </vt:variant>
      <vt:variant>
        <vt:lpwstr>http://www.nevo.co.il/Law_word/law06/TAK-3581.pdf</vt:lpwstr>
      </vt:variant>
      <vt:variant>
        <vt:lpwstr/>
      </vt:variant>
      <vt:variant>
        <vt:i4>5701641</vt:i4>
      </vt:variant>
      <vt:variant>
        <vt:i4>57</vt:i4>
      </vt:variant>
      <vt:variant>
        <vt:i4>0</vt:i4>
      </vt:variant>
      <vt:variant>
        <vt:i4>5</vt:i4>
      </vt:variant>
      <vt:variant>
        <vt:lpwstr/>
      </vt:variant>
      <vt:variant>
        <vt:lpwstr>med2</vt:lpwstr>
      </vt:variant>
      <vt:variant>
        <vt:i4>5505033</vt:i4>
      </vt:variant>
      <vt:variant>
        <vt:i4>51</vt:i4>
      </vt:variant>
      <vt:variant>
        <vt:i4>0</vt:i4>
      </vt:variant>
      <vt:variant>
        <vt:i4>5</vt:i4>
      </vt:variant>
      <vt:variant>
        <vt:lpwstr/>
      </vt:variant>
      <vt:variant>
        <vt:lpwstr>med1</vt:lpwstr>
      </vt:variant>
      <vt:variant>
        <vt:i4>5570569</vt:i4>
      </vt:variant>
      <vt:variant>
        <vt:i4>45</vt:i4>
      </vt:variant>
      <vt:variant>
        <vt:i4>0</vt:i4>
      </vt:variant>
      <vt:variant>
        <vt:i4>5</vt:i4>
      </vt:variant>
      <vt:variant>
        <vt:lpwstr/>
      </vt:variant>
      <vt:variant>
        <vt:lpwstr>med0</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125</dc:title>
  <dc:subject/>
  <dc:creator>eli</dc:creator>
  <cp:keywords/>
  <dc:description/>
  <cp:lastModifiedBy>Shimon Doodkin</cp:lastModifiedBy>
  <cp:revision>2</cp:revision>
  <dcterms:created xsi:type="dcterms:W3CDTF">2023-06-05T19:16:00Z</dcterms:created>
  <dcterms:modified xsi:type="dcterms:W3CDTF">2023-06-05T19:16:00Z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0125</vt:lpwstr>
  </property>
  <property fmtid="{D5CDD505-2E9C-101B-9397-08002B2CF9AE}" pid="3" name="CHNAME">
    <vt:lpwstr>התגוננות אזרחית</vt:lpwstr>
  </property>
  <property fmtid="{D5CDD505-2E9C-101B-9397-08002B2CF9AE}" pid="4" name="LAWNAME">
    <vt:lpwstr>צו ההתגוננות האזרחית (עבירות קנס), תשל"ו–1976</vt:lpwstr>
  </property>
  <property fmtid="{D5CDD505-2E9C-101B-9397-08002B2CF9AE}" pid="5" name="LAWNUMBER">
    <vt:lpwstr>0028</vt:lpwstr>
  </property>
  <property fmtid="{D5CDD505-2E9C-101B-9397-08002B2CF9AE}" pid="6" name="TYPE">
    <vt:lpwstr>01</vt:lpwstr>
  </property>
  <property fmtid="{D5CDD505-2E9C-101B-9397-08002B2CF9AE}" pid="7" name="NOSE11">
    <vt:lpwstr>בטחון</vt:lpwstr>
  </property>
  <property fmtid="{D5CDD505-2E9C-101B-9397-08002B2CF9AE}" pid="8" name="NOSE21">
    <vt:lpwstr>התגוננות אזרחית</vt:lpwstr>
  </property>
  <property fmtid="{D5CDD505-2E9C-101B-9397-08002B2CF9AE}" pid="9" name="NOSE31">
    <vt:lpwstr/>
  </property>
  <property fmtid="{D5CDD505-2E9C-101B-9397-08002B2CF9AE}" pid="10" name="NOSE41">
    <vt:lpwstr/>
  </property>
  <property fmtid="{D5CDD505-2E9C-101B-9397-08002B2CF9AE}" pid="11" name="NOSE12">
    <vt:lpwstr>עונשין ומשפט פלילי</vt:lpwstr>
  </property>
  <property fmtid="{D5CDD505-2E9C-101B-9397-08002B2CF9AE}" pid="12" name="NOSE22">
    <vt:lpwstr>עבירות</vt:lpwstr>
  </property>
  <property fmtid="{D5CDD505-2E9C-101B-9397-08002B2CF9AE}" pid="13" name="NOSE32">
    <vt:lpwstr>עבירות קנס</vt:lpwstr>
  </property>
  <property fmtid="{D5CDD505-2E9C-101B-9397-08002B2CF9AE}" pid="14" name="NOSE42">
    <vt:lpwstr/>
  </property>
  <property fmtid="{D5CDD505-2E9C-101B-9397-08002B2CF9AE}" pid="15" name="NOSE13">
    <vt:lpwstr>בתי משפט וסדרי דין</vt:lpwstr>
  </property>
  <property fmtid="{D5CDD505-2E9C-101B-9397-08002B2CF9AE}" pid="16" name="NOSE23">
    <vt:lpwstr>סדר דין פלילי</vt:lpwstr>
  </property>
  <property fmtid="{D5CDD505-2E9C-101B-9397-08002B2CF9AE}" pid="17" name="NOSE33">
    <vt:lpwstr>עבירות קנס</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ההתגוננות האזרחית</vt:lpwstr>
  </property>
  <property fmtid="{D5CDD505-2E9C-101B-9397-08002B2CF9AE}" pid="48" name="MEKOR_SAIF1">
    <vt:lpwstr>24אX;27XגX</vt:lpwstr>
  </property>
</Properties>
</file>