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1DA8" w14:textId="77777777" w:rsidR="00A30B6F" w:rsidRDefault="00A30B6F">
      <w:pPr>
        <w:pStyle w:val="big-header"/>
        <w:ind w:left="0" w:right="1134"/>
      </w:pPr>
      <w:r>
        <w:rPr>
          <w:rtl/>
        </w:rPr>
        <w:t>צו החברות (הודעה לבעלי מניות מתנגדים), תשט"ו</w:t>
      </w:r>
      <w:r>
        <w:rPr>
          <w:rFonts w:hint="cs"/>
          <w:rtl/>
        </w:rPr>
        <w:t>-</w:t>
      </w:r>
      <w:r>
        <w:rPr>
          <w:rtl/>
        </w:rPr>
        <w:t>1955</w:t>
      </w:r>
    </w:p>
    <w:p w14:paraId="640F926A" w14:textId="77777777" w:rsidR="00ED1C68" w:rsidRPr="00ED1C68" w:rsidRDefault="00ED1C68" w:rsidP="00ED1C68">
      <w:pPr>
        <w:spacing w:line="320" w:lineRule="auto"/>
        <w:jc w:val="left"/>
        <w:rPr>
          <w:rFonts w:cs="FrankRuehl"/>
          <w:szCs w:val="26"/>
          <w:rtl/>
        </w:rPr>
      </w:pPr>
    </w:p>
    <w:p w14:paraId="4470EB49" w14:textId="77777777" w:rsidR="00ED1C68" w:rsidRDefault="00ED1C68" w:rsidP="00ED1C68">
      <w:pPr>
        <w:spacing w:line="320" w:lineRule="auto"/>
        <w:jc w:val="left"/>
        <w:rPr>
          <w:rtl/>
        </w:rPr>
      </w:pPr>
    </w:p>
    <w:p w14:paraId="3AFF363F" w14:textId="77777777" w:rsidR="00ED1C68" w:rsidRPr="00ED1C68" w:rsidRDefault="00ED1C68" w:rsidP="00ED1C68">
      <w:pPr>
        <w:spacing w:line="320" w:lineRule="auto"/>
        <w:jc w:val="left"/>
        <w:rPr>
          <w:rFonts w:cs="Miriam"/>
          <w:szCs w:val="22"/>
          <w:rtl/>
        </w:rPr>
      </w:pPr>
      <w:r w:rsidRPr="00ED1C68">
        <w:rPr>
          <w:rFonts w:cs="Miriam"/>
          <w:szCs w:val="22"/>
          <w:rtl/>
        </w:rPr>
        <w:t>משפט פרטי וכלכלה</w:t>
      </w:r>
      <w:r w:rsidRPr="00ED1C68">
        <w:rPr>
          <w:rFonts w:cs="FrankRuehl"/>
          <w:szCs w:val="26"/>
          <w:rtl/>
        </w:rPr>
        <w:t xml:space="preserve"> – תאגידים וניירות ערך – חברות</w:t>
      </w:r>
    </w:p>
    <w:p w14:paraId="6BD0E9D9" w14:textId="77777777" w:rsidR="00A30B6F" w:rsidRDefault="00A30B6F">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30B6F" w14:paraId="42623D00" w14:textId="77777777">
        <w:tblPrEx>
          <w:tblCellMar>
            <w:top w:w="0" w:type="dxa"/>
            <w:bottom w:w="0" w:type="dxa"/>
          </w:tblCellMar>
        </w:tblPrEx>
        <w:trPr>
          <w:jc w:val="right"/>
        </w:trPr>
        <w:tc>
          <w:tcPr>
            <w:tcW w:w="850" w:type="dxa"/>
          </w:tcPr>
          <w:p w14:paraId="48A8174D" w14:textId="77777777" w:rsidR="00A30B6F" w:rsidRDefault="00A30B6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392CD58" w14:textId="77777777" w:rsidR="00A30B6F" w:rsidRDefault="00A30B6F">
            <w:pPr>
              <w:spacing w:line="240" w:lineRule="auto"/>
              <w:jc w:val="left"/>
              <w:rPr>
                <w:rFonts w:cs="Frankruhel"/>
                <w:sz w:val="24"/>
              </w:rPr>
            </w:pPr>
            <w:hyperlink w:anchor="Seif0" w:tooltip="צורת ההודעה" w:history="1">
              <w:r>
                <w:rPr>
                  <w:rStyle w:val="Hyperlink"/>
                </w:rPr>
                <w:t>Go</w:t>
              </w:r>
            </w:hyperlink>
          </w:p>
        </w:tc>
        <w:tc>
          <w:tcPr>
            <w:tcW w:w="5669" w:type="dxa"/>
          </w:tcPr>
          <w:p w14:paraId="61DCAA25" w14:textId="77777777" w:rsidR="00A30B6F" w:rsidRDefault="00A30B6F">
            <w:pPr>
              <w:spacing w:line="240" w:lineRule="auto"/>
              <w:jc w:val="left"/>
              <w:rPr>
                <w:rFonts w:cs="Frankruhel"/>
                <w:sz w:val="24"/>
                <w:rtl/>
              </w:rPr>
            </w:pPr>
            <w:r>
              <w:rPr>
                <w:rFonts w:cs="Frankruhel"/>
                <w:sz w:val="24"/>
                <w:rtl/>
              </w:rPr>
              <w:t>צורת ההודעה</w:t>
            </w:r>
          </w:p>
        </w:tc>
        <w:tc>
          <w:tcPr>
            <w:tcW w:w="1247" w:type="dxa"/>
          </w:tcPr>
          <w:p w14:paraId="69782CF9" w14:textId="77777777" w:rsidR="00A30B6F" w:rsidRDefault="00A30B6F">
            <w:pPr>
              <w:spacing w:line="240" w:lineRule="auto"/>
              <w:jc w:val="left"/>
              <w:rPr>
                <w:rFonts w:cs="Frankruhel"/>
                <w:sz w:val="24"/>
              </w:rPr>
            </w:pPr>
            <w:r>
              <w:rPr>
                <w:rFonts w:cs="Frankruhel"/>
                <w:sz w:val="24"/>
                <w:rtl/>
              </w:rPr>
              <w:t xml:space="preserve">סעיף 1 </w:t>
            </w:r>
          </w:p>
        </w:tc>
      </w:tr>
      <w:tr w:rsidR="00A30B6F" w14:paraId="6B0D49E2" w14:textId="77777777">
        <w:tblPrEx>
          <w:tblCellMar>
            <w:top w:w="0" w:type="dxa"/>
            <w:bottom w:w="0" w:type="dxa"/>
          </w:tblCellMar>
        </w:tblPrEx>
        <w:trPr>
          <w:jc w:val="right"/>
        </w:trPr>
        <w:tc>
          <w:tcPr>
            <w:tcW w:w="850" w:type="dxa"/>
          </w:tcPr>
          <w:p w14:paraId="4DCAFC18" w14:textId="77777777" w:rsidR="00A30B6F" w:rsidRDefault="00A30B6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F360F6A" w14:textId="77777777" w:rsidR="00A30B6F" w:rsidRDefault="00A30B6F">
            <w:pPr>
              <w:spacing w:line="240" w:lineRule="auto"/>
              <w:jc w:val="left"/>
              <w:rPr>
                <w:rFonts w:cs="Frankruhel"/>
                <w:sz w:val="24"/>
              </w:rPr>
            </w:pPr>
            <w:hyperlink w:anchor="Seif1" w:tooltip="דרך מתן ההודעה" w:history="1">
              <w:r>
                <w:rPr>
                  <w:rStyle w:val="Hyperlink"/>
                </w:rPr>
                <w:t>Go</w:t>
              </w:r>
            </w:hyperlink>
          </w:p>
        </w:tc>
        <w:tc>
          <w:tcPr>
            <w:tcW w:w="5669" w:type="dxa"/>
          </w:tcPr>
          <w:p w14:paraId="57FA4886" w14:textId="77777777" w:rsidR="00A30B6F" w:rsidRDefault="00A30B6F">
            <w:pPr>
              <w:spacing w:line="240" w:lineRule="auto"/>
              <w:jc w:val="left"/>
              <w:rPr>
                <w:rFonts w:cs="Frankruhel"/>
                <w:sz w:val="24"/>
                <w:rtl/>
              </w:rPr>
            </w:pPr>
            <w:r>
              <w:rPr>
                <w:rFonts w:cs="Frankruhel"/>
                <w:sz w:val="24"/>
                <w:rtl/>
              </w:rPr>
              <w:t>דרך מתן ההודעה</w:t>
            </w:r>
          </w:p>
        </w:tc>
        <w:tc>
          <w:tcPr>
            <w:tcW w:w="1247" w:type="dxa"/>
          </w:tcPr>
          <w:p w14:paraId="37BD0FA0" w14:textId="77777777" w:rsidR="00A30B6F" w:rsidRDefault="00A30B6F">
            <w:pPr>
              <w:spacing w:line="240" w:lineRule="auto"/>
              <w:jc w:val="left"/>
              <w:rPr>
                <w:rFonts w:cs="Frankruhel"/>
                <w:sz w:val="24"/>
              </w:rPr>
            </w:pPr>
            <w:r>
              <w:rPr>
                <w:rFonts w:cs="Frankruhel"/>
                <w:sz w:val="24"/>
                <w:rtl/>
              </w:rPr>
              <w:t xml:space="preserve">סעיף 2 </w:t>
            </w:r>
          </w:p>
        </w:tc>
      </w:tr>
      <w:tr w:rsidR="00A30B6F" w14:paraId="24CCF71F" w14:textId="77777777">
        <w:tblPrEx>
          <w:tblCellMar>
            <w:top w:w="0" w:type="dxa"/>
            <w:bottom w:w="0" w:type="dxa"/>
          </w:tblCellMar>
        </w:tblPrEx>
        <w:trPr>
          <w:jc w:val="right"/>
        </w:trPr>
        <w:tc>
          <w:tcPr>
            <w:tcW w:w="850" w:type="dxa"/>
          </w:tcPr>
          <w:p w14:paraId="77D85E5B" w14:textId="77777777" w:rsidR="00A30B6F" w:rsidRDefault="00A30B6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2A8C19E" w14:textId="77777777" w:rsidR="00A30B6F" w:rsidRDefault="00A30B6F">
            <w:pPr>
              <w:spacing w:line="240" w:lineRule="auto"/>
              <w:jc w:val="left"/>
              <w:rPr>
                <w:rFonts w:cs="Frankruhel"/>
                <w:sz w:val="24"/>
              </w:rPr>
            </w:pPr>
            <w:hyperlink w:anchor="Seif2" w:tooltip="השם" w:history="1">
              <w:r>
                <w:rPr>
                  <w:rStyle w:val="Hyperlink"/>
                </w:rPr>
                <w:t>Go</w:t>
              </w:r>
            </w:hyperlink>
          </w:p>
        </w:tc>
        <w:tc>
          <w:tcPr>
            <w:tcW w:w="5669" w:type="dxa"/>
          </w:tcPr>
          <w:p w14:paraId="5F18AE47" w14:textId="77777777" w:rsidR="00A30B6F" w:rsidRDefault="00A30B6F">
            <w:pPr>
              <w:spacing w:line="240" w:lineRule="auto"/>
              <w:jc w:val="left"/>
              <w:rPr>
                <w:rFonts w:cs="Frankruhel"/>
                <w:sz w:val="24"/>
                <w:rtl/>
              </w:rPr>
            </w:pPr>
            <w:r>
              <w:rPr>
                <w:rFonts w:cs="Frankruhel"/>
                <w:sz w:val="24"/>
                <w:rtl/>
              </w:rPr>
              <w:t>השם</w:t>
            </w:r>
          </w:p>
        </w:tc>
        <w:tc>
          <w:tcPr>
            <w:tcW w:w="1247" w:type="dxa"/>
          </w:tcPr>
          <w:p w14:paraId="50E2B880" w14:textId="77777777" w:rsidR="00A30B6F" w:rsidRDefault="00A30B6F">
            <w:pPr>
              <w:spacing w:line="240" w:lineRule="auto"/>
              <w:jc w:val="left"/>
              <w:rPr>
                <w:rFonts w:cs="Frankruhel"/>
                <w:sz w:val="24"/>
              </w:rPr>
            </w:pPr>
            <w:r>
              <w:rPr>
                <w:rFonts w:cs="Frankruhel"/>
                <w:sz w:val="24"/>
                <w:rtl/>
              </w:rPr>
              <w:t xml:space="preserve">סעיף 3 </w:t>
            </w:r>
          </w:p>
        </w:tc>
      </w:tr>
      <w:tr w:rsidR="00A30B6F" w14:paraId="6F58FD1A" w14:textId="77777777">
        <w:tblPrEx>
          <w:tblCellMar>
            <w:top w:w="0" w:type="dxa"/>
            <w:bottom w:w="0" w:type="dxa"/>
          </w:tblCellMar>
        </w:tblPrEx>
        <w:trPr>
          <w:jc w:val="right"/>
        </w:trPr>
        <w:tc>
          <w:tcPr>
            <w:tcW w:w="850" w:type="dxa"/>
          </w:tcPr>
          <w:p w14:paraId="663113F6" w14:textId="77777777" w:rsidR="00A30B6F" w:rsidRDefault="00A30B6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3D7AAF3" w14:textId="77777777" w:rsidR="00A30B6F" w:rsidRDefault="00A30B6F">
            <w:pPr>
              <w:spacing w:line="240" w:lineRule="auto"/>
              <w:jc w:val="left"/>
              <w:rPr>
                <w:rFonts w:cs="Frankruhel"/>
                <w:sz w:val="24"/>
              </w:rPr>
            </w:pPr>
            <w:hyperlink w:anchor="med0" w:tooltip="פקודת החברות" w:history="1">
              <w:r>
                <w:rPr>
                  <w:rStyle w:val="Hyperlink"/>
                </w:rPr>
                <w:t>Go</w:t>
              </w:r>
            </w:hyperlink>
          </w:p>
        </w:tc>
        <w:tc>
          <w:tcPr>
            <w:tcW w:w="5669" w:type="dxa"/>
          </w:tcPr>
          <w:p w14:paraId="03C5D2F2" w14:textId="77777777" w:rsidR="00A30B6F" w:rsidRDefault="00A30B6F">
            <w:pPr>
              <w:spacing w:line="240" w:lineRule="auto"/>
              <w:jc w:val="left"/>
              <w:rPr>
                <w:rFonts w:cs="Frankruhel"/>
                <w:sz w:val="24"/>
              </w:rPr>
            </w:pPr>
            <w:r>
              <w:rPr>
                <w:rFonts w:cs="Frankruhel"/>
                <w:sz w:val="24"/>
                <w:rtl/>
              </w:rPr>
              <w:t>פקודת החברות</w:t>
            </w:r>
          </w:p>
        </w:tc>
        <w:tc>
          <w:tcPr>
            <w:tcW w:w="1247" w:type="dxa"/>
          </w:tcPr>
          <w:p w14:paraId="573A36E6" w14:textId="77777777" w:rsidR="00A30B6F" w:rsidRDefault="00A30B6F">
            <w:pPr>
              <w:spacing w:line="240" w:lineRule="auto"/>
              <w:jc w:val="left"/>
              <w:rPr>
                <w:rFonts w:cs="Frankruhel"/>
                <w:sz w:val="24"/>
              </w:rPr>
            </w:pPr>
          </w:p>
        </w:tc>
      </w:tr>
    </w:tbl>
    <w:p w14:paraId="43F2CFB2" w14:textId="77777777" w:rsidR="00A30B6F" w:rsidRDefault="00A30B6F">
      <w:pPr>
        <w:pStyle w:val="big-header"/>
        <w:ind w:left="0" w:right="1134"/>
        <w:rPr>
          <w:rtl/>
        </w:rPr>
      </w:pPr>
    </w:p>
    <w:p w14:paraId="5516C63D" w14:textId="77777777" w:rsidR="00A30B6F" w:rsidRDefault="00A30B6F" w:rsidP="00ED1C68">
      <w:pPr>
        <w:pStyle w:val="big-header"/>
        <w:ind w:left="0" w:right="1134"/>
        <w:rPr>
          <w:rStyle w:val="default"/>
          <w:rFonts w:cs="FrankRuehl" w:hint="cs"/>
          <w:rtl/>
        </w:rPr>
      </w:pPr>
      <w:r>
        <w:rPr>
          <w:rtl/>
        </w:rPr>
        <w:br w:type="page"/>
      </w:r>
      <w:r>
        <w:rPr>
          <w:rtl/>
        </w:rPr>
        <w:lastRenderedPageBreak/>
        <w:t>צ</w:t>
      </w:r>
      <w:r>
        <w:rPr>
          <w:rFonts w:hint="cs"/>
          <w:rtl/>
        </w:rPr>
        <w:t>ו החברות (הודעה לבעלי מניות מתנגדים), תשט"ו-</w:t>
      </w:r>
      <w:r>
        <w:rPr>
          <w:rtl/>
        </w:rPr>
        <w:t>1955</w:t>
      </w:r>
      <w:r>
        <w:rPr>
          <w:rStyle w:val="default"/>
          <w:rtl/>
        </w:rPr>
        <w:footnoteReference w:customMarkFollows="1" w:id="1"/>
        <w:t>*</w:t>
      </w:r>
    </w:p>
    <w:p w14:paraId="65C0058C" w14:textId="77777777" w:rsidR="00A30B6F" w:rsidRDefault="00A30B6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2(1) ו-119(1) לפקודת החברות,</w:t>
      </w:r>
      <w:r>
        <w:rPr>
          <w:rStyle w:val="default"/>
          <w:rFonts w:cs="FrankRuehl"/>
          <w:rtl/>
        </w:rPr>
        <w:t xml:space="preserve"> </w:t>
      </w:r>
      <w:r>
        <w:rPr>
          <w:rStyle w:val="default"/>
          <w:rFonts w:cs="FrankRuehl" w:hint="cs"/>
          <w:rtl/>
        </w:rPr>
        <w:t>והסעיפים 14(א) ו-2(ד) לפקודת סדרי השלטון והמשפט, תש"ח-1948, אני מצווה לאמור:</w:t>
      </w:r>
    </w:p>
    <w:p w14:paraId="12A1C193" w14:textId="77777777" w:rsidR="00A30B6F" w:rsidRDefault="00A30B6F">
      <w:pPr>
        <w:pStyle w:val="P00"/>
        <w:spacing w:before="72"/>
        <w:ind w:left="0" w:right="1134"/>
        <w:rPr>
          <w:rStyle w:val="default"/>
          <w:rFonts w:cs="FrankRuehl"/>
          <w:rtl/>
        </w:rPr>
      </w:pPr>
      <w:bookmarkStart w:id="0" w:name="Seif0"/>
      <w:bookmarkEnd w:id="0"/>
      <w:r>
        <w:rPr>
          <w:lang w:val="he-IL"/>
        </w:rPr>
        <w:pict w14:anchorId="5DF44D41">
          <v:rect id="_x0000_s1026" style="position:absolute;left:0;text-align:left;margin-left:464.5pt;margin-top:8.05pt;width:75.05pt;height:8pt;z-index:251656704" o:allowincell="f" filled="f" stroked="f" strokecolor="lime" strokeweight=".25pt">
            <v:textbox inset="0,0,0,0">
              <w:txbxContent>
                <w:p w14:paraId="486F76EB" w14:textId="77777777" w:rsidR="00A30B6F" w:rsidRDefault="00A30B6F">
                  <w:pPr>
                    <w:spacing w:line="160" w:lineRule="exact"/>
                    <w:jc w:val="left"/>
                    <w:rPr>
                      <w:rFonts w:cs="Miriam"/>
                      <w:noProof/>
                      <w:szCs w:val="18"/>
                      <w:rtl/>
                    </w:rPr>
                  </w:pPr>
                  <w:r>
                    <w:rPr>
                      <w:rFonts w:cs="Miriam"/>
                      <w:szCs w:val="18"/>
                      <w:rtl/>
                    </w:rPr>
                    <w:t>צ</w:t>
                  </w:r>
                  <w:r>
                    <w:rPr>
                      <w:rFonts w:cs="Miriam" w:hint="cs"/>
                      <w:szCs w:val="18"/>
                      <w:rtl/>
                    </w:rPr>
                    <w:t>ורת ההודעה</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הודעה שתינתן לבעלי מניות מתנגדים, בהתאם לסעיף 119(1) לפקודת החברות, תהא בצורה הקבועה בתוספת, וב</w:t>
      </w:r>
      <w:r>
        <w:rPr>
          <w:rStyle w:val="default"/>
          <w:rFonts w:cs="FrankRuehl"/>
          <w:rtl/>
        </w:rPr>
        <w:t>ש</w:t>
      </w:r>
      <w:r>
        <w:rPr>
          <w:rStyle w:val="default"/>
          <w:rFonts w:cs="FrankRuehl" w:hint="cs"/>
          <w:rtl/>
        </w:rPr>
        <w:t>ינויים המחוייבים לפי הנסיבות.</w:t>
      </w:r>
    </w:p>
    <w:p w14:paraId="628BE597" w14:textId="77777777" w:rsidR="00A30B6F" w:rsidRDefault="00A30B6F">
      <w:pPr>
        <w:pStyle w:val="P00"/>
        <w:spacing w:before="72"/>
        <w:ind w:left="0" w:right="1134"/>
        <w:rPr>
          <w:rStyle w:val="default"/>
          <w:rFonts w:cs="FrankRuehl"/>
          <w:rtl/>
        </w:rPr>
      </w:pPr>
      <w:bookmarkStart w:id="1" w:name="Seif1"/>
      <w:bookmarkEnd w:id="1"/>
      <w:r>
        <w:rPr>
          <w:lang w:val="he-IL"/>
        </w:rPr>
        <w:pict w14:anchorId="0044A3F0">
          <v:rect id="_x0000_s1027" style="position:absolute;left:0;text-align:left;margin-left:464.5pt;margin-top:8.05pt;width:75.05pt;height:8pt;z-index:251657728" o:allowincell="f" filled="f" stroked="f" strokecolor="lime" strokeweight=".25pt">
            <v:textbox inset="0,0,0,0">
              <w:txbxContent>
                <w:p w14:paraId="4FCFDD7B" w14:textId="77777777" w:rsidR="00A30B6F" w:rsidRDefault="00A30B6F">
                  <w:pPr>
                    <w:spacing w:line="160" w:lineRule="exact"/>
                    <w:jc w:val="left"/>
                    <w:rPr>
                      <w:rFonts w:cs="Miriam"/>
                      <w:noProof/>
                      <w:szCs w:val="18"/>
                      <w:rtl/>
                    </w:rPr>
                  </w:pPr>
                  <w:r>
                    <w:rPr>
                      <w:rFonts w:cs="Miriam"/>
                      <w:szCs w:val="18"/>
                      <w:rtl/>
                    </w:rPr>
                    <w:t>ד</w:t>
                  </w:r>
                  <w:r>
                    <w:rPr>
                      <w:rFonts w:cs="Miriam" w:hint="cs"/>
                      <w:szCs w:val="18"/>
                      <w:rtl/>
                    </w:rPr>
                    <w:t>רך מתן ההודעה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חברה הנעברת תהא רשאית לתת את ההודעה האמורה לכל בעל מניות, בין על ידי מסירה לידיו ממש, בין על ידי שליחתה בדואר במכתב רשום וערוך אל אותו בעל מניות לפי מענו הרשום בפנקסי החברה המעבירה, או לפי מענו הרשום בפנ</w:t>
      </w:r>
      <w:r>
        <w:rPr>
          <w:rStyle w:val="default"/>
          <w:rFonts w:cs="FrankRuehl"/>
          <w:rtl/>
        </w:rPr>
        <w:t>ק</w:t>
      </w:r>
      <w:r>
        <w:rPr>
          <w:rStyle w:val="default"/>
          <w:rFonts w:cs="FrankRuehl" w:hint="cs"/>
          <w:rtl/>
        </w:rPr>
        <w:t>ס משנה של אותה חברה - במקרה שאין לו מען רשום כאמור בישראל - ובין בכל דרך אחרת למסירת הודעות שנקבעה בתקנות ההתאגדות של החברה המעבירה.</w:t>
      </w:r>
    </w:p>
    <w:p w14:paraId="2BF3ACBF" w14:textId="77777777" w:rsidR="00A30B6F" w:rsidRDefault="00A30B6F">
      <w:pPr>
        <w:pStyle w:val="P00"/>
        <w:spacing w:before="72"/>
        <w:ind w:left="0" w:right="1134"/>
        <w:rPr>
          <w:rStyle w:val="default"/>
          <w:rFonts w:cs="FrankRuehl" w:hint="cs"/>
          <w:rtl/>
        </w:rPr>
      </w:pPr>
      <w:bookmarkStart w:id="2" w:name="Seif2"/>
      <w:bookmarkEnd w:id="2"/>
      <w:r>
        <w:rPr>
          <w:lang w:val="he-IL"/>
        </w:rPr>
        <w:pict w14:anchorId="6451E230">
          <v:rect id="_x0000_s1028" style="position:absolute;left:0;text-align:left;margin-left:464.5pt;margin-top:8.05pt;width:75.05pt;height:8pt;z-index:251658752" o:allowincell="f" filled="f" stroked="f" strokecolor="lime" strokeweight=".25pt">
            <v:textbox inset="0,0,0,0">
              <w:txbxContent>
                <w:p w14:paraId="1C8E9EBC" w14:textId="77777777" w:rsidR="00A30B6F" w:rsidRDefault="00A30B6F">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צו זה ייקרא "צו החברות (הודעה לבעלי מניות מתנגדים), תשט"ו-1955".</w:t>
      </w:r>
    </w:p>
    <w:p w14:paraId="3E36DB87" w14:textId="77777777" w:rsidR="00A30B6F" w:rsidRDefault="00A30B6F">
      <w:pPr>
        <w:pStyle w:val="P00"/>
        <w:spacing w:before="72"/>
        <w:ind w:left="0" w:right="1134"/>
        <w:rPr>
          <w:rStyle w:val="default"/>
          <w:rFonts w:cs="FrankRuehl"/>
          <w:rtl/>
        </w:rPr>
      </w:pPr>
    </w:p>
    <w:p w14:paraId="5990901A" w14:textId="77777777" w:rsidR="00A30B6F" w:rsidRDefault="00A30B6F">
      <w:pPr>
        <w:pStyle w:val="P00"/>
        <w:spacing w:before="72"/>
        <w:ind w:left="0" w:right="1134"/>
        <w:jc w:val="center"/>
        <w:rPr>
          <w:rStyle w:val="default"/>
          <w:rFonts w:cs="FrankRuehl"/>
          <w:b/>
          <w:bCs/>
          <w:rtl/>
        </w:rPr>
      </w:pPr>
      <w:r>
        <w:rPr>
          <w:rStyle w:val="default"/>
          <w:rFonts w:cs="FrankRuehl"/>
          <w:b/>
          <w:bCs/>
          <w:rtl/>
        </w:rPr>
        <w:t>ה</w:t>
      </w:r>
      <w:r>
        <w:rPr>
          <w:rStyle w:val="default"/>
          <w:rFonts w:cs="FrankRuehl" w:hint="cs"/>
          <w:b/>
          <w:bCs/>
          <w:rtl/>
        </w:rPr>
        <w:t>תוספת</w:t>
      </w:r>
    </w:p>
    <w:p w14:paraId="19F508EB" w14:textId="77777777" w:rsidR="00A30B6F" w:rsidRDefault="00A30B6F">
      <w:pPr>
        <w:pStyle w:val="medium2-header"/>
        <w:keepLines w:val="0"/>
        <w:spacing w:before="72"/>
        <w:ind w:left="0" w:right="1134"/>
        <w:rPr>
          <w:noProof/>
          <w:rtl/>
        </w:rPr>
      </w:pPr>
      <w:bookmarkStart w:id="3" w:name="med0"/>
      <w:bookmarkEnd w:id="3"/>
      <w:r>
        <w:rPr>
          <w:noProof/>
          <w:rtl/>
        </w:rPr>
        <w:t>פ</w:t>
      </w:r>
      <w:r>
        <w:rPr>
          <w:rFonts w:hint="cs"/>
          <w:noProof/>
          <w:rtl/>
        </w:rPr>
        <w:t>קודת החברות</w:t>
      </w:r>
    </w:p>
    <w:p w14:paraId="6863E02F" w14:textId="77777777" w:rsidR="007E04BB" w:rsidRDefault="007E04BB" w:rsidP="007E04BB">
      <w:pPr>
        <w:pStyle w:val="medium-header"/>
        <w:keepNext w:val="0"/>
        <w:keepLines w:val="0"/>
        <w:ind w:left="0" w:right="1134"/>
        <w:jc w:val="left"/>
        <w:rPr>
          <w:rFonts w:hint="cs"/>
          <w:sz w:val="24"/>
          <w:szCs w:val="24"/>
          <w:rtl/>
        </w:rPr>
      </w:pPr>
      <w:r>
        <w:rPr>
          <w:sz w:val="24"/>
          <w:szCs w:val="24"/>
          <w:rtl/>
        </w:rPr>
        <w:t>(</w:t>
      </w:r>
      <w:r>
        <w:rPr>
          <w:rFonts w:hint="cs"/>
          <w:sz w:val="24"/>
          <w:szCs w:val="24"/>
          <w:rtl/>
        </w:rPr>
        <w:t>סעיף 1)</w:t>
      </w:r>
    </w:p>
    <w:p w14:paraId="5A9C497C" w14:textId="77777777" w:rsidR="007E04BB" w:rsidRDefault="007E04BB" w:rsidP="007E04BB">
      <w:pPr>
        <w:pStyle w:val="medium-header"/>
        <w:keepNext w:val="0"/>
        <w:keepLines w:val="0"/>
        <w:ind w:left="0" w:right="1134"/>
        <w:jc w:val="left"/>
        <w:rPr>
          <w:rFonts w:hint="cs"/>
          <w:sz w:val="24"/>
          <w:szCs w:val="24"/>
          <w:rtl/>
        </w:rPr>
      </w:pPr>
      <w:r>
        <w:rPr>
          <w:rFonts w:hint="cs"/>
          <w:sz w:val="24"/>
          <w:szCs w:val="24"/>
          <w:rtl/>
        </w:rPr>
        <w:t>[</w:t>
      </w:r>
      <w:hyperlink r:id="rId6" w:history="1">
        <w:r w:rsidRPr="0048332C">
          <w:rPr>
            <w:rStyle w:val="Hyperlink"/>
            <w:rFonts w:hint="cs"/>
            <w:sz w:val="24"/>
            <w:szCs w:val="24"/>
            <w:rtl/>
          </w:rPr>
          <w:t>הודעה לבעלי מניות מתנגדים בהתאם לסעיף 119(1)</w:t>
        </w:r>
      </w:hyperlink>
      <w:r>
        <w:rPr>
          <w:rFonts w:hint="cs"/>
          <w:sz w:val="24"/>
          <w:szCs w:val="24"/>
          <w:rtl/>
        </w:rPr>
        <w:t>]</w:t>
      </w:r>
    </w:p>
    <w:p w14:paraId="38BBEECB" w14:textId="77777777" w:rsidR="00A30B6F" w:rsidRDefault="00A30B6F">
      <w:pPr>
        <w:pStyle w:val="P00"/>
        <w:spacing w:before="72"/>
        <w:ind w:left="0" w:right="1134"/>
        <w:rPr>
          <w:rStyle w:val="default"/>
          <w:rFonts w:cs="FrankRuehl"/>
          <w:rtl/>
        </w:rPr>
      </w:pPr>
    </w:p>
    <w:p w14:paraId="1CC4A5EF" w14:textId="77777777" w:rsidR="00A30B6F" w:rsidRDefault="00A30B6F">
      <w:pPr>
        <w:pStyle w:val="sig-0"/>
        <w:ind w:left="0" w:right="1134"/>
        <w:rPr>
          <w:rtl/>
        </w:rPr>
      </w:pPr>
      <w:r>
        <w:rPr>
          <w:rtl/>
        </w:rPr>
        <w:t>י</w:t>
      </w:r>
      <w:r>
        <w:rPr>
          <w:rFonts w:hint="cs"/>
          <w:rtl/>
        </w:rPr>
        <w:t>"ב בניסן תשט"ו (4 באפריל 1955)</w:t>
      </w:r>
      <w:r>
        <w:rPr>
          <w:rtl/>
        </w:rPr>
        <w:tab/>
      </w:r>
      <w:r>
        <w:rPr>
          <w:rFonts w:hint="cs"/>
          <w:rtl/>
        </w:rPr>
        <w:t>פנחס רוזן</w:t>
      </w:r>
    </w:p>
    <w:p w14:paraId="3F1E808A" w14:textId="77777777" w:rsidR="00A30B6F" w:rsidRDefault="00A30B6F">
      <w:pPr>
        <w:pStyle w:val="sig-1"/>
        <w:widowControl/>
        <w:ind w:left="0" w:right="1134"/>
        <w:rPr>
          <w:rtl/>
        </w:rPr>
      </w:pPr>
      <w:r>
        <w:rPr>
          <w:rtl/>
        </w:rPr>
        <w:tab/>
      </w:r>
      <w:r>
        <w:rPr>
          <w:rtl/>
        </w:rPr>
        <w:tab/>
      </w:r>
      <w:r>
        <w:rPr>
          <w:rtl/>
        </w:rPr>
        <w:tab/>
      </w:r>
      <w:r>
        <w:rPr>
          <w:rFonts w:hint="cs"/>
          <w:rtl/>
        </w:rPr>
        <w:t>שר המשפטים</w:t>
      </w:r>
    </w:p>
    <w:p w14:paraId="10360940" w14:textId="77777777" w:rsidR="00A30B6F" w:rsidRDefault="00A30B6F">
      <w:pPr>
        <w:pStyle w:val="P00"/>
        <w:spacing w:before="72"/>
        <w:ind w:left="0" w:right="1134"/>
        <w:rPr>
          <w:rStyle w:val="default"/>
          <w:rFonts w:cs="FrankRuehl"/>
          <w:rtl/>
        </w:rPr>
      </w:pPr>
    </w:p>
    <w:p w14:paraId="040D8AEF" w14:textId="77777777" w:rsidR="00A30B6F" w:rsidRDefault="00A30B6F">
      <w:pPr>
        <w:pStyle w:val="P00"/>
        <w:spacing w:before="72"/>
        <w:ind w:left="0" w:right="1134"/>
        <w:rPr>
          <w:rStyle w:val="default"/>
          <w:rFonts w:cs="FrankRuehl"/>
          <w:rtl/>
        </w:rPr>
      </w:pPr>
    </w:p>
    <w:p w14:paraId="1697AC86" w14:textId="77777777" w:rsidR="00A30B6F" w:rsidRDefault="00A30B6F">
      <w:pPr>
        <w:pStyle w:val="P00"/>
        <w:spacing w:before="72"/>
        <w:ind w:left="0" w:right="1134"/>
        <w:rPr>
          <w:rStyle w:val="default"/>
          <w:rFonts w:cs="FrankRuehl"/>
          <w:rtl/>
        </w:rPr>
      </w:pPr>
      <w:bookmarkStart w:id="4" w:name="LawPartEnd"/>
    </w:p>
    <w:bookmarkEnd w:id="4"/>
    <w:p w14:paraId="53C23EE9" w14:textId="77777777" w:rsidR="00A30B6F" w:rsidRDefault="00A30B6F">
      <w:pPr>
        <w:pStyle w:val="P00"/>
        <w:spacing w:before="72"/>
        <w:ind w:left="0" w:right="1134"/>
        <w:rPr>
          <w:rStyle w:val="default"/>
          <w:rFonts w:cs="FrankRuehl"/>
          <w:rtl/>
        </w:rPr>
      </w:pPr>
    </w:p>
    <w:sectPr w:rsidR="00A30B6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B2AA" w14:textId="77777777" w:rsidR="00A41248" w:rsidRDefault="00A41248">
      <w:r>
        <w:separator/>
      </w:r>
    </w:p>
  </w:endnote>
  <w:endnote w:type="continuationSeparator" w:id="0">
    <w:p w14:paraId="426B0EDA" w14:textId="77777777" w:rsidR="00A41248" w:rsidRDefault="00A4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5248" w14:textId="77777777" w:rsidR="00A30B6F" w:rsidRDefault="00A30B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CCF8D50" w14:textId="77777777" w:rsidR="00A30B6F" w:rsidRDefault="00A30B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6D2B3F" w14:textId="77777777" w:rsidR="00A30B6F" w:rsidRDefault="00A30B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\תיקונים\139_008.</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8E6A" w14:textId="77777777" w:rsidR="00A30B6F" w:rsidRDefault="00A30B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332C">
      <w:rPr>
        <w:rFonts w:hAnsi="FrankRuehl" w:cs="FrankRuehl"/>
        <w:noProof/>
        <w:sz w:val="24"/>
        <w:szCs w:val="24"/>
        <w:rtl/>
      </w:rPr>
      <w:t>2</w:t>
    </w:r>
    <w:r>
      <w:rPr>
        <w:rFonts w:hAnsi="FrankRuehl" w:cs="FrankRuehl"/>
        <w:sz w:val="24"/>
        <w:szCs w:val="24"/>
        <w:rtl/>
      </w:rPr>
      <w:fldChar w:fldCharType="end"/>
    </w:r>
  </w:p>
  <w:p w14:paraId="64F13CFE" w14:textId="77777777" w:rsidR="00A30B6F" w:rsidRDefault="00A30B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BDB6DD" w14:textId="77777777" w:rsidR="00A30B6F" w:rsidRDefault="00A30B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\תיקונים\139_008.</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2787" w14:textId="77777777" w:rsidR="00A41248" w:rsidRDefault="00A41248">
      <w:pPr>
        <w:spacing w:before="60" w:line="240" w:lineRule="auto"/>
        <w:ind w:right="1134"/>
      </w:pPr>
      <w:r>
        <w:separator/>
      </w:r>
    </w:p>
  </w:footnote>
  <w:footnote w:type="continuationSeparator" w:id="0">
    <w:p w14:paraId="546F8C82" w14:textId="77777777" w:rsidR="00A41248" w:rsidRDefault="00A41248">
      <w:r>
        <w:continuationSeparator/>
      </w:r>
    </w:p>
  </w:footnote>
  <w:footnote w:id="1">
    <w:p w14:paraId="100A9433" w14:textId="77777777" w:rsidR="00A30B6F" w:rsidRDefault="00A30B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תשט"ו מס' 513</w:t>
        </w:r>
      </w:hyperlink>
      <w:r>
        <w:rPr>
          <w:rFonts w:hint="cs"/>
          <w:sz w:val="20"/>
          <w:rtl/>
        </w:rPr>
        <w:t xml:space="preserve"> מיום 10.4.1955 </w:t>
      </w:r>
      <w:r>
        <w:rPr>
          <w:sz w:val="20"/>
          <w:rtl/>
        </w:rPr>
        <w:t>ע</w:t>
      </w:r>
      <w:r>
        <w:rPr>
          <w:rFonts w:hint="cs"/>
          <w:sz w:val="20"/>
          <w:rtl/>
        </w:rPr>
        <w:t>מ' 852.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BD3F" w14:textId="77777777" w:rsidR="00A30B6F" w:rsidRDefault="00A30B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החברות (הודעה לבעלי מניות מתנגדים), תשט"ו–1955</w:t>
    </w:r>
  </w:p>
  <w:p w14:paraId="1670FFCB" w14:textId="77777777" w:rsidR="00A30B6F" w:rsidRDefault="00A30B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11C36D" w14:textId="77777777" w:rsidR="00A30B6F" w:rsidRDefault="00A30B6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BEE1" w14:textId="77777777" w:rsidR="00A30B6F" w:rsidRDefault="00A30B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החברות (הודעה לבעלי מניות מתנגדים), תשט"ו</w:t>
    </w:r>
    <w:r>
      <w:rPr>
        <w:rFonts w:hAnsi="FrankRuehl" w:cs="FrankRuehl" w:hint="cs"/>
        <w:color w:val="000000"/>
        <w:sz w:val="28"/>
        <w:szCs w:val="28"/>
        <w:rtl/>
      </w:rPr>
      <w:t>-</w:t>
    </w:r>
    <w:r>
      <w:rPr>
        <w:rFonts w:hAnsi="FrankRuehl" w:cs="FrankRuehl"/>
        <w:color w:val="000000"/>
        <w:sz w:val="28"/>
        <w:szCs w:val="28"/>
        <w:rtl/>
      </w:rPr>
      <w:t>1955</w:t>
    </w:r>
  </w:p>
  <w:p w14:paraId="540291F5" w14:textId="77777777" w:rsidR="00A30B6F" w:rsidRDefault="00A30B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A64424" w14:textId="77777777" w:rsidR="00A30B6F" w:rsidRDefault="00A30B6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0B6F"/>
    <w:rsid w:val="00272D64"/>
    <w:rsid w:val="0048332C"/>
    <w:rsid w:val="004A0A74"/>
    <w:rsid w:val="007E04BB"/>
    <w:rsid w:val="00A30B6F"/>
    <w:rsid w:val="00A41248"/>
    <w:rsid w:val="00B409F4"/>
    <w:rsid w:val="00ED1C68"/>
    <w:rsid w:val="00FB35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F6B6B2"/>
  <w15:chartTrackingRefBased/>
  <w15:docId w15:val="{4033CF23-0792-4478-A60D-F482D33F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495;&#1489;&#1512;&#1493;&#1514;,%20&#1506;&#1502;&#1493;&#1514;&#1493;&#1514;%20&#1493;&#1513;&#1493;&#1514;&#1508;&#1493;&#1497;&#1493;&#1514;/&#1489;&#1506;&#1500;&#1497;%20&#1502;&#1504;&#1497;&#1493;&#1514;/&#1492;&#1493;&#1491;&#1506;&#1492;%20&#1500;&#1489;&#1506;&#1500;&#1497;%20&#1502;&#1504;&#1497;&#1493;&#1514;%20&#1502;&#1514;&#1504;&#1490;&#1491;&#1497;&#1501;%20&#1489;&#1492;&#1514;&#1488;&#1501;%20&#1500;&#1505;&#1506;&#1497;&#1507;%20119(1).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5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1256</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פרק 139</vt:lpstr>
    </vt:vector>
  </TitlesOfParts>
  <Company/>
  <LinksUpToDate>false</LinksUpToDate>
  <CharactersWithSpaces>1474</CharactersWithSpaces>
  <SharedDoc>false</SharedDoc>
  <HLinks>
    <vt:vector size="36" baseType="variant">
      <vt:variant>
        <vt:i4>95944776</vt:i4>
      </vt:variant>
      <vt:variant>
        <vt:i4>24</vt:i4>
      </vt:variant>
      <vt:variant>
        <vt:i4>0</vt:i4>
      </vt:variant>
      <vt:variant>
        <vt:i4>5</vt:i4>
      </vt:variant>
      <vt:variant>
        <vt:lpwstr>http://www.nevo.co.il/TFASIM/טפסים משפטיים/חברות, עמותות ושותפויות/בעלי מניות/הודעה לבעלי מניות מתנגדים בהתאם לסעיף 119(1).DOC</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0</vt:i4>
      </vt:variant>
      <vt:variant>
        <vt:i4>0</vt:i4>
      </vt:variant>
      <vt:variant>
        <vt:i4>5</vt:i4>
      </vt:variant>
      <vt:variant>
        <vt:lpwstr>http://www.nevo.co.il/Law_word/law06/TAK-0513.pdf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139</dc:title>
  <dc:subject/>
  <dc:creator>administrator</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צו החברות (הודעה לבעלי מניות מתנגדים), תשט"ו-1955</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פקודת החברות</vt:lpwstr>
  </property>
  <property fmtid="{D5CDD505-2E9C-101B-9397-08002B2CF9AE}" pid="8" name="MEKOR_SAIF1">
    <vt:lpwstr>2X1X;119X1X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משפט פרטי וכלכלה</vt:lpwstr>
  </property>
  <property fmtid="{D5CDD505-2E9C-101B-9397-08002B2CF9AE}" pid="12" name="NOSE21">
    <vt:lpwstr>תאגידים וניירות ערך</vt:lpwstr>
  </property>
  <property fmtid="{D5CDD505-2E9C-101B-9397-08002B2CF9AE}" pid="13" name="NOSE31">
    <vt:lpwstr>חברות</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