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363" w:rsidRDefault="0074536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המדיניות הכלכלית לשנת הכספים 2004 (תיקוני חקיקה) (שילוב מקבלי גמלאות בעבודה) (אי-תחולה על מי שמלאו להם 45 שנים), תשס"ח-2007</w:t>
      </w:r>
    </w:p>
    <w:p w:rsidR="00B8157D" w:rsidRPr="00B8157D" w:rsidRDefault="00B8157D" w:rsidP="00B8157D">
      <w:pPr>
        <w:spacing w:line="320" w:lineRule="auto"/>
        <w:rPr>
          <w:rFonts w:cs="FrankRuehl"/>
          <w:szCs w:val="26"/>
          <w:rtl/>
        </w:rPr>
      </w:pPr>
    </w:p>
    <w:p w:rsidR="00B26DF8" w:rsidRDefault="00B26DF8" w:rsidP="00B26DF8">
      <w:pPr>
        <w:spacing w:line="320" w:lineRule="auto"/>
        <w:rPr>
          <w:rtl/>
        </w:rPr>
      </w:pPr>
    </w:p>
    <w:p w:rsidR="00B26DF8" w:rsidRDefault="00B26DF8" w:rsidP="00B26DF8">
      <w:pPr>
        <w:spacing w:line="320" w:lineRule="auto"/>
        <w:rPr>
          <w:rFonts w:cs="FrankRuehl"/>
          <w:szCs w:val="26"/>
          <w:rtl/>
        </w:rPr>
      </w:pPr>
      <w:r w:rsidRPr="00B26DF8">
        <w:rPr>
          <w:rFonts w:cs="Miriam"/>
          <w:szCs w:val="22"/>
          <w:rtl/>
        </w:rPr>
        <w:t>עבודה</w:t>
      </w:r>
      <w:r w:rsidRPr="00B26DF8">
        <w:rPr>
          <w:rFonts w:cs="FrankRuehl"/>
          <w:szCs w:val="26"/>
          <w:rtl/>
        </w:rPr>
        <w:t xml:space="preserve"> – שילוב מקבלי גמלה בע'</w:t>
      </w:r>
    </w:p>
    <w:p w:rsidR="00B8157D" w:rsidRPr="00B26DF8" w:rsidRDefault="00B26DF8" w:rsidP="00B26DF8">
      <w:pPr>
        <w:spacing w:line="320" w:lineRule="auto"/>
        <w:rPr>
          <w:rFonts w:cs="Miriam"/>
          <w:szCs w:val="22"/>
          <w:rtl/>
        </w:rPr>
      </w:pPr>
      <w:r w:rsidRPr="00B26DF8">
        <w:rPr>
          <w:rFonts w:cs="Miriam"/>
          <w:szCs w:val="22"/>
          <w:rtl/>
        </w:rPr>
        <w:t>משפט פרטי וכלכלה</w:t>
      </w:r>
      <w:r w:rsidRPr="00B26DF8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:rsidR="00745363" w:rsidRDefault="0074536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536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45363" w:rsidRDefault="00745363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:rsidR="00745363" w:rsidRDefault="00745363">
            <w:pPr>
              <w:rPr>
                <w:rFonts w:cs="Frankruhel" w:hint="cs"/>
              </w:rPr>
            </w:pPr>
            <w:hyperlink w:anchor="Seif0" w:tooltip="אי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5363" w:rsidRDefault="0074536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אי תחולה</w:t>
            </w:r>
          </w:p>
        </w:tc>
        <w:tc>
          <w:tcPr>
            <w:tcW w:w="1247" w:type="dxa"/>
          </w:tcPr>
          <w:p w:rsidR="00745363" w:rsidRDefault="00745363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74536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45363" w:rsidRDefault="00745363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:rsidR="00745363" w:rsidRDefault="00745363">
            <w:pPr>
              <w:rPr>
                <w:rFonts w:cs="Frankruhel" w:hint="c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5363" w:rsidRDefault="0074536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תחילה</w:t>
            </w:r>
          </w:p>
        </w:tc>
        <w:tc>
          <w:tcPr>
            <w:tcW w:w="1247" w:type="dxa"/>
          </w:tcPr>
          <w:p w:rsidR="00745363" w:rsidRDefault="00745363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</w:tbl>
    <w:p w:rsidR="00745363" w:rsidRDefault="00745363">
      <w:pPr>
        <w:pStyle w:val="big-header"/>
        <w:ind w:left="0" w:right="1134"/>
        <w:rPr>
          <w:rFonts w:cs="FrankRuehl" w:hint="cs"/>
          <w:sz w:val="32"/>
          <w:rtl/>
        </w:rPr>
      </w:pPr>
    </w:p>
    <w:p w:rsidR="00745363" w:rsidRDefault="00745363" w:rsidP="00B8157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המדיניות הכלכלית לשנת הכספים 2004 (תיקוני חקיקה) (שילוב מקבלי גמלאות בעבודה) (אי-תחולה על מי שמלאו להם 45 שנים),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45363" w:rsidRDefault="007453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48(ב)(1) לחוק המדיניות הכלכלית לשנת הכספים 2004 (תיקוני חקיקה), התשס"ד</w:t>
      </w:r>
      <w:r>
        <w:rPr>
          <w:rStyle w:val="default"/>
          <w:rFonts w:cs="FrankRuehl" w:hint="cs"/>
          <w:rtl/>
        </w:rPr>
        <w:t>-2004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:rsidR="00745363" w:rsidRDefault="007453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745363" w:rsidRDefault="007453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הוראות פרק ז' לחוק, למעט הוראות סימן ז' שבו, לא יחולו על תושבי אזור שילוב שמלאו להם 45 שנים.</w:t>
      </w:r>
    </w:p>
    <w:p w:rsidR="00745363" w:rsidRDefault="007453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2.95pt;z-index:251658240" o:allowincell="f" filled="f" stroked="f" strokecolor="lime" strokeweight=".25pt">
            <v:textbox style="mso-next-textbox:#_x0000_s1214" inset="0,0,0,0">
              <w:txbxContent>
                <w:p w:rsidR="00745363" w:rsidRDefault="007453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ביום י"ט בתשרי התשס"ח (1 באוקטובר 2007).</w:t>
      </w:r>
    </w:p>
    <w:p w:rsidR="00745363" w:rsidRDefault="007453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5363" w:rsidRDefault="007453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5363" w:rsidRDefault="0074536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באלול התשס"ז (2 בספטמבר 2007)</w:t>
      </w:r>
      <w:r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אליהו ישי</w:t>
      </w:r>
    </w:p>
    <w:p w:rsidR="00745363" w:rsidRDefault="00745363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:rsidR="00745363" w:rsidRDefault="007453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45363" w:rsidRDefault="007453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45363" w:rsidRDefault="00745363">
      <w:pPr>
        <w:pStyle w:val="sig-0"/>
        <w:ind w:left="0" w:right="1134"/>
        <w:rPr>
          <w:rFonts w:cs="FrankRuehl"/>
          <w:sz w:val="26"/>
          <w:rtl/>
        </w:rPr>
      </w:pPr>
    </w:p>
    <w:sectPr w:rsidR="007453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A80" w:rsidRDefault="00075A80">
      <w:r>
        <w:separator/>
      </w:r>
    </w:p>
  </w:endnote>
  <w:endnote w:type="continuationSeparator" w:id="0">
    <w:p w:rsidR="00075A80" w:rsidRDefault="0007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363" w:rsidRDefault="0074536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45363" w:rsidRDefault="0074536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45363" w:rsidRDefault="0074536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363" w:rsidRDefault="0074536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6D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45363" w:rsidRDefault="0074536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45363" w:rsidRDefault="0074536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A80" w:rsidRDefault="00075A8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075A80" w:rsidRDefault="00075A80">
      <w:r>
        <w:continuationSeparator/>
      </w:r>
    </w:p>
  </w:footnote>
  <w:footnote w:id="1">
    <w:p w:rsidR="00745363" w:rsidRDefault="007453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6615</w:t>
        </w:r>
      </w:hyperlink>
      <w:r>
        <w:rPr>
          <w:rFonts w:cs="FrankRuehl" w:hint="cs"/>
          <w:rtl/>
        </w:rPr>
        <w:t xml:space="preserve"> מיום 19.9.2007 עמ' 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363" w:rsidRDefault="0074536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45363" w:rsidRDefault="007453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5363" w:rsidRDefault="007453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363" w:rsidRDefault="0074536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המדיניות הכלכלית לשנת הכספים 2004 (תיקוני חקיקה) (שילוב מקבלי גמלאות בעבודה) (אי-תחולה על מי שמלאו להם 45 שנים), תשס"ח-2007</w:t>
    </w:r>
  </w:p>
  <w:p w:rsidR="00745363" w:rsidRDefault="007453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5363" w:rsidRDefault="007453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1042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363"/>
    <w:rsid w:val="00075A80"/>
    <w:rsid w:val="004D587F"/>
    <w:rsid w:val="00745363"/>
    <w:rsid w:val="007A3AEE"/>
    <w:rsid w:val="00A23DFB"/>
    <w:rsid w:val="00B26DF8"/>
    <w:rsid w:val="00B8157D"/>
    <w:rsid w:val="00B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4ADA2EE-42FD-4B84-AEB3-4F034D57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847</CharactersWithSpaces>
  <SharedDoc>false</SharedDoc>
  <HLinks>
    <vt:vector size="18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המדיניות הכלכלית לשנת הכספים 2004 (תיקוני חקיקה) (שילוב מקבלי גמלאות בעבודה) (אי-תחולה על מי שמלאו להם 45 שנים), תשס"ח-2007</vt:lpwstr>
  </property>
  <property fmtid="{D5CDD505-2E9C-101B-9397-08002B2CF9AE}" pid="4" name="LAWNUMBER">
    <vt:lpwstr>0820</vt:lpwstr>
  </property>
  <property fmtid="{D5CDD505-2E9C-101B-9397-08002B2CF9AE}" pid="5" name="TYPE">
    <vt:lpwstr>01</vt:lpwstr>
  </property>
  <property fmtid="{D5CDD505-2E9C-101B-9397-08002B2CF9AE}" pid="6" name="CHNAME">
    <vt:lpwstr>משק המדינה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http://www.nevo.co.il/Law_word/law06/tak-6615.pdf;רשומות - תקנות כלליות#פורסם ק"ת תשס"ח מס' 6615 #מיום 19.9.2007 עמ' 8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48XבX1X</vt:lpwstr>
  </property>
  <property fmtid="{D5CDD505-2E9C-101B-9397-08002B2CF9AE}" pid="24" name="NOSE11">
    <vt:lpwstr>עבודה</vt:lpwstr>
  </property>
  <property fmtid="{D5CDD505-2E9C-101B-9397-08002B2CF9AE}" pid="25" name="NOSE21">
    <vt:lpwstr>שילוב מקבלי גמלה בע'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כספים</vt:lpwstr>
  </property>
  <property fmtid="{D5CDD505-2E9C-101B-9397-08002B2CF9AE}" pid="30" name="NOSE32">
    <vt:lpwstr>תקציב ומשק המדינה</vt:lpwstr>
  </property>
  <property fmtid="{D5CDD505-2E9C-101B-9397-08002B2CF9AE}" pid="31" name="NOSE42">
    <vt:lpwstr>מדיניות כלכלית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