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B29F" w14:textId="77777777" w:rsidR="009E35E9" w:rsidRDefault="008E20FC" w:rsidP="00852CF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 xml:space="preserve">חלוקת הכנסות בין המועצה האזורית </w:t>
      </w:r>
      <w:r w:rsidR="00A66E80">
        <w:rPr>
          <w:rFonts w:cs="FrankRuehl" w:hint="cs"/>
          <w:sz w:val="32"/>
          <w:rtl/>
        </w:rPr>
        <w:t>מטה אשר והמועצה האזורית משגב לבין המועצה המקומית בענה, המועצה המקומית דיר אל אסד, עיריית כרמיאל והמועצה המקומית מג'ד אל כרום</w:t>
      </w:r>
      <w:r>
        <w:rPr>
          <w:rFonts w:cs="FrankRuehl" w:hint="cs"/>
          <w:sz w:val="32"/>
          <w:rtl/>
        </w:rPr>
        <w:t>), תשע"</w:t>
      </w:r>
      <w:r w:rsidR="00A66E80">
        <w:rPr>
          <w:rFonts w:cs="FrankRuehl" w:hint="cs"/>
          <w:sz w:val="32"/>
          <w:rtl/>
        </w:rPr>
        <w:t>ט</w:t>
      </w:r>
      <w:r>
        <w:rPr>
          <w:rFonts w:cs="FrankRuehl" w:hint="cs"/>
          <w:sz w:val="32"/>
          <w:rtl/>
        </w:rPr>
        <w:t>-201</w:t>
      </w:r>
      <w:r w:rsidR="00A66E80">
        <w:rPr>
          <w:rFonts w:cs="FrankRuehl" w:hint="cs"/>
          <w:sz w:val="32"/>
          <w:rtl/>
        </w:rPr>
        <w:t>8</w:t>
      </w:r>
    </w:p>
    <w:p w14:paraId="59868010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17EBBADC" w14:textId="77777777" w:rsidR="008E20FC" w:rsidRDefault="008E20FC" w:rsidP="008E20FC">
      <w:pPr>
        <w:spacing w:line="320" w:lineRule="auto"/>
        <w:rPr>
          <w:rtl/>
        </w:rPr>
      </w:pPr>
    </w:p>
    <w:p w14:paraId="496C439E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596AD8FE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D2B4B" w:rsidRPr="009D2B4B" w14:paraId="4D469DE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1364E2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4A121F6C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7" w:type="dxa"/>
          </w:tcPr>
          <w:p w14:paraId="344C4CAD" w14:textId="77777777"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6E264589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</w:tr>
      <w:tr w:rsidR="009D2B4B" w:rsidRPr="009D2B4B" w14:paraId="234A86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2511AC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0E23AA09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7" w:type="dxa"/>
          </w:tcPr>
          <w:p w14:paraId="093ED7BE" w14:textId="77777777"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4AE7378A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</w:tr>
      <w:tr w:rsidR="009D2B4B" w:rsidRPr="009D2B4B" w14:paraId="12038CB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1F15A9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2C8EE5EA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7" w:type="dxa"/>
          </w:tcPr>
          <w:p w14:paraId="0116FCAE" w14:textId="77777777"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69E85B4D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</w:tr>
      <w:tr w:rsidR="009D2B4B" w:rsidRPr="009D2B4B" w14:paraId="3C9524A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3B05F4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4C602C92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7" w:type="dxa"/>
          </w:tcPr>
          <w:p w14:paraId="209AA918" w14:textId="77777777"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6855BF34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</w:tr>
      <w:tr w:rsidR="009D2B4B" w:rsidRPr="009D2B4B" w14:paraId="4B4C530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ABF0B0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1F3D577F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7" w:type="dxa"/>
          </w:tcPr>
          <w:p w14:paraId="0F526886" w14:textId="77777777"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678097CC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</w:tr>
      <w:tr w:rsidR="009D2B4B" w:rsidRPr="009D2B4B" w14:paraId="0B8E2B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197521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4DAF4110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7" w:type="dxa"/>
          </w:tcPr>
          <w:p w14:paraId="575FE6FE" w14:textId="77777777"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152D727F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</w:tr>
      <w:tr w:rsidR="009D2B4B" w:rsidRPr="009D2B4B" w14:paraId="22D807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373ED7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2A72BCF6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  <w:tc>
          <w:tcPr>
            <w:tcW w:w="567" w:type="dxa"/>
          </w:tcPr>
          <w:p w14:paraId="0EC7F0B4" w14:textId="77777777"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14:paraId="2769D9DF" w14:textId="77777777" w:rsidR="009D2B4B" w:rsidRPr="009D2B4B" w:rsidRDefault="009D2B4B" w:rsidP="009D2B4B">
            <w:pPr>
              <w:rPr>
                <w:rFonts w:cs="Frankruhel" w:hint="cs"/>
                <w:rtl/>
              </w:rPr>
            </w:pPr>
          </w:p>
        </w:tc>
      </w:tr>
    </w:tbl>
    <w:p w14:paraId="54A4518D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ED973D3" w14:textId="77777777" w:rsidR="009E35E9" w:rsidRDefault="009E35E9" w:rsidP="00852CF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A66E80">
        <w:rPr>
          <w:rFonts w:cs="FrankRuehl" w:hint="cs"/>
          <w:sz w:val="32"/>
          <w:rtl/>
        </w:rPr>
        <w:lastRenderedPageBreak/>
        <w:t>צו המועצות המקומיות (חלוקת הכנסות בין המועצה האזורית מטה אשר והמועצה האזורית משגב לבין המועצה המקומית בענה, המועצה המקומית דיר אל אסד, עיריית כרמיאל והמועצה המקומית מג'ד אל כרום), תשע"ט-2018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73D4B2E" w14:textId="77777777"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</w:t>
      </w:r>
      <w:r w:rsidR="00A66E80">
        <w:rPr>
          <w:rStyle w:val="default"/>
          <w:rFonts w:cs="FrankRuehl" w:hint="cs"/>
          <w:rtl/>
        </w:rPr>
        <w:t xml:space="preserve"> 9ב לפקודת העיריות, וסעיף</w:t>
      </w:r>
      <w:r w:rsidR="008E20FC">
        <w:rPr>
          <w:rStyle w:val="default"/>
          <w:rFonts w:cs="FrankRuehl" w:hint="cs"/>
          <w:rtl/>
        </w:rPr>
        <w:t xml:space="preserve">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14:paraId="457A0245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8C1042E">
          <v:rect id="_x0000_s2050" style="position:absolute;left:0;text-align:left;margin-left:464.35pt;margin-top:7.1pt;width:75.05pt;height:12.95pt;z-index:251655680" o:allowincell="f" filled="f" stroked="f" strokecolor="lime" strokeweight=".25pt">
            <v:textbox style="mso-next-textbox:#_x0000_s2050" inset="0,0,0,0">
              <w:txbxContent>
                <w:p w14:paraId="5D8054AF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74B5F3BE" w14:textId="77777777"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</w:t>
      </w:r>
      <w:r w:rsidR="00A66E80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14:paraId="0354C8B2" w14:textId="77777777"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9075F8">
        <w:rPr>
          <w:rStyle w:val="default"/>
          <w:rFonts w:cs="FrankRuehl" w:hint="cs"/>
          <w:rtl/>
        </w:rPr>
        <w:t>ות הערוכה בקנה מידה 1:</w:t>
      </w:r>
      <w:r w:rsidR="00A66E80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0,000</w:t>
      </w:r>
      <w:r w:rsidR="00A66E8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החתומה ביד שר הפנים ביום </w:t>
      </w:r>
      <w:r w:rsidR="00A66E80">
        <w:rPr>
          <w:rStyle w:val="default"/>
          <w:rFonts w:cs="FrankRuehl" w:hint="cs"/>
          <w:rtl/>
        </w:rPr>
        <w:t>כ"ט בחשוון</w:t>
      </w:r>
      <w:r w:rsidR="009075F8">
        <w:rPr>
          <w:rStyle w:val="default"/>
          <w:rFonts w:cs="FrankRuehl" w:hint="cs"/>
          <w:rtl/>
        </w:rPr>
        <w:t xml:space="preserve"> התשע"</w:t>
      </w:r>
      <w:r w:rsidR="00A66E80">
        <w:rPr>
          <w:rStyle w:val="default"/>
          <w:rFonts w:cs="FrankRuehl" w:hint="cs"/>
          <w:rtl/>
        </w:rPr>
        <w:t>ט</w:t>
      </w:r>
      <w:r w:rsidR="009075F8">
        <w:rPr>
          <w:rStyle w:val="default"/>
          <w:rFonts w:cs="FrankRuehl" w:hint="cs"/>
          <w:rtl/>
        </w:rPr>
        <w:t xml:space="preserve"> (</w:t>
      </w:r>
      <w:r w:rsidR="00A66E80">
        <w:rPr>
          <w:rStyle w:val="default"/>
          <w:rFonts w:cs="FrankRuehl" w:hint="cs"/>
          <w:rtl/>
        </w:rPr>
        <w:t>7 בנובמבר</w:t>
      </w:r>
      <w:r>
        <w:rPr>
          <w:rStyle w:val="default"/>
          <w:rFonts w:cs="FrankRuehl" w:hint="cs"/>
          <w:rtl/>
        </w:rPr>
        <w:t xml:space="preserve"> 201</w:t>
      </w:r>
      <w:r w:rsidR="00A66E80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)</w:t>
      </w:r>
      <w:r w:rsidR="00A66E8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ושהעתקים ממנה מופקדים במשרד הפנים </w:t>
      </w:r>
      <w:r w:rsidR="00A66E8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A66E80">
        <w:rPr>
          <w:rStyle w:val="default"/>
          <w:rFonts w:cs="FrankRuehl" w:hint="cs"/>
          <w:rtl/>
        </w:rPr>
        <w:t>הצפון, נצרת עילית</w:t>
      </w:r>
      <w:r w:rsidR="009075F8">
        <w:rPr>
          <w:rStyle w:val="default"/>
          <w:rFonts w:cs="FrankRuehl" w:hint="cs"/>
          <w:rtl/>
        </w:rPr>
        <w:t xml:space="preserve"> ובמשרדי הרשויות המקומיות;</w:t>
      </w:r>
    </w:p>
    <w:p w14:paraId="66A41420" w14:textId="77777777" w:rsidR="00A66E80" w:rsidRDefault="00A66E80" w:rsidP="00A66E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"עודף 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ההכנסות מארנונה כללית, בניכוי הוצאות עד לגובה של 20% מסך ההכנסות, שהוצאו בעד מתן שירותים מוניציפליים באזור חלוקת ההכנסות לרבות הוצאות גבייה ותפעול מינהלת בר-לב בע"מ; היתה מחלוקת בין הרשויות המקומיות על גובה ההוצאות כאמור, יכריע במחלוקת הממונה על מחוז הצפון במשרד הפנים;</w:t>
      </w:r>
    </w:p>
    <w:p w14:paraId="3FA50A0F" w14:textId="77777777" w:rsidR="00A66E80" w:rsidRDefault="00A66E80" w:rsidP="00A66E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המקומית בענה, המועצה המקומית דיר אל אסד, עיריית כרמיאל, המועצה המקומית מג'ד אל כרום, המועצה האזורית מטה אשר והמועצה האזורית משגב;</w:t>
      </w:r>
    </w:p>
    <w:p w14:paraId="397FCAA6" w14:textId="77777777" w:rsidR="00A66E80" w:rsidRDefault="00A66E80" w:rsidP="00A66E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המקומית בענה, המועצה המקומית דיר אל אסד, עיריית כרמיאל והמועצה המקומית מג'ד אל כרום.</w:t>
      </w:r>
    </w:p>
    <w:p w14:paraId="768E1D0A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FCA1BB2">
          <v:rect id="_x0000_s2238" style="position:absolute;left:0;text-align:left;margin-left:464.35pt;margin-top:7.1pt;width:75.05pt;height:20.85pt;z-index:251656704" o:allowincell="f" filled="f" stroked="f" strokecolor="lime" strokeweight=".25pt">
            <v:textbox style="mso-next-textbox:#_x0000_s2238" inset="0,0,0,0">
              <w:txbxContent>
                <w:p w14:paraId="1D759AAD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A66E80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A66E80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14:paraId="44FD0790" w14:textId="77777777" w:rsidR="009075F8" w:rsidRDefault="00A66E80" w:rsidP="00A66E8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 w:rsidR="009075F8">
        <w:rPr>
          <w:rStyle w:val="default"/>
          <w:rFonts w:cs="FrankRuehl" w:hint="cs"/>
          <w:rtl/>
        </w:rPr>
        <w:t xml:space="preserve">גוש </w:t>
      </w:r>
      <w:r>
        <w:rPr>
          <w:rStyle w:val="default"/>
          <w:rFonts w:cs="FrankRuehl" w:hint="cs"/>
          <w:rtl/>
        </w:rPr>
        <w:t>18507</w:t>
      </w:r>
      <w:r w:rsidR="009075F8">
        <w:rPr>
          <w:rStyle w:val="default"/>
          <w:rFonts w:cs="FrankRuehl" w:hint="cs"/>
          <w:rtl/>
        </w:rPr>
        <w:t xml:space="preserve"> </w:t>
      </w:r>
      <w:r w:rsidR="009075F8">
        <w:rPr>
          <w:rStyle w:val="default"/>
          <w:rFonts w:cs="FrankRuehl"/>
          <w:rtl/>
        </w:rPr>
        <w:t>–</w:t>
      </w:r>
      <w:r w:rsidR="009075F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פרט לחלקה 47 וחלק מחלקה 44</w:t>
      </w:r>
      <w:r w:rsidR="009075F8">
        <w:rPr>
          <w:rStyle w:val="default"/>
          <w:rFonts w:cs="FrankRuehl" w:hint="cs"/>
          <w:rtl/>
        </w:rPr>
        <w:t>;</w:t>
      </w:r>
    </w:p>
    <w:p w14:paraId="3A17EDC3" w14:textId="77777777" w:rsidR="00852CF3" w:rsidRDefault="00A66E80" w:rsidP="00A66E8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="00852CF3">
        <w:rPr>
          <w:rStyle w:val="default"/>
          <w:rFonts w:cs="FrankRuehl" w:hint="cs"/>
          <w:rtl/>
        </w:rPr>
        <w:t xml:space="preserve">גוש </w:t>
      </w:r>
      <w:r>
        <w:rPr>
          <w:rStyle w:val="default"/>
          <w:rFonts w:cs="FrankRuehl" w:hint="cs"/>
          <w:rtl/>
        </w:rPr>
        <w:t>18508</w:t>
      </w:r>
      <w:r w:rsidR="00852CF3"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פרט לחלקות 10, 16, 34 ו-77</w:t>
      </w:r>
      <w:r w:rsidR="00852CF3">
        <w:rPr>
          <w:rStyle w:val="default"/>
          <w:rFonts w:cs="FrankRuehl" w:hint="cs"/>
          <w:rtl/>
        </w:rPr>
        <w:t>;</w:t>
      </w:r>
    </w:p>
    <w:p w14:paraId="4309327F" w14:textId="77777777" w:rsidR="00852CF3" w:rsidRDefault="00A66E80" w:rsidP="00A66E8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 w:rsidR="00852CF3">
        <w:rPr>
          <w:rStyle w:val="default"/>
          <w:rFonts w:cs="FrankRuehl" w:hint="cs"/>
          <w:rtl/>
        </w:rPr>
        <w:t xml:space="preserve">גוש </w:t>
      </w:r>
      <w:r>
        <w:rPr>
          <w:rStyle w:val="default"/>
          <w:rFonts w:cs="FrankRuehl" w:hint="cs"/>
          <w:rtl/>
        </w:rPr>
        <w:t>19618</w:t>
      </w:r>
      <w:r w:rsidR="00852CF3"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חלקות 37 עד 53, 56, 57 וחלק מחלקות 54, 75 ו-78</w:t>
      </w:r>
      <w:r w:rsidR="00852CF3">
        <w:rPr>
          <w:rStyle w:val="default"/>
          <w:rFonts w:cs="FrankRuehl" w:hint="cs"/>
          <w:rtl/>
        </w:rPr>
        <w:t>;</w:t>
      </w:r>
    </w:p>
    <w:p w14:paraId="52E3181D" w14:textId="77777777" w:rsidR="00852CF3" w:rsidRDefault="009D7979" w:rsidP="00A66E8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 w:rsidR="00852CF3">
        <w:rPr>
          <w:rStyle w:val="default"/>
          <w:rFonts w:cs="FrankRuehl" w:hint="cs"/>
          <w:rtl/>
        </w:rPr>
        <w:t xml:space="preserve">גוש </w:t>
      </w:r>
      <w:r>
        <w:rPr>
          <w:rStyle w:val="default"/>
          <w:rFonts w:cs="FrankRuehl" w:hint="cs"/>
          <w:rtl/>
        </w:rPr>
        <w:t>19774</w:t>
      </w:r>
      <w:r w:rsidR="00852CF3"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חלקה 2 וחלק מחלקות 1 ו-21</w:t>
      </w:r>
      <w:r w:rsidR="00852CF3">
        <w:rPr>
          <w:rStyle w:val="default"/>
          <w:rFonts w:cs="FrankRuehl" w:hint="cs"/>
          <w:rtl/>
        </w:rPr>
        <w:t>.</w:t>
      </w:r>
    </w:p>
    <w:p w14:paraId="6D20F28A" w14:textId="77777777" w:rsidR="009E35E9" w:rsidRDefault="009E35E9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37956457">
          <v:rect id="_x0000_s2239" style="position:absolute;left:0;text-align:left;margin-left:464.35pt;margin-top:7.1pt;width:75.05pt;height:17.85pt;z-index:251657728" o:allowincell="f" filled="f" stroked="f" strokecolor="lime" strokeweight=".25pt">
            <v:textbox style="mso-next-textbox:#_x0000_s2239" inset="0,0,0,0">
              <w:txbxContent>
                <w:p w14:paraId="101132FF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אופן חלוקת </w:t>
                  </w:r>
                  <w:r w:rsidR="009D797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עודף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D7979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9D7979">
        <w:rPr>
          <w:rStyle w:val="default"/>
          <w:rFonts w:cs="FrankRuehl" w:hint="cs"/>
          <w:rtl/>
        </w:rPr>
        <w:t xml:space="preserve">עודף </w:t>
      </w:r>
      <w:r w:rsidR="009075F8">
        <w:rPr>
          <w:rStyle w:val="default"/>
          <w:rFonts w:cs="FrankRuehl" w:hint="cs"/>
          <w:rtl/>
        </w:rPr>
        <w:t>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14:paraId="24058874" w14:textId="77777777" w:rsidR="000F1E37" w:rsidRDefault="000F1E37" w:rsidP="009D79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</w:t>
      </w:r>
      <w:r w:rsidR="009D7979">
        <w:rPr>
          <w:rStyle w:val="default"/>
          <w:rFonts w:cs="FrankRuehl" w:hint="cs"/>
          <w:rtl/>
        </w:rPr>
        <w:t>המקומית בענה</w:t>
      </w:r>
      <w:r w:rsidR="00852CF3"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8.33</w:t>
      </w:r>
      <w:r w:rsidR="00852CF3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03508869" w14:textId="77777777" w:rsidR="000F1E37" w:rsidRDefault="000F1E37" w:rsidP="009D79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</w:t>
      </w:r>
      <w:r w:rsidR="009D7979">
        <w:rPr>
          <w:rStyle w:val="default"/>
          <w:rFonts w:cs="FrankRuehl" w:hint="cs"/>
          <w:rtl/>
        </w:rPr>
        <w:t>המקומית דיר אל אסד</w:t>
      </w:r>
      <w:r w:rsidR="00852CF3"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8.33</w:t>
      </w:r>
      <w:r w:rsidR="00852CF3">
        <w:rPr>
          <w:rStyle w:val="default"/>
          <w:rFonts w:cs="FrankRuehl" w:hint="cs"/>
          <w:rtl/>
        </w:rPr>
        <w:t>%</w:t>
      </w:r>
      <w:r w:rsidR="00902C90">
        <w:rPr>
          <w:rStyle w:val="default"/>
          <w:rFonts w:cs="FrankRuehl" w:hint="cs"/>
          <w:rtl/>
        </w:rPr>
        <w:t>;</w:t>
      </w:r>
    </w:p>
    <w:p w14:paraId="438DD573" w14:textId="77777777" w:rsidR="000F1E37" w:rsidRDefault="000F1E37" w:rsidP="009D79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9D7979">
        <w:rPr>
          <w:rStyle w:val="default"/>
          <w:rFonts w:cs="FrankRuehl" w:hint="cs"/>
          <w:rtl/>
        </w:rPr>
        <w:t>עיריית כרמיאל</w:t>
      </w:r>
      <w:r w:rsidR="00852CF3"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25</w:t>
      </w:r>
      <w:r w:rsidR="00852CF3">
        <w:rPr>
          <w:rStyle w:val="default"/>
          <w:rFonts w:cs="FrankRuehl" w:hint="cs"/>
          <w:rtl/>
        </w:rPr>
        <w:t>%</w:t>
      </w:r>
      <w:r w:rsidR="00902C90">
        <w:rPr>
          <w:rStyle w:val="default"/>
          <w:rFonts w:cs="FrankRuehl" w:hint="cs"/>
          <w:rtl/>
        </w:rPr>
        <w:t>;</w:t>
      </w:r>
    </w:p>
    <w:p w14:paraId="33426430" w14:textId="77777777" w:rsidR="00902C90" w:rsidRDefault="00902C90" w:rsidP="009D797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המקומית </w:t>
      </w:r>
      <w:r w:rsidR="009D7979">
        <w:rPr>
          <w:rStyle w:val="default"/>
          <w:rFonts w:cs="FrankRuehl" w:hint="cs"/>
          <w:rtl/>
        </w:rPr>
        <w:t>מג'ד אל כרום</w:t>
      </w:r>
      <w:r w:rsidR="00852CF3"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8.33%;</w:t>
      </w:r>
    </w:p>
    <w:p w14:paraId="150A53E4" w14:textId="77777777" w:rsidR="009D7979" w:rsidRDefault="009D7979" w:rsidP="009D797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מטה אשר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25%;</w:t>
      </w:r>
    </w:p>
    <w:p w14:paraId="48410C1F" w14:textId="77777777" w:rsidR="009D7979" w:rsidRDefault="009D7979" w:rsidP="009D79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משגב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25%.</w:t>
      </w:r>
    </w:p>
    <w:p w14:paraId="027AE73E" w14:textId="77777777"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79372E00">
          <v:rect id="_x0000_s2255" style="position:absolute;left:0;text-align:left;margin-left:464.35pt;margin-top:7.1pt;width:75.05pt;height:8.95pt;z-index:251658752" o:allowincell="f" filled="f" stroked="f" strokecolor="lime" strokeweight=".25pt">
            <v:textbox style="mso-next-textbox:#_x0000_s2255" inset="0,0,0,0">
              <w:txbxContent>
                <w:p w14:paraId="2ACD1627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852CF3">
        <w:rPr>
          <w:rStyle w:val="default"/>
          <w:rFonts w:cs="FrankRuehl" w:hint="cs"/>
          <w:rtl/>
        </w:rPr>
        <w:t xml:space="preserve">המועצה האזורית </w:t>
      </w:r>
      <w:r w:rsidR="009D7979">
        <w:rPr>
          <w:rStyle w:val="default"/>
          <w:rFonts w:cs="FrankRuehl" w:hint="cs"/>
          <w:rtl/>
        </w:rPr>
        <w:t>מטה אשר וגזבר המועצה האזורית משגב יערכו</w:t>
      </w:r>
      <w:r w:rsidR="002A00E6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יעבירו המועצה האזורית מטה אשר והמועצה האזורית משגב את עודף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161651">
        <w:rPr>
          <w:rStyle w:val="default"/>
          <w:rFonts w:cs="FrankRuehl" w:hint="cs"/>
          <w:rtl/>
        </w:rPr>
        <w:t>לרשויות המקומיות המקבלות</w:t>
      </w:r>
      <w:r w:rsidR="000F1E37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>כמפורט בסעיף 3.</w:t>
      </w:r>
    </w:p>
    <w:p w14:paraId="4005F12B" w14:textId="77777777" w:rsidR="002F7617" w:rsidRDefault="002F7617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הדוח הרבעוני ו</w:t>
      </w:r>
      <w:r w:rsidR="009D7979">
        <w:rPr>
          <w:rStyle w:val="default"/>
          <w:rFonts w:cs="FrankRuehl" w:hint="cs"/>
          <w:rtl/>
        </w:rPr>
        <w:t xml:space="preserve">עודף </w:t>
      </w:r>
      <w:r>
        <w:rPr>
          <w:rStyle w:val="default"/>
          <w:rFonts w:cs="FrankRuehl" w:hint="cs"/>
          <w:rtl/>
        </w:rPr>
        <w:t xml:space="preserve">ההכנסות יועברו </w:t>
      </w:r>
      <w:r w:rsidR="00161651">
        <w:rPr>
          <w:rStyle w:val="default"/>
          <w:rFonts w:cs="FrankRuehl" w:hint="cs"/>
          <w:rtl/>
        </w:rPr>
        <w:t xml:space="preserve">לרשויות </w:t>
      </w:r>
      <w:r w:rsidR="009D7979">
        <w:rPr>
          <w:rStyle w:val="default"/>
          <w:rFonts w:cs="FrankRuehl" w:hint="cs"/>
          <w:rtl/>
        </w:rPr>
        <w:t xml:space="preserve">המקומיות </w:t>
      </w:r>
      <w:r w:rsidR="00161651">
        <w:rPr>
          <w:rStyle w:val="default"/>
          <w:rFonts w:cs="FrankRuehl" w:hint="cs"/>
          <w:rtl/>
        </w:rPr>
        <w:t>המקבלות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14:paraId="3F01C894" w14:textId="77777777" w:rsidR="002F7617" w:rsidRDefault="002F7617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(ג)</w:t>
      </w:r>
      <w:r>
        <w:rPr>
          <w:rStyle w:val="default"/>
          <w:rFonts w:cs="FrankRuehl" w:hint="cs"/>
          <w:rtl/>
        </w:rPr>
        <w:tab/>
      </w:r>
      <w:r w:rsidR="00161651">
        <w:rPr>
          <w:rStyle w:val="default"/>
          <w:rFonts w:cs="FrankRuehl" w:hint="cs"/>
          <w:rtl/>
        </w:rPr>
        <w:t>הרשויות המקומיות המקבלות</w:t>
      </w:r>
      <w:r>
        <w:rPr>
          <w:rStyle w:val="default"/>
          <w:rFonts w:cs="FrankRuehl" w:hint="cs"/>
          <w:rtl/>
        </w:rPr>
        <w:t xml:space="preserve"> רשאיות, בתוך 21 ימים מיום שהועבר לידיהן הדוח הרבעוני, לדרוש </w:t>
      </w:r>
      <w:r w:rsidR="00852CF3">
        <w:rPr>
          <w:rStyle w:val="default"/>
          <w:rFonts w:cs="FrankRuehl" w:hint="cs"/>
          <w:rtl/>
        </w:rPr>
        <w:t xml:space="preserve">מהמועצה האזורית </w:t>
      </w:r>
      <w:r w:rsidR="009D7979">
        <w:rPr>
          <w:rStyle w:val="default"/>
          <w:rFonts w:cs="FrankRuehl" w:hint="cs"/>
          <w:rtl/>
        </w:rPr>
        <w:t>מטה אשר ומהמועצה האזורית משגב</w:t>
      </w:r>
      <w:r w:rsidR="001616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כל מידע הנוגע להכנסות</w:t>
      </w:r>
      <w:r w:rsidR="009D7979">
        <w:rPr>
          <w:rStyle w:val="default"/>
          <w:rFonts w:cs="FrankRuehl" w:hint="cs"/>
          <w:rtl/>
        </w:rPr>
        <w:t>, והמועצות האזוריות האמורות ימציאו את המידע הנדרש בתוך 21 ימים מיום שנדרשו לכך</w:t>
      </w:r>
      <w:r>
        <w:rPr>
          <w:rStyle w:val="default"/>
          <w:rFonts w:cs="FrankRuehl" w:hint="cs"/>
          <w:rtl/>
        </w:rPr>
        <w:t>.</w:t>
      </w:r>
    </w:p>
    <w:p w14:paraId="4278AAF6" w14:textId="77777777" w:rsidR="009E35E9" w:rsidRDefault="009E35E9" w:rsidP="001616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54ECB261">
          <v:rect id="_x0000_s2256" style="position:absolute;left:0;text-align:left;margin-left:464.35pt;margin-top:7.1pt;width:75.05pt;height:10.85pt;z-index:251659776" o:allowincell="f" filled="f" stroked="f" strokecolor="lime" strokeweight=".25pt">
            <v:textbox style="mso-next-textbox:#_x0000_s2256" inset="0,0,0,0">
              <w:txbxContent>
                <w:p w14:paraId="25938DE2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הסכומים</w:t>
      </w:r>
      <w:r w:rsidR="002F7617">
        <w:rPr>
          <w:rStyle w:val="default"/>
          <w:rFonts w:cs="FrankRuehl" w:hint="cs"/>
          <w:rtl/>
        </w:rPr>
        <w:t xml:space="preserve"> </w:t>
      </w:r>
      <w:r w:rsidR="00161651">
        <w:rPr>
          <w:rStyle w:val="default"/>
          <w:rFonts w:cs="FrankRuehl" w:hint="cs"/>
          <w:rtl/>
        </w:rPr>
        <w:t>לרשויות המקומיות המקבלות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</w:t>
      </w:r>
      <w:r w:rsidR="009D7979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2A436700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D33759" w14:textId="77777777" w:rsidR="00A66E80" w:rsidRDefault="00A66E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FF550F" w14:textId="77777777" w:rsidR="009E35E9" w:rsidRPr="008E20FC" w:rsidRDefault="009D7979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כ"ט בחשוון</w:t>
      </w:r>
      <w:r w:rsidR="004E5061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ט</w:t>
      </w:r>
      <w:r w:rsidR="004E5061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בנובמבר</w:t>
      </w:r>
      <w:r w:rsidR="004E5061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8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אריה מכלוף דרעי</w:t>
      </w:r>
    </w:p>
    <w:p w14:paraId="216EE084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35A7E70B" w14:textId="77777777" w:rsidR="00C25431" w:rsidRPr="009075F8" w:rsidRDefault="00C2543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576897" w14:textId="77777777" w:rsidR="009D2B4B" w:rsidRDefault="009D2B4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54294C" w14:textId="77777777" w:rsidR="009D2B4B" w:rsidRDefault="009D2B4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D2B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7EEA" w14:textId="77777777" w:rsidR="008C43F8" w:rsidRDefault="008C43F8">
      <w:r>
        <w:separator/>
      </w:r>
    </w:p>
  </w:endnote>
  <w:endnote w:type="continuationSeparator" w:id="0">
    <w:p w14:paraId="5775B8BE" w14:textId="77777777" w:rsidR="008C43F8" w:rsidRDefault="008C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2911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B35641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F00D6CC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3AFB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64B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EDAA85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5B36331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2129" w14:textId="77777777" w:rsidR="008C43F8" w:rsidRDefault="008C43F8">
      <w:r>
        <w:separator/>
      </w:r>
    </w:p>
  </w:footnote>
  <w:footnote w:type="continuationSeparator" w:id="0">
    <w:p w14:paraId="61CD7046" w14:textId="77777777" w:rsidR="008C43F8" w:rsidRDefault="008C43F8">
      <w:r>
        <w:continuationSeparator/>
      </w:r>
    </w:p>
  </w:footnote>
  <w:footnote w:id="1">
    <w:p w14:paraId="229344F2" w14:textId="77777777" w:rsidR="00464B65" w:rsidRDefault="009E35E9" w:rsidP="00464B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464B65">
          <w:rPr>
            <w:rStyle w:val="Hyperlink"/>
            <w:rFonts w:cs="FrankRuehl" w:hint="cs"/>
            <w:rtl/>
          </w:rPr>
          <w:t xml:space="preserve">ק"ת </w:t>
        </w:r>
        <w:r w:rsidR="008E20FC" w:rsidRPr="00464B65">
          <w:rPr>
            <w:rStyle w:val="Hyperlink"/>
            <w:rFonts w:cs="FrankRuehl" w:hint="cs"/>
            <w:rtl/>
          </w:rPr>
          <w:t>תשע"</w:t>
        </w:r>
        <w:r w:rsidR="00A66E80" w:rsidRPr="00464B65">
          <w:rPr>
            <w:rStyle w:val="Hyperlink"/>
            <w:rFonts w:cs="FrankRuehl" w:hint="cs"/>
            <w:rtl/>
          </w:rPr>
          <w:t>ט</w:t>
        </w:r>
        <w:r w:rsidRPr="00464B65">
          <w:rPr>
            <w:rStyle w:val="Hyperlink"/>
            <w:rFonts w:cs="FrankRuehl" w:hint="cs"/>
            <w:rtl/>
          </w:rPr>
          <w:t xml:space="preserve"> מס' </w:t>
        </w:r>
        <w:r w:rsidR="00A66E80" w:rsidRPr="00464B65">
          <w:rPr>
            <w:rStyle w:val="Hyperlink"/>
            <w:rFonts w:cs="FrankRuehl" w:hint="cs"/>
            <w:rtl/>
          </w:rPr>
          <w:t>8124</w:t>
        </w:r>
      </w:hyperlink>
      <w:r>
        <w:rPr>
          <w:rFonts w:cs="FrankRuehl" w:hint="cs"/>
          <w:rtl/>
        </w:rPr>
        <w:t xml:space="preserve"> מיום </w:t>
      </w:r>
      <w:r w:rsidR="00A66E80">
        <w:rPr>
          <w:rFonts w:cs="FrankRuehl" w:hint="cs"/>
          <w:rtl/>
        </w:rPr>
        <w:t>13.12.2018</w:t>
      </w:r>
      <w:r>
        <w:rPr>
          <w:rFonts w:cs="FrankRuehl" w:hint="cs"/>
          <w:rtl/>
        </w:rPr>
        <w:t xml:space="preserve"> עמ' </w:t>
      </w:r>
      <w:r w:rsidR="00A66E80">
        <w:rPr>
          <w:rFonts w:cs="FrankRuehl" w:hint="cs"/>
          <w:rtl/>
        </w:rPr>
        <w:t>1504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14399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4EB4741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19806E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D216" w14:textId="77777777" w:rsidR="009E35E9" w:rsidRDefault="008E20FC" w:rsidP="00852CF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האזורית </w:t>
    </w:r>
    <w:r w:rsidR="00A66E80">
      <w:rPr>
        <w:rFonts w:hAnsi="FrankRuehl" w:cs="FrankRuehl" w:hint="cs"/>
        <w:color w:val="000000"/>
        <w:sz w:val="28"/>
        <w:szCs w:val="28"/>
        <w:rtl/>
      </w:rPr>
      <w:t>מטה אשר והמועצה האזורית משגב לבין המועצה המקומית בענה, המועצה המקומית דיר אל אסד, עיריית כרמיאל והמועצה המקומית מג'ד אל כרום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A66E80">
      <w:rPr>
        <w:rFonts w:hAnsi="FrankRuehl" w:cs="FrankRuehl" w:hint="cs"/>
        <w:color w:val="000000"/>
        <w:sz w:val="28"/>
        <w:szCs w:val="28"/>
        <w:rtl/>
      </w:rPr>
      <w:t>ט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A66E80">
      <w:rPr>
        <w:rFonts w:hAnsi="FrankRuehl" w:cs="FrankRuehl" w:hint="cs"/>
        <w:color w:val="000000"/>
        <w:sz w:val="28"/>
        <w:szCs w:val="28"/>
        <w:rtl/>
      </w:rPr>
      <w:t>8</w:t>
    </w:r>
  </w:p>
  <w:p w14:paraId="5BB68E53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7EFB92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327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E22CB"/>
    <w:rsid w:val="000F00DE"/>
    <w:rsid w:val="000F1E37"/>
    <w:rsid w:val="00161651"/>
    <w:rsid w:val="0018449C"/>
    <w:rsid w:val="00201791"/>
    <w:rsid w:val="00223BEE"/>
    <w:rsid w:val="002A00E6"/>
    <w:rsid w:val="002F7617"/>
    <w:rsid w:val="003A73D6"/>
    <w:rsid w:val="0045612B"/>
    <w:rsid w:val="00464B65"/>
    <w:rsid w:val="00474A58"/>
    <w:rsid w:val="004A16D2"/>
    <w:rsid w:val="004A4B10"/>
    <w:rsid w:val="004E5061"/>
    <w:rsid w:val="005A1666"/>
    <w:rsid w:val="005D4325"/>
    <w:rsid w:val="005F7323"/>
    <w:rsid w:val="007543E1"/>
    <w:rsid w:val="00772A1E"/>
    <w:rsid w:val="007753F5"/>
    <w:rsid w:val="00780C52"/>
    <w:rsid w:val="00852CF3"/>
    <w:rsid w:val="008A4A8E"/>
    <w:rsid w:val="008C43F8"/>
    <w:rsid w:val="008E20FC"/>
    <w:rsid w:val="00902C90"/>
    <w:rsid w:val="009075F8"/>
    <w:rsid w:val="0094424F"/>
    <w:rsid w:val="009D2B4B"/>
    <w:rsid w:val="009D7979"/>
    <w:rsid w:val="009E35E9"/>
    <w:rsid w:val="00A01167"/>
    <w:rsid w:val="00A1207E"/>
    <w:rsid w:val="00A66E80"/>
    <w:rsid w:val="00A95B72"/>
    <w:rsid w:val="00B05FFD"/>
    <w:rsid w:val="00B65A57"/>
    <w:rsid w:val="00BD1FE9"/>
    <w:rsid w:val="00C06520"/>
    <w:rsid w:val="00C25431"/>
    <w:rsid w:val="00C83F6C"/>
    <w:rsid w:val="00CA0CE3"/>
    <w:rsid w:val="00CC3E88"/>
    <w:rsid w:val="00D0395E"/>
    <w:rsid w:val="00D251CF"/>
    <w:rsid w:val="00D53828"/>
    <w:rsid w:val="00D906F7"/>
    <w:rsid w:val="00ED6653"/>
    <w:rsid w:val="00F13E49"/>
    <w:rsid w:val="00F64C6C"/>
    <w:rsid w:val="00F65AC8"/>
    <w:rsid w:val="00F82AE6"/>
    <w:rsid w:val="00FD3A4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7406A7C"/>
  <w15:chartTrackingRefBased/>
  <w15:docId w15:val="{72041E87-4ECE-4AAA-AD32-78140C9E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2895</CharactersWithSpaces>
  <SharedDoc>false</SharedDoc>
  <HLinks>
    <vt:vector size="6" baseType="variant">
      <vt:variant>
        <vt:i4>7536653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Yael Ilan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המועצות המקומיות (חלוקת הכנסות בין המועצה האזורית מטה אשר והמועצה האזורית משגב לבין המועצה המקומית בענה, המועצה המקומית דיר אל אסד, עיריית כרמיאל והמועצה המקומית מג'ד אל כרום), תשע"ט-2018</vt:lpwstr>
  </property>
  <property fmtid="{D5CDD505-2E9C-101B-9397-08002B2CF9AE}" pid="4" name="LAWNUMBER">
    <vt:lpwstr>0010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העיריות [נוסח חדש]</vt:lpwstr>
  </property>
  <property fmtid="{D5CDD505-2E9C-101B-9397-08002B2CF9AE}" pid="63" name="MEKOR_SAIF1">
    <vt:lpwstr>9בX</vt:lpwstr>
  </property>
  <property fmtid="{D5CDD505-2E9C-101B-9397-08002B2CF9AE}" pid="64" name="MEKOR_NAME2">
    <vt:lpwstr>פקודת המועצות המקומיות [נוסח חדש]</vt:lpwstr>
  </property>
  <property fmtid="{D5CDD505-2E9C-101B-9397-08002B2CF9AE}" pid="65" name="MEKOR_SAIF2">
    <vt:lpwstr>34אX</vt:lpwstr>
  </property>
  <property fmtid="{D5CDD505-2E9C-101B-9397-08002B2CF9AE}" pid="66" name="LINKK1">
    <vt:lpwstr>http://www.nevo.co.il/Law_word/law06/TAK-8124.pdf;‎רשומות - תקנות כלליות#פורסם ק"ת ‏תשע"ט מס' 8124 #מיום 13.12.2018 עמ' 1504‏</vt:lpwstr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