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35E9" w:rsidRDefault="008E20FC" w:rsidP="008A0EE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</w:t>
      </w:r>
      <w:r w:rsidR="000E22CB">
        <w:rPr>
          <w:rFonts w:cs="FrankRuehl" w:hint="cs"/>
          <w:sz w:val="32"/>
          <w:rtl/>
        </w:rPr>
        <w:t xml:space="preserve"> </w:t>
      </w:r>
      <w:r w:rsidR="00852CF3">
        <w:rPr>
          <w:rFonts w:cs="FrankRuehl" w:hint="cs"/>
          <w:sz w:val="32"/>
          <w:rtl/>
        </w:rPr>
        <w:t>המועצות המקומיות</w:t>
      </w:r>
      <w:r w:rsidR="000E22CB">
        <w:rPr>
          <w:rFonts w:cs="FrankRuehl" w:hint="cs"/>
          <w:sz w:val="32"/>
          <w:rtl/>
        </w:rPr>
        <w:t xml:space="preserve"> (</w:t>
      </w:r>
      <w:r w:rsidR="00852CF3">
        <w:rPr>
          <w:rFonts w:cs="FrankRuehl" w:hint="cs"/>
          <w:sz w:val="32"/>
          <w:rtl/>
        </w:rPr>
        <w:t>חלוקת הכנסות בין המועצה האזורית רמת הנגב לבין המועצה</w:t>
      </w:r>
      <w:r w:rsidR="008A0EE8">
        <w:rPr>
          <w:rFonts w:cs="FrankRuehl" w:hint="cs"/>
          <w:sz w:val="32"/>
          <w:rtl/>
        </w:rPr>
        <w:t xml:space="preserve"> המקומית מצפה רמון</w:t>
      </w:r>
      <w:r>
        <w:rPr>
          <w:rFonts w:cs="FrankRuehl" w:hint="cs"/>
          <w:sz w:val="32"/>
          <w:rtl/>
        </w:rPr>
        <w:t>), תשע"</w:t>
      </w:r>
      <w:r w:rsidR="00FE70C1">
        <w:rPr>
          <w:rFonts w:cs="FrankRuehl" w:hint="cs"/>
          <w:sz w:val="32"/>
          <w:rtl/>
        </w:rPr>
        <w:t>ה</w:t>
      </w:r>
      <w:r>
        <w:rPr>
          <w:rFonts w:cs="FrankRuehl" w:hint="cs"/>
          <w:sz w:val="32"/>
          <w:rtl/>
        </w:rPr>
        <w:t>-2014</w:t>
      </w:r>
    </w:p>
    <w:p w:rsidR="008E20FC" w:rsidRPr="008E20FC" w:rsidRDefault="008E20FC" w:rsidP="008E20FC">
      <w:pPr>
        <w:spacing w:line="320" w:lineRule="auto"/>
        <w:rPr>
          <w:rFonts w:cs="FrankRuehl"/>
          <w:szCs w:val="26"/>
          <w:rtl/>
        </w:rPr>
      </w:pPr>
    </w:p>
    <w:p w:rsidR="008E20FC" w:rsidRDefault="008E20FC" w:rsidP="008E20FC">
      <w:pPr>
        <w:spacing w:line="320" w:lineRule="auto"/>
        <w:rPr>
          <w:rtl/>
        </w:rPr>
      </w:pPr>
    </w:p>
    <w:p w:rsidR="008E20FC" w:rsidRPr="008E20FC" w:rsidRDefault="008E20FC" w:rsidP="008E20FC">
      <w:pPr>
        <w:spacing w:line="320" w:lineRule="auto"/>
        <w:rPr>
          <w:rFonts w:cs="Miriam"/>
          <w:szCs w:val="22"/>
        </w:rPr>
      </w:pPr>
      <w:r w:rsidRPr="008E20FC">
        <w:rPr>
          <w:rFonts w:cs="Miriam"/>
          <w:szCs w:val="22"/>
          <w:rtl/>
        </w:rPr>
        <w:t>רשויות ומשפט מנהלי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רשויות מקומיות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מסי שלטון מקומי</w:t>
      </w:r>
    </w:p>
    <w:p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45343" w:rsidRPr="00F4534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45343" w:rsidRPr="00F45343" w:rsidRDefault="00F45343" w:rsidP="00F4534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F45343" w:rsidRPr="00F45343" w:rsidRDefault="00F45343" w:rsidP="00F4534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F45343" w:rsidRPr="00F45343" w:rsidRDefault="00F45343" w:rsidP="00F45343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F4534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45343" w:rsidRPr="00F45343" w:rsidRDefault="00F45343" w:rsidP="00F4534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45343" w:rsidRPr="00F4534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45343" w:rsidRPr="00F45343" w:rsidRDefault="00F45343" w:rsidP="00F4534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F45343" w:rsidRPr="00F45343" w:rsidRDefault="00F45343" w:rsidP="00F4534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הכרזה על אזור חלוקת הכנסות</w:t>
            </w:r>
          </w:p>
        </w:tc>
        <w:tc>
          <w:tcPr>
            <w:tcW w:w="567" w:type="dxa"/>
          </w:tcPr>
          <w:p w:rsidR="00F45343" w:rsidRPr="00F45343" w:rsidRDefault="00F45343" w:rsidP="00F45343">
            <w:pPr>
              <w:rPr>
                <w:rStyle w:val="Hyperlink"/>
                <w:rFonts w:hint="cs"/>
                <w:rtl/>
              </w:rPr>
            </w:pPr>
            <w:hyperlink w:anchor="Seif2" w:tooltip="הכרזה על אזור חלוקת הכנסות" w:history="1">
              <w:r w:rsidRPr="00F4534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45343" w:rsidRPr="00F45343" w:rsidRDefault="00F45343" w:rsidP="00F4534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45343" w:rsidRPr="00F4534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45343" w:rsidRPr="00F45343" w:rsidRDefault="00F45343" w:rsidP="00F4534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F45343" w:rsidRPr="00F45343" w:rsidRDefault="00F45343" w:rsidP="00F4534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אופן חלוקת ההכנסות</w:t>
            </w:r>
          </w:p>
        </w:tc>
        <w:tc>
          <w:tcPr>
            <w:tcW w:w="567" w:type="dxa"/>
          </w:tcPr>
          <w:p w:rsidR="00F45343" w:rsidRPr="00F45343" w:rsidRDefault="00F45343" w:rsidP="00F45343">
            <w:pPr>
              <w:rPr>
                <w:rStyle w:val="Hyperlink"/>
                <w:rFonts w:hint="cs"/>
                <w:rtl/>
              </w:rPr>
            </w:pPr>
            <w:hyperlink w:anchor="Seif3" w:tooltip="אופן חלוקת ההכנסות" w:history="1">
              <w:r w:rsidRPr="00F4534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45343" w:rsidRPr="00F45343" w:rsidRDefault="00F45343" w:rsidP="00F4534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45343" w:rsidRPr="00F4534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45343" w:rsidRPr="00F45343" w:rsidRDefault="00F45343" w:rsidP="00F4534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F45343" w:rsidRPr="00F45343" w:rsidRDefault="00F45343" w:rsidP="00F4534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תשלום ודיווח</w:t>
            </w:r>
          </w:p>
        </w:tc>
        <w:tc>
          <w:tcPr>
            <w:tcW w:w="567" w:type="dxa"/>
          </w:tcPr>
          <w:p w:rsidR="00F45343" w:rsidRPr="00F45343" w:rsidRDefault="00F45343" w:rsidP="00F45343">
            <w:pPr>
              <w:rPr>
                <w:rStyle w:val="Hyperlink"/>
                <w:rFonts w:hint="cs"/>
                <w:rtl/>
              </w:rPr>
            </w:pPr>
            <w:hyperlink w:anchor="Seif4" w:tooltip="תשלום ודיווח" w:history="1">
              <w:r w:rsidRPr="00F4534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45343" w:rsidRPr="00F45343" w:rsidRDefault="00F45343" w:rsidP="00F4534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45343" w:rsidRPr="00F4534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45343" w:rsidRPr="00F45343" w:rsidRDefault="00F45343" w:rsidP="00F4534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F45343" w:rsidRPr="00F45343" w:rsidRDefault="00F45343" w:rsidP="00F4534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ריבית</w:t>
            </w:r>
          </w:p>
        </w:tc>
        <w:tc>
          <w:tcPr>
            <w:tcW w:w="567" w:type="dxa"/>
          </w:tcPr>
          <w:p w:rsidR="00F45343" w:rsidRPr="00F45343" w:rsidRDefault="00F45343" w:rsidP="00F45343">
            <w:pPr>
              <w:rPr>
                <w:rStyle w:val="Hyperlink"/>
                <w:rFonts w:hint="cs"/>
                <w:rtl/>
              </w:rPr>
            </w:pPr>
            <w:hyperlink w:anchor="Seif5" w:tooltip="ריבית" w:history="1">
              <w:r w:rsidRPr="00F4534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45343" w:rsidRPr="00F45343" w:rsidRDefault="00F45343" w:rsidP="00F4534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45343" w:rsidRPr="00F4534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45343" w:rsidRPr="00F45343" w:rsidRDefault="00F45343" w:rsidP="00F4534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F45343" w:rsidRPr="00F45343" w:rsidRDefault="00F45343" w:rsidP="00F4534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F45343" w:rsidRPr="00F45343" w:rsidRDefault="00F45343" w:rsidP="00F45343">
            <w:pPr>
              <w:rPr>
                <w:rStyle w:val="Hyperlink"/>
                <w:rFonts w:hint="cs"/>
                <w:rtl/>
              </w:rPr>
            </w:pPr>
            <w:hyperlink w:anchor="Seif6" w:tooltip="תחילה" w:history="1">
              <w:r w:rsidRPr="00F4534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45343" w:rsidRPr="00F45343" w:rsidRDefault="00F45343" w:rsidP="00F4534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45343" w:rsidRPr="00F4534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45343" w:rsidRPr="00F45343" w:rsidRDefault="00F45343" w:rsidP="00F4534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F45343" w:rsidRPr="00F45343" w:rsidRDefault="00F45343" w:rsidP="00F4534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הוראת שעה</w:t>
            </w:r>
          </w:p>
        </w:tc>
        <w:tc>
          <w:tcPr>
            <w:tcW w:w="567" w:type="dxa"/>
          </w:tcPr>
          <w:p w:rsidR="00F45343" w:rsidRPr="00F45343" w:rsidRDefault="00F45343" w:rsidP="00F45343">
            <w:pPr>
              <w:rPr>
                <w:rStyle w:val="Hyperlink"/>
                <w:rFonts w:hint="cs"/>
                <w:rtl/>
              </w:rPr>
            </w:pPr>
            <w:hyperlink w:anchor="Seif7" w:tooltip="הוראת שעה" w:history="1">
              <w:r w:rsidRPr="00F4534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45343" w:rsidRPr="00F45343" w:rsidRDefault="00F45343" w:rsidP="00F4534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Seif7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</w:p>
    <w:p w:rsidR="009E35E9" w:rsidRDefault="009E35E9" w:rsidP="008A0EE8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852CF3">
        <w:rPr>
          <w:rFonts w:cs="FrankRuehl" w:hint="cs"/>
          <w:sz w:val="32"/>
          <w:rtl/>
        </w:rPr>
        <w:lastRenderedPageBreak/>
        <w:t xml:space="preserve">צו המועצות המקומיות (חלוקת הכנסות בין המועצה האזורית רמת הנגב לבין המועצה </w:t>
      </w:r>
      <w:r w:rsidR="008A0EE8">
        <w:rPr>
          <w:rFonts w:cs="FrankRuehl" w:hint="cs"/>
          <w:sz w:val="32"/>
          <w:rtl/>
        </w:rPr>
        <w:t>המקומית מצפה רמון</w:t>
      </w:r>
      <w:r w:rsidR="00852CF3">
        <w:rPr>
          <w:rFonts w:cs="FrankRuehl" w:hint="cs"/>
          <w:sz w:val="32"/>
          <w:rtl/>
        </w:rPr>
        <w:t>), תשע"ה-2014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9E35E9" w:rsidRDefault="009E35E9" w:rsidP="00852C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סמכותי לפי </w:t>
      </w:r>
      <w:r w:rsidR="008E20FC">
        <w:rPr>
          <w:rStyle w:val="default"/>
          <w:rFonts w:cs="FrankRuehl" w:hint="cs"/>
          <w:rtl/>
        </w:rPr>
        <w:t>סעיף 34א לפקודת המועצות המקומיות, בהסכמת שר האוצר ולאחר עיון בתסקיר של ועדת חקירה לחלוקת הכנסות, אני מכריז ומצווה לאמור</w:t>
      </w:r>
      <w:r>
        <w:rPr>
          <w:rStyle w:val="default"/>
          <w:rFonts w:cs="FrankRuehl"/>
          <w:rtl/>
        </w:rPr>
        <w:t>:</w:t>
      </w:r>
    </w:p>
    <w:p w:rsidR="009E35E9" w:rsidRDefault="009E35E9" w:rsidP="008E20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2050" style="position:absolute;left:0;text-align:left;margin-left:464.35pt;margin-top:7.1pt;width:75.05pt;height:12.95pt;z-index:251654656" o:allowincell="f" filled="f" stroked="f" strokecolor="lime" strokeweight=".25pt">
            <v:textbox style="mso-next-textbox:#_x0000_s2050" inset="0,0,0,0">
              <w:txbxContent>
                <w:p w:rsidR="009E35E9" w:rsidRDefault="009E35E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E20FC">
        <w:rPr>
          <w:rStyle w:val="default"/>
          <w:rFonts w:cs="FrankRuehl" w:hint="cs"/>
          <w:rtl/>
        </w:rPr>
        <w:t>בצו זה</w:t>
      </w:r>
      <w:r>
        <w:rPr>
          <w:rStyle w:val="default"/>
          <w:rFonts w:cs="FrankRuehl"/>
          <w:rtl/>
        </w:rPr>
        <w:t xml:space="preserve"> –</w:t>
      </w:r>
    </w:p>
    <w:p w:rsidR="00FE70C1" w:rsidRDefault="00FE70C1" w:rsidP="00FE70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"הכנסות"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הכנסות מארנונה כללית המתקבלות מאזור חלוקת ההכנסות כהגדרתו בסעיף 2 לצו זה;</w:t>
      </w:r>
    </w:p>
    <w:p w:rsidR="008E20FC" w:rsidRDefault="008E20FC" w:rsidP="008A0EE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"הרשויות המקומיות"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852CF3">
        <w:rPr>
          <w:rStyle w:val="default"/>
          <w:rFonts w:cs="FrankRuehl" w:hint="cs"/>
          <w:rtl/>
        </w:rPr>
        <w:t>המועצ</w:t>
      </w:r>
      <w:r w:rsidR="008A0EE8">
        <w:rPr>
          <w:rStyle w:val="default"/>
          <w:rFonts w:cs="FrankRuehl" w:hint="cs"/>
          <w:rtl/>
        </w:rPr>
        <w:t>ה</w:t>
      </w:r>
      <w:r w:rsidR="00852CF3">
        <w:rPr>
          <w:rStyle w:val="default"/>
          <w:rFonts w:cs="FrankRuehl" w:hint="cs"/>
          <w:rtl/>
        </w:rPr>
        <w:t xml:space="preserve"> האזורית רמת הנגב והמועצ</w:t>
      </w:r>
      <w:r w:rsidR="008A0EE8">
        <w:rPr>
          <w:rStyle w:val="default"/>
          <w:rFonts w:cs="FrankRuehl" w:hint="cs"/>
          <w:rtl/>
        </w:rPr>
        <w:t>ה</w:t>
      </w:r>
      <w:r w:rsidR="00852CF3">
        <w:rPr>
          <w:rStyle w:val="default"/>
          <w:rFonts w:cs="FrankRuehl" w:hint="cs"/>
          <w:rtl/>
        </w:rPr>
        <w:t xml:space="preserve"> המקומית </w:t>
      </w:r>
      <w:r w:rsidR="008A0EE8">
        <w:rPr>
          <w:rStyle w:val="default"/>
          <w:rFonts w:cs="FrankRuehl" w:hint="cs"/>
          <w:rtl/>
        </w:rPr>
        <w:t>מצפה רמון</w:t>
      </w:r>
      <w:r>
        <w:rPr>
          <w:rStyle w:val="default"/>
          <w:rFonts w:cs="FrankRuehl" w:hint="cs"/>
          <w:rtl/>
        </w:rPr>
        <w:t>;</w:t>
      </w:r>
    </w:p>
    <w:p w:rsidR="008E20FC" w:rsidRDefault="008E20FC" w:rsidP="009075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"מפה"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מפת אזור חלוקת ההכנס</w:t>
      </w:r>
      <w:r w:rsidR="009075F8">
        <w:rPr>
          <w:rStyle w:val="default"/>
          <w:rFonts w:cs="FrankRuehl" w:hint="cs"/>
          <w:rtl/>
        </w:rPr>
        <w:t>ות הערוכה בקנה מידה 1:</w:t>
      </w:r>
      <w:r w:rsidR="008A0EE8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 xml:space="preserve">0,000 והחתומה ביד שר הפנים ביום </w:t>
      </w:r>
      <w:r w:rsidR="009075F8">
        <w:rPr>
          <w:rStyle w:val="default"/>
          <w:rFonts w:cs="FrankRuehl" w:hint="cs"/>
          <w:rtl/>
        </w:rPr>
        <w:t>א' בטבת התשע"ה (23 בדצמבר</w:t>
      </w:r>
      <w:r>
        <w:rPr>
          <w:rStyle w:val="default"/>
          <w:rFonts w:cs="FrankRuehl" w:hint="cs"/>
          <w:rtl/>
        </w:rPr>
        <w:t xml:space="preserve"> 201</w:t>
      </w:r>
      <w:r w:rsidR="00FE70C1">
        <w:rPr>
          <w:rStyle w:val="default"/>
          <w:rFonts w:cs="FrankRuehl" w:hint="cs"/>
          <w:rtl/>
        </w:rPr>
        <w:t>4</w:t>
      </w:r>
      <w:r>
        <w:rPr>
          <w:rStyle w:val="default"/>
          <w:rFonts w:cs="FrankRuehl" w:hint="cs"/>
          <w:rtl/>
        </w:rPr>
        <w:t>) ושהעתקים ממנה מופקדים במשרד הפנים, ירושלים, במשרד הממונה על מחוז</w:t>
      </w:r>
      <w:r w:rsidR="009075F8">
        <w:rPr>
          <w:rStyle w:val="default"/>
          <w:rFonts w:cs="FrankRuehl" w:hint="cs"/>
          <w:rtl/>
        </w:rPr>
        <w:t xml:space="preserve"> הדרום ובמשרדי הרשויות המקומיות</w:t>
      </w:r>
      <w:r w:rsidR="008A0EE8">
        <w:rPr>
          <w:rStyle w:val="default"/>
          <w:rFonts w:cs="FrankRuehl" w:hint="cs"/>
          <w:rtl/>
        </w:rPr>
        <w:t>.</w:t>
      </w:r>
    </w:p>
    <w:p w:rsidR="009E35E9" w:rsidRDefault="009E35E9" w:rsidP="005F73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2238" style="position:absolute;left:0;text-align:left;margin-left:464.35pt;margin-top:7.1pt;width:75.05pt;height:20.85pt;z-index:251655680" o:allowincell="f" filled="f" stroked="f" strokecolor="lime" strokeweight=".25pt">
            <v:textbox style="mso-next-textbox:#_x0000_s2238" inset="0,0,0,0">
              <w:txbxContent>
                <w:p w:rsidR="009E35E9" w:rsidRDefault="005F732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הכרזה על אזור חלוקת 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5F7323">
        <w:rPr>
          <w:rStyle w:val="default"/>
          <w:rFonts w:cs="FrankRuehl" w:hint="cs"/>
          <w:rtl/>
        </w:rPr>
        <w:t>(א)</w:t>
      </w:r>
      <w:r w:rsidR="005F7323">
        <w:rPr>
          <w:rStyle w:val="default"/>
          <w:rFonts w:cs="FrankRuehl" w:hint="cs"/>
          <w:rtl/>
        </w:rPr>
        <w:tab/>
        <w:t>אזור חלוקת ההכנסות כולל גושים וחלקות רישום כלהלן:</w:t>
      </w:r>
    </w:p>
    <w:p w:rsidR="00852CF3" w:rsidRDefault="00852CF3" w:rsidP="008A0EE8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8A0EE8">
        <w:rPr>
          <w:rStyle w:val="default"/>
          <w:rFonts w:cs="FrankRuehl" w:hint="cs"/>
          <w:rtl/>
        </w:rPr>
        <w:t>3902</w:t>
      </w:r>
      <w:r>
        <w:rPr>
          <w:rStyle w:val="default"/>
          <w:rFonts w:cs="FrankRuehl" w:hint="cs"/>
          <w:rtl/>
        </w:rPr>
        <w:t xml:space="preserve">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</w:t>
      </w:r>
      <w:r w:rsidR="008A0EE8">
        <w:rPr>
          <w:rStyle w:val="default"/>
          <w:rFonts w:cs="FrankRuehl" w:hint="cs"/>
          <w:rtl/>
        </w:rPr>
        <w:t>מחלקה 1</w:t>
      </w:r>
      <w:r>
        <w:rPr>
          <w:rStyle w:val="default"/>
          <w:rFonts w:cs="FrankRuehl" w:hint="cs"/>
          <w:rtl/>
        </w:rPr>
        <w:t xml:space="preserve"> כמסומן במפה;</w:t>
      </w:r>
    </w:p>
    <w:p w:rsidR="00852CF3" w:rsidRDefault="00852CF3" w:rsidP="008A0EE8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8A0EE8">
        <w:rPr>
          <w:rStyle w:val="default"/>
          <w:rFonts w:cs="FrankRuehl" w:hint="cs"/>
          <w:rtl/>
        </w:rPr>
        <w:t>3902</w:t>
      </w:r>
      <w:r>
        <w:rPr>
          <w:rStyle w:val="default"/>
          <w:rFonts w:cs="FrankRuehl" w:hint="cs"/>
          <w:rtl/>
        </w:rPr>
        <w:t xml:space="preserve">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מחלקה </w:t>
      </w:r>
      <w:r w:rsidR="008A0EE8"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 w:hint="cs"/>
          <w:rtl/>
        </w:rPr>
        <w:t xml:space="preserve"> כמסומן במפה;</w:t>
      </w:r>
    </w:p>
    <w:p w:rsidR="00852CF3" w:rsidRDefault="00852CF3" w:rsidP="008A0EE8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390</w:t>
      </w:r>
      <w:r w:rsidR="008A0EE8">
        <w:rPr>
          <w:rStyle w:val="default"/>
          <w:rFonts w:cs="FrankRuehl" w:hint="cs"/>
          <w:rtl/>
        </w:rPr>
        <w:t>26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מחלקה </w:t>
      </w:r>
      <w:r w:rsidR="008A0EE8"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 w:hint="cs"/>
          <w:rtl/>
        </w:rPr>
        <w:t xml:space="preserve"> כמסומן במפה.</w:t>
      </w:r>
    </w:p>
    <w:p w:rsidR="000F1E37" w:rsidRDefault="000F1E37" w:rsidP="000F1E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ההכנסות באזור חלוקת ההכנסות כאמור בסעיף קטן (א) יחולקו בין הרשויות המקומיות לפי צו זה.</w:t>
      </w:r>
    </w:p>
    <w:p w:rsidR="009E35E9" w:rsidRDefault="009E35E9" w:rsidP="009075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>
          <v:rect id="_x0000_s2239" style="position:absolute;left:0;text-align:left;margin-left:464.35pt;margin-top:7.1pt;width:75.05pt;height:12.4pt;z-index:251656704" o:allowincell="f" filled="f" stroked="f" strokecolor="lime" strokeweight=".25pt">
            <v:textbox style="mso-next-textbox:#_x0000_s2239" inset="0,0,0,0">
              <w:txbxContent>
                <w:p w:rsidR="009E35E9" w:rsidRDefault="0018449C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אופן חלוקת ההכנסות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8449C">
        <w:rPr>
          <w:rStyle w:val="default"/>
          <w:rFonts w:cs="FrankRuehl" w:hint="cs"/>
          <w:rtl/>
        </w:rPr>
        <w:t>(א)</w:t>
      </w:r>
      <w:r w:rsidR="0018449C">
        <w:rPr>
          <w:rStyle w:val="default"/>
          <w:rFonts w:cs="FrankRuehl" w:hint="cs"/>
          <w:rtl/>
        </w:rPr>
        <w:tab/>
        <w:t xml:space="preserve">ההכנסות </w:t>
      </w:r>
      <w:r w:rsidR="009075F8">
        <w:rPr>
          <w:rStyle w:val="default"/>
          <w:rFonts w:cs="FrankRuehl" w:hint="cs"/>
          <w:rtl/>
        </w:rPr>
        <w:t>יחולקו בין הרשויות המקומיות בשיעורים מסך כל ההכנסות</w:t>
      </w:r>
      <w:r w:rsidR="002A00E6">
        <w:rPr>
          <w:rStyle w:val="default"/>
          <w:rFonts w:cs="FrankRuehl" w:hint="cs"/>
          <w:rtl/>
        </w:rPr>
        <w:t>, כמפורט להלן:</w:t>
      </w:r>
    </w:p>
    <w:p w:rsidR="000F1E37" w:rsidRDefault="000F1E37" w:rsidP="008A0EE8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852CF3">
        <w:rPr>
          <w:rStyle w:val="default"/>
          <w:rFonts w:cs="FrankRuehl" w:hint="cs"/>
          <w:rtl/>
        </w:rPr>
        <w:t xml:space="preserve">המועצה האזורית רמת הנגב </w:t>
      </w:r>
      <w:r w:rsidR="00852CF3">
        <w:rPr>
          <w:rStyle w:val="default"/>
          <w:rFonts w:cs="FrankRuehl"/>
          <w:rtl/>
        </w:rPr>
        <w:t>–</w:t>
      </w:r>
      <w:r w:rsidR="00852CF3">
        <w:rPr>
          <w:rStyle w:val="default"/>
          <w:rFonts w:cs="FrankRuehl" w:hint="cs"/>
          <w:rtl/>
        </w:rPr>
        <w:t xml:space="preserve"> </w:t>
      </w:r>
      <w:r w:rsidR="008A0EE8">
        <w:rPr>
          <w:rStyle w:val="default"/>
          <w:rFonts w:cs="FrankRuehl" w:hint="cs"/>
          <w:rtl/>
        </w:rPr>
        <w:t>75</w:t>
      </w:r>
      <w:r w:rsidR="00852CF3">
        <w:rPr>
          <w:rStyle w:val="default"/>
          <w:rFonts w:cs="FrankRuehl" w:hint="cs"/>
          <w:rtl/>
        </w:rPr>
        <w:t>%</w:t>
      </w:r>
      <w:r>
        <w:rPr>
          <w:rStyle w:val="default"/>
          <w:rFonts w:cs="FrankRuehl" w:hint="cs"/>
          <w:rtl/>
        </w:rPr>
        <w:t>;</w:t>
      </w:r>
    </w:p>
    <w:p w:rsidR="000F1E37" w:rsidRDefault="000F1E37" w:rsidP="008A0EE8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</w:r>
      <w:r w:rsidR="00852CF3">
        <w:rPr>
          <w:rStyle w:val="default"/>
          <w:rFonts w:cs="FrankRuehl" w:hint="cs"/>
          <w:rtl/>
        </w:rPr>
        <w:t xml:space="preserve">המועצה </w:t>
      </w:r>
      <w:r w:rsidR="008A0EE8">
        <w:rPr>
          <w:rStyle w:val="default"/>
          <w:rFonts w:cs="FrankRuehl" w:hint="cs"/>
          <w:rtl/>
        </w:rPr>
        <w:t xml:space="preserve">המקומית מצפה רמון </w:t>
      </w:r>
      <w:r w:rsidR="008A0EE8">
        <w:rPr>
          <w:rStyle w:val="default"/>
          <w:rFonts w:cs="FrankRuehl"/>
          <w:rtl/>
        </w:rPr>
        <w:t>–</w:t>
      </w:r>
      <w:r w:rsidR="008A0EE8">
        <w:rPr>
          <w:rStyle w:val="default"/>
          <w:rFonts w:cs="FrankRuehl" w:hint="cs"/>
          <w:rtl/>
        </w:rPr>
        <w:t xml:space="preserve"> 25%.</w:t>
      </w:r>
    </w:p>
    <w:p w:rsidR="00902C90" w:rsidRDefault="00902C90" w:rsidP="008A0EE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</w:t>
      </w:r>
      <w:r w:rsidR="008A0EE8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</w:r>
      <w:r w:rsidR="00852CF3">
        <w:rPr>
          <w:rStyle w:val="default"/>
          <w:rFonts w:cs="FrankRuehl" w:hint="cs"/>
          <w:rtl/>
        </w:rPr>
        <w:t>המועצה האזורית רמת הנגב</w:t>
      </w:r>
      <w:r>
        <w:rPr>
          <w:rStyle w:val="default"/>
          <w:rFonts w:cs="FrankRuehl" w:hint="cs"/>
          <w:rtl/>
        </w:rPr>
        <w:t xml:space="preserve"> תעביר </w:t>
      </w:r>
      <w:r w:rsidR="008A0EE8">
        <w:rPr>
          <w:rStyle w:val="default"/>
          <w:rFonts w:cs="FrankRuehl" w:hint="cs"/>
          <w:rtl/>
        </w:rPr>
        <w:t>למועצה המקומית מצפה רמון</w:t>
      </w:r>
      <w:r>
        <w:rPr>
          <w:rStyle w:val="default"/>
          <w:rFonts w:cs="FrankRuehl" w:hint="cs"/>
          <w:rtl/>
        </w:rPr>
        <w:t xml:space="preserve"> את ההכנסות </w:t>
      </w:r>
      <w:r w:rsidR="008A0EE8">
        <w:rPr>
          <w:rStyle w:val="default"/>
          <w:rFonts w:cs="FrankRuehl" w:hint="cs"/>
          <w:rtl/>
        </w:rPr>
        <w:t>לפי</w:t>
      </w:r>
      <w:r>
        <w:rPr>
          <w:rStyle w:val="default"/>
          <w:rFonts w:cs="FrankRuehl" w:hint="cs"/>
          <w:rtl/>
        </w:rPr>
        <w:t xml:space="preserve"> סעיף קטן (א).</w:t>
      </w:r>
    </w:p>
    <w:p w:rsidR="009E35E9" w:rsidRDefault="009E35E9" w:rsidP="008A0EE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lang w:val="he-IL"/>
        </w:rPr>
        <w:pict>
          <v:rect id="_x0000_s2255" style="position:absolute;left:0;text-align:left;margin-left:464.35pt;margin-top:7.1pt;width:75.05pt;height:8.95pt;z-index:251657728" o:allowincell="f" filled="f" stroked="f" strokecolor="lime" strokeweight=".25pt">
            <v:textbox style="mso-next-textbox:#_x0000_s2255" inset="0,0,0,0">
              <w:txbxContent>
                <w:p w:rsidR="009E35E9" w:rsidRDefault="002A00E6" w:rsidP="002A00E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תשלום ודיווח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A00E6">
        <w:rPr>
          <w:rStyle w:val="default"/>
          <w:rFonts w:cs="FrankRuehl" w:hint="cs"/>
          <w:rtl/>
        </w:rPr>
        <w:t>(א)</w:t>
      </w:r>
      <w:r w:rsidR="002A00E6">
        <w:rPr>
          <w:rStyle w:val="default"/>
          <w:rFonts w:cs="FrankRuehl" w:hint="cs"/>
          <w:rtl/>
        </w:rPr>
        <w:tab/>
        <w:t xml:space="preserve">גזבר </w:t>
      </w:r>
      <w:r w:rsidR="00852CF3">
        <w:rPr>
          <w:rStyle w:val="default"/>
          <w:rFonts w:cs="FrankRuehl" w:hint="cs"/>
          <w:rtl/>
        </w:rPr>
        <w:t>המועצה האזורית רמת הנגב</w:t>
      </w:r>
      <w:r w:rsidR="002A00E6">
        <w:rPr>
          <w:rStyle w:val="default"/>
          <w:rFonts w:cs="FrankRuehl" w:hint="cs"/>
          <w:rtl/>
        </w:rPr>
        <w:t xml:space="preserve"> יערוך </w:t>
      </w:r>
      <w:r w:rsidR="002F7617">
        <w:rPr>
          <w:rStyle w:val="default"/>
          <w:rFonts w:cs="FrankRuehl" w:hint="cs"/>
          <w:rtl/>
        </w:rPr>
        <w:t xml:space="preserve">בכל רבעון דוח רבעוני של ההכנסות באזור חלוקת ההכנסות (להלן </w:t>
      </w:r>
      <w:r w:rsidR="002F7617">
        <w:rPr>
          <w:rStyle w:val="default"/>
          <w:rFonts w:cs="FrankRuehl"/>
          <w:rtl/>
        </w:rPr>
        <w:t>–</w:t>
      </w:r>
      <w:r w:rsidR="002F7617">
        <w:rPr>
          <w:rStyle w:val="default"/>
          <w:rFonts w:cs="FrankRuehl" w:hint="cs"/>
          <w:rtl/>
        </w:rPr>
        <w:t xml:space="preserve"> הדוח הרבעוני)</w:t>
      </w:r>
      <w:r w:rsidR="00161651">
        <w:rPr>
          <w:rStyle w:val="default"/>
          <w:rFonts w:cs="FrankRuehl" w:hint="cs"/>
          <w:rtl/>
        </w:rPr>
        <w:t>,</w:t>
      </w:r>
      <w:r w:rsidR="002F7617">
        <w:rPr>
          <w:rStyle w:val="default"/>
          <w:rFonts w:cs="FrankRuehl" w:hint="cs"/>
          <w:rtl/>
        </w:rPr>
        <w:t xml:space="preserve"> </w:t>
      </w:r>
      <w:r w:rsidR="000F1E37">
        <w:rPr>
          <w:rStyle w:val="default"/>
          <w:rFonts w:cs="FrankRuehl" w:hint="cs"/>
          <w:rtl/>
        </w:rPr>
        <w:t>ולפיו</w:t>
      </w:r>
      <w:r w:rsidR="002F7617">
        <w:rPr>
          <w:rStyle w:val="default"/>
          <w:rFonts w:cs="FrankRuehl" w:hint="cs"/>
          <w:rtl/>
        </w:rPr>
        <w:t xml:space="preserve"> יועבר</w:t>
      </w:r>
      <w:r w:rsidR="000F1E37">
        <w:rPr>
          <w:rStyle w:val="default"/>
          <w:rFonts w:cs="FrankRuehl" w:hint="cs"/>
          <w:rtl/>
        </w:rPr>
        <w:t>ו</w:t>
      </w:r>
      <w:r w:rsidR="002F7617">
        <w:rPr>
          <w:rStyle w:val="default"/>
          <w:rFonts w:cs="FrankRuehl" w:hint="cs"/>
          <w:rtl/>
        </w:rPr>
        <w:t xml:space="preserve"> ההכנסות </w:t>
      </w:r>
      <w:r w:rsidR="008A0EE8">
        <w:rPr>
          <w:rStyle w:val="default"/>
          <w:rFonts w:cs="FrankRuehl" w:hint="cs"/>
          <w:rtl/>
        </w:rPr>
        <w:t>למועצה המקומית מצפה רמון</w:t>
      </w:r>
      <w:r w:rsidR="002F7617">
        <w:rPr>
          <w:rStyle w:val="default"/>
          <w:rFonts w:cs="FrankRuehl" w:hint="cs"/>
          <w:rtl/>
        </w:rPr>
        <w:t>.</w:t>
      </w:r>
    </w:p>
    <w:p w:rsidR="002F7617" w:rsidRDefault="002F7617" w:rsidP="008A0EE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 xml:space="preserve">הדוח הרבעוני וההכנסות יועברו </w:t>
      </w:r>
      <w:r w:rsidR="008A0EE8">
        <w:rPr>
          <w:rStyle w:val="default"/>
          <w:rFonts w:cs="FrankRuehl" w:hint="cs"/>
          <w:rtl/>
        </w:rPr>
        <w:t>למועצה המקומית מצפה רמון</w:t>
      </w:r>
      <w:r>
        <w:rPr>
          <w:rStyle w:val="default"/>
          <w:rFonts w:cs="FrankRuehl" w:hint="cs"/>
          <w:rtl/>
        </w:rPr>
        <w:t xml:space="preserve"> בתוך 30 ימים מתום כל רבעון.</w:t>
      </w:r>
    </w:p>
    <w:p w:rsidR="002F7617" w:rsidRDefault="002F7617" w:rsidP="008A0EE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</w:r>
      <w:r w:rsidR="008A0EE8">
        <w:rPr>
          <w:rStyle w:val="default"/>
          <w:rFonts w:cs="FrankRuehl" w:hint="cs"/>
          <w:rtl/>
        </w:rPr>
        <w:t>המועצה המקומית מצפה רמון</w:t>
      </w:r>
      <w:r>
        <w:rPr>
          <w:rStyle w:val="default"/>
          <w:rFonts w:cs="FrankRuehl" w:hint="cs"/>
          <w:rtl/>
        </w:rPr>
        <w:t xml:space="preserve"> רשאית, בתוך 21 ימים מיום שהועבר לידיה הדוח הרבעוני, לדרוש </w:t>
      </w:r>
      <w:r w:rsidR="00852CF3">
        <w:rPr>
          <w:rStyle w:val="default"/>
          <w:rFonts w:cs="FrankRuehl" w:hint="cs"/>
          <w:rtl/>
        </w:rPr>
        <w:t>מהמועצה האזורית רמת הנגב</w:t>
      </w:r>
      <w:r w:rsidR="0016165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כל מידע הנוגע להכנסות.</w:t>
      </w:r>
    </w:p>
    <w:p w:rsidR="002F7617" w:rsidRDefault="002F7617" w:rsidP="00852C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(ד)</w:t>
      </w:r>
      <w:r>
        <w:rPr>
          <w:rStyle w:val="default"/>
          <w:rFonts w:cs="FrankRuehl" w:hint="cs"/>
          <w:rtl/>
        </w:rPr>
        <w:tab/>
      </w:r>
      <w:r w:rsidR="00852CF3">
        <w:rPr>
          <w:rStyle w:val="default"/>
          <w:rFonts w:cs="FrankRuehl" w:hint="cs"/>
          <w:rtl/>
        </w:rPr>
        <w:t>המועצה האזורית רמת הנגב</w:t>
      </w:r>
      <w:r>
        <w:rPr>
          <w:rStyle w:val="default"/>
          <w:rFonts w:cs="FrankRuehl" w:hint="cs"/>
          <w:rtl/>
        </w:rPr>
        <w:t xml:space="preserve"> תמציא את המידע הנדרש </w:t>
      </w:r>
      <w:r w:rsidR="008A0EE8">
        <w:rPr>
          <w:rStyle w:val="default"/>
          <w:rFonts w:cs="FrankRuehl" w:hint="cs"/>
          <w:rtl/>
        </w:rPr>
        <w:t xml:space="preserve">למועצה המקומית מצפה רמון </w:t>
      </w:r>
      <w:r>
        <w:rPr>
          <w:rStyle w:val="default"/>
          <w:rFonts w:cs="FrankRuehl" w:hint="cs"/>
          <w:rtl/>
        </w:rPr>
        <w:t>בתוך 21 ימים מיום שנדרשה לכך.</w:t>
      </w:r>
    </w:p>
    <w:p w:rsidR="009E35E9" w:rsidRDefault="009E35E9" w:rsidP="008A0EE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5"/>
      <w:bookmarkEnd w:id="4"/>
      <w:r>
        <w:rPr>
          <w:rFonts w:cs="Miriam"/>
          <w:lang w:val="he-IL"/>
        </w:rPr>
        <w:pict>
          <v:rect id="_x0000_s2256" style="position:absolute;left:0;text-align:left;margin-left:464.35pt;margin-top:7.1pt;width:75.05pt;height:10.85pt;z-index:251658752" o:allowincell="f" filled="f" stroked="f" strokecolor="lime" strokeweight=".25pt">
            <v:textbox style="mso-next-textbox:#_x0000_s2256" inset="0,0,0,0">
              <w:txbxContent>
                <w:p w:rsidR="009E35E9" w:rsidRDefault="002F761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ריבית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F7617">
        <w:rPr>
          <w:rStyle w:val="default"/>
          <w:rFonts w:cs="FrankRuehl" w:hint="cs"/>
          <w:rtl/>
        </w:rPr>
        <w:t>לא הועבר</w:t>
      </w:r>
      <w:r w:rsidR="00F64C6C">
        <w:rPr>
          <w:rStyle w:val="default"/>
          <w:rFonts w:cs="FrankRuehl" w:hint="cs"/>
          <w:rtl/>
        </w:rPr>
        <w:t>ו</w:t>
      </w:r>
      <w:r w:rsidR="002F7617">
        <w:rPr>
          <w:rStyle w:val="default"/>
          <w:rFonts w:cs="FrankRuehl" w:hint="cs"/>
          <w:rtl/>
        </w:rPr>
        <w:t xml:space="preserve"> ההכנסות </w:t>
      </w:r>
      <w:r w:rsidR="008A0EE8">
        <w:rPr>
          <w:rStyle w:val="default"/>
          <w:rFonts w:cs="FrankRuehl" w:hint="cs"/>
          <w:rtl/>
        </w:rPr>
        <w:t>למועצה המקומית מצפה רמון</w:t>
      </w:r>
      <w:r w:rsidR="002F7617">
        <w:rPr>
          <w:rStyle w:val="default"/>
          <w:rFonts w:cs="FrankRuehl" w:hint="cs"/>
          <w:rtl/>
        </w:rPr>
        <w:t xml:space="preserve"> במועד, יישאו התקבולים ריבית בשיעור ריבית פיגורים כהגדרתה בסעיף </w:t>
      </w:r>
      <w:r w:rsidR="00F64C6C">
        <w:rPr>
          <w:rStyle w:val="default"/>
          <w:rFonts w:cs="FrankRuehl" w:hint="cs"/>
          <w:rtl/>
        </w:rPr>
        <w:t xml:space="preserve">5 </w:t>
      </w:r>
      <w:r w:rsidR="002F7617">
        <w:rPr>
          <w:rStyle w:val="default"/>
          <w:rFonts w:cs="FrankRuehl" w:hint="cs"/>
          <w:rtl/>
        </w:rPr>
        <w:t>לחוק פסיקת ריבית והצמדה, התשכ"א-1961</w:t>
      </w:r>
      <w:r>
        <w:rPr>
          <w:rStyle w:val="default"/>
          <w:rFonts w:cs="FrankRuehl"/>
          <w:rtl/>
        </w:rPr>
        <w:t>.</w:t>
      </w:r>
    </w:p>
    <w:p w:rsidR="009E35E9" w:rsidRDefault="009E35E9" w:rsidP="00CD07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6"/>
      <w:bookmarkEnd w:id="5"/>
      <w:r>
        <w:rPr>
          <w:rFonts w:cs="Miriam"/>
          <w:lang w:val="he-IL"/>
        </w:rPr>
        <w:pict>
          <v:rect id="_x0000_s2257" style="position:absolute;left:0;text-align:left;margin-left:464.35pt;margin-top:7.1pt;width:75.05pt;height:11.35pt;z-index:251659776" o:allowincell="f" filled="f" stroked="f" strokecolor="lime" strokeweight=".25pt">
            <v:textbox style="mso-next-textbox:#_x0000_s2257" inset="0,0,0,0">
              <w:txbxContent>
                <w:p w:rsidR="009E35E9" w:rsidRDefault="004E506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61651">
        <w:rPr>
          <w:rStyle w:val="default"/>
          <w:rFonts w:cs="FrankRuehl" w:hint="cs"/>
          <w:rtl/>
        </w:rPr>
        <w:t>תחילתו של צו זה</w:t>
      </w:r>
      <w:r w:rsidR="004E5061">
        <w:rPr>
          <w:rStyle w:val="default"/>
          <w:rFonts w:cs="FrankRuehl" w:hint="cs"/>
          <w:rtl/>
        </w:rPr>
        <w:t xml:space="preserve"> ביום </w:t>
      </w:r>
      <w:r w:rsidR="00F64C6C">
        <w:rPr>
          <w:rStyle w:val="default"/>
          <w:rFonts w:cs="FrankRuehl" w:hint="cs"/>
          <w:rtl/>
        </w:rPr>
        <w:t>י'</w:t>
      </w:r>
      <w:r w:rsidR="004E5061">
        <w:rPr>
          <w:rStyle w:val="default"/>
          <w:rFonts w:cs="FrankRuehl" w:hint="cs"/>
          <w:rtl/>
        </w:rPr>
        <w:t xml:space="preserve"> בטבת התשע"</w:t>
      </w:r>
      <w:r w:rsidR="00CD0790">
        <w:rPr>
          <w:rStyle w:val="default"/>
          <w:rFonts w:cs="FrankRuehl" w:hint="cs"/>
          <w:rtl/>
        </w:rPr>
        <w:t>ה</w:t>
      </w:r>
      <w:r w:rsidR="00F64C6C">
        <w:rPr>
          <w:rStyle w:val="default"/>
          <w:rFonts w:cs="FrankRuehl" w:hint="cs"/>
          <w:rtl/>
        </w:rPr>
        <w:t xml:space="preserve"> (1 בינואר 2015</w:t>
      </w:r>
      <w:r w:rsidR="004E5061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>.</w:t>
      </w:r>
    </w:p>
    <w:p w:rsidR="00852CF3" w:rsidRDefault="00852CF3" w:rsidP="00852C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7"/>
      <w:bookmarkEnd w:id="6"/>
      <w:r>
        <w:rPr>
          <w:rFonts w:cs="Miriam"/>
          <w:lang w:val="he-IL"/>
        </w:rPr>
        <w:pict>
          <v:rect id="_x0000_s2281" style="position:absolute;left:0;text-align:left;margin-left:464.35pt;margin-top:7.1pt;width:75.05pt;height:11.35pt;z-index:251660800" o:allowincell="f" filled="f" stroked="f" strokecolor="lime" strokeweight=".25pt">
            <v:textbox style="mso-next-textbox:#_x0000_s2281" inset="0,0,0,0">
              <w:txbxContent>
                <w:p w:rsidR="00852CF3" w:rsidRDefault="00852CF3" w:rsidP="00852CF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הוראת שעה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על אף האמור בסעיף 3(א) </w:t>
      </w:r>
      <w:r>
        <w:rPr>
          <w:rStyle w:val="default"/>
          <w:rFonts w:cs="FrankRuehl"/>
          <w:rtl/>
        </w:rPr>
        <w:t>–</w:t>
      </w:r>
    </w:p>
    <w:p w:rsidR="00852CF3" w:rsidRDefault="00852CF3" w:rsidP="00852CF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בתקופה שמיום י' בטבת התשע"ה (1 בינואר 2015) עד יום י"ט בטבת התשע"ו (31 בדצמבר 2015), בסעיף 3, יראו כאילו במקום סעיף קטן (א) נאמר:</w:t>
      </w:r>
    </w:p>
    <w:p w:rsidR="00852CF3" w:rsidRDefault="00852CF3" w:rsidP="00852CF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"(א)</w:t>
      </w:r>
      <w:r>
        <w:rPr>
          <w:rStyle w:val="default"/>
          <w:rFonts w:cs="FrankRuehl" w:hint="cs"/>
          <w:rtl/>
        </w:rPr>
        <w:tab/>
        <w:t>ההכנסות יחולקו בין הרשויות המקומיות בשיעורים מסך כל ההכנסות, כמפורט להלן:</w:t>
      </w:r>
    </w:p>
    <w:p w:rsidR="00852CF3" w:rsidRDefault="00852CF3" w:rsidP="008A0EE8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>(1)</w:t>
      </w:r>
      <w:r>
        <w:rPr>
          <w:rStyle w:val="default"/>
          <w:rFonts w:cs="FrankRuehl" w:hint="cs"/>
          <w:rtl/>
        </w:rPr>
        <w:tab/>
        <w:t xml:space="preserve">המועצה האזורית רמת הנגב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8A0EE8">
        <w:rPr>
          <w:rStyle w:val="default"/>
          <w:rFonts w:cs="FrankRuehl" w:hint="cs"/>
          <w:rtl/>
        </w:rPr>
        <w:t>90</w:t>
      </w:r>
      <w:r>
        <w:rPr>
          <w:rStyle w:val="default"/>
          <w:rFonts w:cs="FrankRuehl" w:hint="cs"/>
          <w:rtl/>
        </w:rPr>
        <w:t>%;</w:t>
      </w:r>
    </w:p>
    <w:p w:rsidR="00852CF3" w:rsidRDefault="00852CF3" w:rsidP="008A0EE8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המועצה </w:t>
      </w:r>
      <w:r w:rsidR="008A0EE8">
        <w:rPr>
          <w:rStyle w:val="default"/>
          <w:rFonts w:cs="FrankRuehl" w:hint="cs"/>
          <w:rtl/>
        </w:rPr>
        <w:t>המקומית מצפה רמון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8A0EE8">
        <w:rPr>
          <w:rStyle w:val="default"/>
          <w:rFonts w:cs="FrankRuehl" w:hint="cs"/>
          <w:rtl/>
        </w:rPr>
        <w:t>10</w:t>
      </w:r>
      <w:r>
        <w:rPr>
          <w:rStyle w:val="default"/>
          <w:rFonts w:cs="FrankRuehl" w:hint="cs"/>
          <w:rtl/>
        </w:rPr>
        <w:t>%."</w:t>
      </w:r>
    </w:p>
    <w:p w:rsidR="00852CF3" w:rsidRDefault="00852CF3" w:rsidP="00852CF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בתקופה שמיום כ' בטבת התשע"ו (1 בינואר 2016) עד יום ב' בטבת התשע"ז (31 בדצמבר 2016), בסעיף 3, יראו כאילו במקום סעיף קטן (א) נאמר:</w:t>
      </w:r>
    </w:p>
    <w:p w:rsidR="00852CF3" w:rsidRDefault="00852CF3" w:rsidP="00D906F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"(א)</w:t>
      </w:r>
      <w:r>
        <w:rPr>
          <w:rStyle w:val="default"/>
          <w:rFonts w:cs="FrankRuehl" w:hint="cs"/>
          <w:rtl/>
        </w:rPr>
        <w:tab/>
        <w:t xml:space="preserve">ההכנסות </w:t>
      </w:r>
      <w:r w:rsidR="008A0EE8">
        <w:rPr>
          <w:rStyle w:val="default"/>
          <w:rFonts w:cs="FrankRuehl" w:hint="cs"/>
          <w:rtl/>
        </w:rPr>
        <w:t xml:space="preserve">בסעיף זה </w:t>
      </w:r>
      <w:r>
        <w:rPr>
          <w:rStyle w:val="default"/>
          <w:rFonts w:cs="FrankRuehl" w:hint="cs"/>
          <w:rtl/>
        </w:rPr>
        <w:t xml:space="preserve">יחולקו </w:t>
      </w:r>
      <w:r w:rsidR="00D906F7">
        <w:rPr>
          <w:rStyle w:val="default"/>
          <w:rFonts w:cs="FrankRuehl" w:hint="cs"/>
          <w:rtl/>
        </w:rPr>
        <w:t>בין הרשויות המקומיות בשיעורים מסך כל ההכנסות, כמפורט להלן:</w:t>
      </w:r>
    </w:p>
    <w:p w:rsidR="00D906F7" w:rsidRDefault="00D906F7" w:rsidP="008A0EE8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המועצה האזורית רמת הנגב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8A0EE8">
        <w:rPr>
          <w:rStyle w:val="default"/>
          <w:rFonts w:cs="FrankRuehl" w:hint="cs"/>
          <w:rtl/>
        </w:rPr>
        <w:t>80</w:t>
      </w:r>
      <w:r>
        <w:rPr>
          <w:rStyle w:val="default"/>
          <w:rFonts w:cs="FrankRuehl" w:hint="cs"/>
          <w:rtl/>
        </w:rPr>
        <w:t>%;</w:t>
      </w:r>
    </w:p>
    <w:p w:rsidR="00D906F7" w:rsidRDefault="00D906F7" w:rsidP="008A0EE8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המועצה </w:t>
      </w:r>
      <w:r w:rsidR="008A0EE8">
        <w:rPr>
          <w:rStyle w:val="default"/>
          <w:rFonts w:cs="FrankRuehl" w:hint="cs"/>
          <w:rtl/>
        </w:rPr>
        <w:t>המקומית מצפה רמון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8A0EE8">
        <w:rPr>
          <w:rStyle w:val="default"/>
          <w:rFonts w:cs="FrankRuehl" w:hint="cs"/>
          <w:rtl/>
        </w:rPr>
        <w:t>20</w:t>
      </w:r>
      <w:r>
        <w:rPr>
          <w:rStyle w:val="default"/>
          <w:rFonts w:cs="FrankRuehl" w:hint="cs"/>
          <w:rtl/>
        </w:rPr>
        <w:t>%."</w:t>
      </w:r>
    </w:p>
    <w:p w:rsidR="008A0EE8" w:rsidRDefault="008A0EE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35E9" w:rsidRDefault="009E35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35E9" w:rsidRPr="008E20FC" w:rsidRDefault="00D906F7" w:rsidP="00D906F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א</w:t>
      </w:r>
      <w:r w:rsidR="00161651">
        <w:rPr>
          <w:rStyle w:val="default"/>
          <w:rFonts w:cs="FrankRuehl" w:hint="cs"/>
          <w:rtl/>
        </w:rPr>
        <w:t>' בטבת</w:t>
      </w:r>
      <w:r w:rsidR="004E5061">
        <w:rPr>
          <w:rStyle w:val="default"/>
          <w:rFonts w:cs="FrankRuehl" w:hint="cs"/>
          <w:rtl/>
        </w:rPr>
        <w:t xml:space="preserve"> התשע"</w:t>
      </w:r>
      <w:r w:rsidR="00772A1E">
        <w:rPr>
          <w:rStyle w:val="default"/>
          <w:rFonts w:cs="FrankRuehl" w:hint="cs"/>
          <w:rtl/>
        </w:rPr>
        <w:t>ה</w:t>
      </w:r>
      <w:r w:rsidR="004E5061">
        <w:rPr>
          <w:rStyle w:val="default"/>
          <w:rFonts w:cs="FrankRuehl" w:hint="cs"/>
          <w:rtl/>
        </w:rPr>
        <w:t xml:space="preserve"> (</w:t>
      </w:r>
      <w:r w:rsidR="00161651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>3</w:t>
      </w:r>
      <w:r w:rsidR="00161651">
        <w:rPr>
          <w:rStyle w:val="default"/>
          <w:rFonts w:cs="FrankRuehl" w:hint="cs"/>
          <w:rtl/>
        </w:rPr>
        <w:t xml:space="preserve"> בדצמבר</w:t>
      </w:r>
      <w:r w:rsidR="004E5061">
        <w:rPr>
          <w:rStyle w:val="default"/>
          <w:rFonts w:cs="FrankRuehl" w:hint="cs"/>
          <w:rtl/>
        </w:rPr>
        <w:t xml:space="preserve"> 201</w:t>
      </w:r>
      <w:r w:rsidR="00772A1E">
        <w:rPr>
          <w:rStyle w:val="default"/>
          <w:rFonts w:cs="FrankRuehl" w:hint="cs"/>
          <w:rtl/>
        </w:rPr>
        <w:t>4</w:t>
      </w:r>
      <w:r w:rsidR="009E35E9" w:rsidRPr="008E20FC">
        <w:rPr>
          <w:rStyle w:val="default"/>
          <w:rFonts w:cs="FrankRuehl" w:hint="cs"/>
          <w:rtl/>
        </w:rPr>
        <w:t>)</w:t>
      </w:r>
      <w:r w:rsidR="004E5061">
        <w:rPr>
          <w:rFonts w:cs="FrankRuehl" w:hint="cs"/>
          <w:rtl/>
        </w:rPr>
        <w:tab/>
      </w:r>
      <w:r w:rsidR="00161651">
        <w:rPr>
          <w:rFonts w:cs="FrankRuehl" w:hint="cs"/>
          <w:rtl/>
        </w:rPr>
        <w:t>גלעד ארדן</w:t>
      </w:r>
    </w:p>
    <w:p w:rsidR="009E35E9" w:rsidRDefault="009E35E9" w:rsidP="008E20FC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הפנים</w:t>
      </w:r>
    </w:p>
    <w:p w:rsidR="008A0EE8" w:rsidRPr="009075F8" w:rsidRDefault="008A0EE8" w:rsidP="009075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25431" w:rsidRPr="009075F8" w:rsidRDefault="00C25431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45343" w:rsidRDefault="00F45343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45343" w:rsidRDefault="00F45343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45343" w:rsidRDefault="00F45343" w:rsidP="00F4534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4A4B10" w:rsidRPr="00F45343" w:rsidRDefault="004A4B10" w:rsidP="00F4534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A4B10" w:rsidRPr="00F4534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0219" w:rsidRDefault="00840219">
      <w:r>
        <w:separator/>
      </w:r>
    </w:p>
  </w:endnote>
  <w:endnote w:type="continuationSeparator" w:id="0">
    <w:p w:rsidR="00840219" w:rsidRDefault="0084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5343">
      <w:rPr>
        <w:rFonts w:cs="TopType Jerushalmi"/>
        <w:noProof/>
        <w:color w:val="000000"/>
        <w:sz w:val="14"/>
        <w:szCs w:val="14"/>
      </w:rPr>
      <w:t>Z:\000-law\yael\2015\2015-01-01\tav\501_165.doc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45343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5343">
      <w:rPr>
        <w:rFonts w:cs="TopType Jerushalmi"/>
        <w:noProof/>
        <w:color w:val="000000"/>
        <w:sz w:val="14"/>
        <w:szCs w:val="14"/>
      </w:rPr>
      <w:t>Z:\000-law\yael\2015\2015-01-01\tav\501_165.doc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0219" w:rsidRDefault="00840219">
      <w:r>
        <w:separator/>
      </w:r>
    </w:p>
  </w:footnote>
  <w:footnote w:type="continuationSeparator" w:id="0">
    <w:p w:rsidR="00840219" w:rsidRDefault="00840219">
      <w:r>
        <w:continuationSeparator/>
      </w:r>
    </w:p>
  </w:footnote>
  <w:footnote w:id="1">
    <w:p w:rsidR="00AD5AE1" w:rsidRDefault="009E35E9" w:rsidP="00AD5AE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8E20FC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Pr="00AD5AE1">
          <w:rPr>
            <w:rStyle w:val="Hyperlink"/>
            <w:rFonts w:cs="FrankRuehl" w:hint="cs"/>
            <w:rtl/>
          </w:rPr>
          <w:t xml:space="preserve">ק"ת </w:t>
        </w:r>
        <w:r w:rsidR="008E20FC" w:rsidRPr="00AD5AE1">
          <w:rPr>
            <w:rStyle w:val="Hyperlink"/>
            <w:rFonts w:cs="FrankRuehl" w:hint="cs"/>
            <w:rtl/>
          </w:rPr>
          <w:t>תשע"</w:t>
        </w:r>
        <w:r w:rsidR="00FE70C1" w:rsidRPr="00AD5AE1">
          <w:rPr>
            <w:rStyle w:val="Hyperlink"/>
            <w:rFonts w:cs="FrankRuehl" w:hint="cs"/>
            <w:rtl/>
          </w:rPr>
          <w:t>ה</w:t>
        </w:r>
        <w:r w:rsidRPr="00AD5AE1">
          <w:rPr>
            <w:rStyle w:val="Hyperlink"/>
            <w:rFonts w:cs="FrankRuehl" w:hint="cs"/>
            <w:rtl/>
          </w:rPr>
          <w:t xml:space="preserve"> מס' </w:t>
        </w:r>
        <w:r w:rsidR="00FE70C1" w:rsidRPr="00AD5AE1">
          <w:rPr>
            <w:rStyle w:val="Hyperlink"/>
            <w:rFonts w:cs="FrankRuehl" w:hint="cs"/>
            <w:rtl/>
          </w:rPr>
          <w:t>74</w:t>
        </w:r>
        <w:r w:rsidR="000E22CB" w:rsidRPr="00AD5AE1">
          <w:rPr>
            <w:rStyle w:val="Hyperlink"/>
            <w:rFonts w:cs="FrankRuehl" w:hint="cs"/>
            <w:rtl/>
          </w:rPr>
          <w:t>66</w:t>
        </w:r>
      </w:hyperlink>
      <w:r>
        <w:rPr>
          <w:rFonts w:cs="FrankRuehl" w:hint="cs"/>
          <w:rtl/>
        </w:rPr>
        <w:t xml:space="preserve"> מיום </w:t>
      </w:r>
      <w:r w:rsidR="000E22CB">
        <w:rPr>
          <w:rFonts w:cs="FrankRuehl" w:hint="cs"/>
          <w:rtl/>
        </w:rPr>
        <w:t>30.12</w:t>
      </w:r>
      <w:r w:rsidR="008E20FC">
        <w:rPr>
          <w:rFonts w:cs="FrankRuehl" w:hint="cs"/>
          <w:rtl/>
        </w:rPr>
        <w:t>.2014</w:t>
      </w:r>
      <w:r>
        <w:rPr>
          <w:rFonts w:cs="FrankRuehl" w:hint="cs"/>
          <w:rtl/>
        </w:rPr>
        <w:t xml:space="preserve"> עמ' </w:t>
      </w:r>
      <w:r w:rsidR="000E22CB">
        <w:rPr>
          <w:rFonts w:cs="FrankRuehl" w:hint="cs"/>
          <w:rtl/>
        </w:rPr>
        <w:t>49</w:t>
      </w:r>
      <w:r w:rsidR="008A0EE8">
        <w:rPr>
          <w:rFonts w:cs="FrankRuehl" w:hint="cs"/>
          <w:rtl/>
        </w:rPr>
        <w:t>7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9E35E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8E20FC" w:rsidP="008A0EE8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</w:t>
    </w:r>
    <w:r w:rsidR="00852CF3">
      <w:rPr>
        <w:rFonts w:hAnsi="FrankRuehl" w:cs="FrankRuehl" w:hint="cs"/>
        <w:color w:val="000000"/>
        <w:sz w:val="28"/>
        <w:szCs w:val="28"/>
        <w:rtl/>
      </w:rPr>
      <w:t>המועצות המקומיות</w:t>
    </w:r>
    <w:r w:rsidR="000E22CB">
      <w:rPr>
        <w:rFonts w:hAnsi="FrankRuehl" w:cs="FrankRuehl" w:hint="cs"/>
        <w:color w:val="000000"/>
        <w:sz w:val="28"/>
        <w:szCs w:val="28"/>
        <w:rtl/>
      </w:rPr>
      <w:t xml:space="preserve"> (חלוקת הכנסות בין </w:t>
    </w:r>
    <w:r w:rsidR="00852CF3">
      <w:rPr>
        <w:rFonts w:hAnsi="FrankRuehl" w:cs="FrankRuehl" w:hint="cs"/>
        <w:color w:val="000000"/>
        <w:sz w:val="28"/>
        <w:szCs w:val="28"/>
        <w:rtl/>
      </w:rPr>
      <w:t xml:space="preserve">המועצה האזורית רמת הנגב לבין המועצה </w:t>
    </w:r>
    <w:r w:rsidR="008A0EE8">
      <w:rPr>
        <w:rFonts w:hAnsi="FrankRuehl" w:cs="FrankRuehl" w:hint="cs"/>
        <w:color w:val="000000"/>
        <w:sz w:val="28"/>
        <w:szCs w:val="28"/>
        <w:rtl/>
      </w:rPr>
      <w:t>המקומית מצפה רמון</w:t>
    </w:r>
    <w:r>
      <w:rPr>
        <w:rFonts w:hAnsi="FrankRuehl" w:cs="FrankRuehl" w:hint="cs"/>
        <w:color w:val="000000"/>
        <w:sz w:val="28"/>
        <w:szCs w:val="28"/>
        <w:rtl/>
      </w:rPr>
      <w:t>), תשע"</w:t>
    </w:r>
    <w:r w:rsidR="00FE70C1">
      <w:rPr>
        <w:rFonts w:hAnsi="FrankRuehl" w:cs="FrankRuehl" w:hint="cs"/>
        <w:color w:val="000000"/>
        <w:sz w:val="28"/>
        <w:szCs w:val="28"/>
        <w:rtl/>
      </w:rPr>
      <w:t>ה</w:t>
    </w:r>
    <w:r>
      <w:rPr>
        <w:rFonts w:hAnsi="FrankRuehl" w:cs="FrankRuehl" w:hint="cs"/>
        <w:color w:val="000000"/>
        <w:sz w:val="28"/>
        <w:szCs w:val="28"/>
        <w:rtl/>
      </w:rPr>
      <w:t>-2014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474523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35E9"/>
    <w:rsid w:val="000953C0"/>
    <w:rsid w:val="000E22CB"/>
    <w:rsid w:val="000F1E37"/>
    <w:rsid w:val="00161651"/>
    <w:rsid w:val="0018449C"/>
    <w:rsid w:val="00201791"/>
    <w:rsid w:val="00223BEE"/>
    <w:rsid w:val="002A00E6"/>
    <w:rsid w:val="002F7617"/>
    <w:rsid w:val="003A73D6"/>
    <w:rsid w:val="00474A58"/>
    <w:rsid w:val="004A16D2"/>
    <w:rsid w:val="004A4B10"/>
    <w:rsid w:val="004B2CB3"/>
    <w:rsid w:val="004E5061"/>
    <w:rsid w:val="005152DF"/>
    <w:rsid w:val="005352BB"/>
    <w:rsid w:val="005A1666"/>
    <w:rsid w:val="005F7323"/>
    <w:rsid w:val="006D4D5D"/>
    <w:rsid w:val="00772A1E"/>
    <w:rsid w:val="007753F5"/>
    <w:rsid w:val="00780C52"/>
    <w:rsid w:val="00840219"/>
    <w:rsid w:val="00852CF3"/>
    <w:rsid w:val="00885448"/>
    <w:rsid w:val="008A0EE8"/>
    <w:rsid w:val="008A4A8E"/>
    <w:rsid w:val="008E20FC"/>
    <w:rsid w:val="00902C90"/>
    <w:rsid w:val="009075F8"/>
    <w:rsid w:val="0094424F"/>
    <w:rsid w:val="00957D36"/>
    <w:rsid w:val="009E35E9"/>
    <w:rsid w:val="00A1207E"/>
    <w:rsid w:val="00A91166"/>
    <w:rsid w:val="00A95B72"/>
    <w:rsid w:val="00AD5AE1"/>
    <w:rsid w:val="00B65A57"/>
    <w:rsid w:val="00BD1FE9"/>
    <w:rsid w:val="00C06520"/>
    <w:rsid w:val="00C25431"/>
    <w:rsid w:val="00C83F6C"/>
    <w:rsid w:val="00CC3E88"/>
    <w:rsid w:val="00CD0790"/>
    <w:rsid w:val="00D0395E"/>
    <w:rsid w:val="00D251CF"/>
    <w:rsid w:val="00D53828"/>
    <w:rsid w:val="00D906F7"/>
    <w:rsid w:val="00F13E49"/>
    <w:rsid w:val="00F45343"/>
    <w:rsid w:val="00F64C6C"/>
    <w:rsid w:val="00F65AC8"/>
    <w:rsid w:val="00F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1F1F4022-F2DB-4CCE-BDC6-04F440AE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6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3435</CharactersWithSpaces>
  <SharedDoc>false</SharedDoc>
  <HLinks>
    <vt:vector size="54" baseType="variant">
      <vt:variant>
        <vt:i4>393283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http://www.nevo.co.il/Law_word/law06/tak-7466.pdf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המועצות המקומיות (חלוקת הכנסות בין המועצה האזורית רמת הנגב לבין המועצה המקומית מצפה רמון), תשע"ה-2014</vt:lpwstr>
  </property>
  <property fmtid="{D5CDD505-2E9C-101B-9397-08002B2CF9AE}" pid="4" name="LAWNUMBER">
    <vt:lpwstr>0165</vt:lpwstr>
  </property>
  <property fmtid="{D5CDD505-2E9C-101B-9397-08002B2CF9AE}" pid="5" name="TYPE">
    <vt:lpwstr>01</vt:lpwstr>
  </property>
  <property fmtid="{D5CDD505-2E9C-101B-9397-08002B2CF9AE}" pid="6" name="CHNAME">
    <vt:lpwstr>רשויות מקומיות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רשויות ומשפט מנהלי</vt:lpwstr>
  </property>
  <property fmtid="{D5CDD505-2E9C-101B-9397-08002B2CF9AE}" pid="21" name="NOSE21">
    <vt:lpwstr>רשויות מקומיות</vt:lpwstr>
  </property>
  <property fmtid="{D5CDD505-2E9C-101B-9397-08002B2CF9AE}" pid="22" name="NOSE31">
    <vt:lpwstr>מסי שלטון מקומי</vt:lpwstr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SAMCHUT">
    <vt:lpwstr/>
  </property>
  <property fmtid="{D5CDD505-2E9C-101B-9397-08002B2CF9AE}" pid="61" name="LINKK2">
    <vt:lpwstr/>
  </property>
  <property fmtid="{D5CDD505-2E9C-101B-9397-08002B2CF9AE}" pid="62" name="MEKOR_NAME1">
    <vt:lpwstr>פקודת המועצות המקומיות [נוסח חדש]</vt:lpwstr>
  </property>
  <property fmtid="{D5CDD505-2E9C-101B-9397-08002B2CF9AE}" pid="63" name="MEKOR_SAIF1">
    <vt:lpwstr>34אX</vt:lpwstr>
  </property>
  <property fmtid="{D5CDD505-2E9C-101B-9397-08002B2CF9AE}" pid="64" name="LINKK1">
    <vt:lpwstr>http://www.nevo.co.il/Law_word/law06/tak-7466.pdf;‎רשומות - תקנות כלליות#פורסם ק"ת תשע"ה ‏מס' 7466 #מיום 30.12.2014 עמ' 497‏</vt:lpwstr>
  </property>
  <property fmtid="{D5CDD505-2E9C-101B-9397-08002B2CF9AE}" pid="65" name="MEKOR_LAWID1">
    <vt:lpwstr>70326</vt:lpwstr>
  </property>
</Properties>
</file>