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3B03F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חיובים </w:t>
      </w:r>
      <w:r w:rsidR="00F9011B">
        <w:rPr>
          <w:rFonts w:hint="cs"/>
          <w:rtl/>
        </w:rPr>
        <w:t>שמטילה רשות ההון, ביטוח וחיסכון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F9011B">
        <w:rPr>
          <w:rFonts w:hint="cs"/>
          <w:rtl/>
        </w:rPr>
        <w:t>ז</w:t>
      </w:r>
      <w:r w:rsidR="00C76B56">
        <w:rPr>
          <w:rFonts w:hint="cs"/>
          <w:rtl/>
        </w:rPr>
        <w:t>-201</w:t>
      </w:r>
      <w:r w:rsidR="00F9011B">
        <w:rPr>
          <w:rFonts w:hint="cs"/>
          <w:rtl/>
        </w:rPr>
        <w:t>7</w:t>
      </w:r>
    </w:p>
    <w:p w:rsidR="003B03FB" w:rsidRPr="003B03FB" w:rsidRDefault="003B03FB" w:rsidP="003B03FB">
      <w:pPr>
        <w:spacing w:line="320" w:lineRule="auto"/>
        <w:jc w:val="left"/>
        <w:rPr>
          <w:rFonts w:cs="FrankRuehl"/>
          <w:szCs w:val="26"/>
          <w:rtl/>
        </w:rPr>
      </w:pPr>
    </w:p>
    <w:p w:rsidR="003B03FB" w:rsidRDefault="003B03FB" w:rsidP="003B03FB">
      <w:pPr>
        <w:spacing w:line="320" w:lineRule="auto"/>
        <w:jc w:val="left"/>
        <w:rPr>
          <w:rtl/>
        </w:rPr>
      </w:pPr>
    </w:p>
    <w:p w:rsidR="003B03FB" w:rsidRDefault="003B03FB" w:rsidP="003B03FB">
      <w:pPr>
        <w:spacing w:line="320" w:lineRule="auto"/>
        <w:jc w:val="left"/>
        <w:rPr>
          <w:rFonts w:cs="Miriam"/>
          <w:szCs w:val="22"/>
          <w:rtl/>
        </w:rPr>
      </w:pPr>
      <w:r w:rsidRPr="003B03FB">
        <w:rPr>
          <w:rFonts w:cs="Miriam"/>
          <w:szCs w:val="22"/>
          <w:rtl/>
        </w:rPr>
        <w:t>בתי משפט וסדרי דין</w:t>
      </w:r>
      <w:r w:rsidRPr="003B03FB">
        <w:rPr>
          <w:rFonts w:cs="FrankRuehl"/>
          <w:szCs w:val="26"/>
          <w:rtl/>
        </w:rPr>
        <w:t xml:space="preserve"> – המרכז לגביית קנסות – תחילת החוק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4821" w:rsidRPr="00E64821" w:rsidTr="00E648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64821" w:rsidRPr="00E64821" w:rsidRDefault="00E64821" w:rsidP="00E648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64821" w:rsidRPr="00E64821" w:rsidRDefault="00E64821" w:rsidP="00E648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קנס אזרחי או עיצום כספי שנקבע בחיקוק</w:t>
            </w:r>
          </w:p>
        </w:tc>
        <w:tc>
          <w:tcPr>
            <w:tcW w:w="567" w:type="dxa"/>
          </w:tcPr>
          <w:p w:rsidR="00E64821" w:rsidRPr="00E64821" w:rsidRDefault="00E64821" w:rsidP="00E6482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קנס אזרחי או עיצום כספי שנקבע בחיקוק" w:history="1">
              <w:r w:rsidRPr="00E648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64821" w:rsidRPr="00E64821" w:rsidRDefault="00E64821" w:rsidP="00E64821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3B03F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F9011B">
        <w:rPr>
          <w:rFonts w:hint="cs"/>
          <w:rtl/>
        </w:rPr>
        <w:t>תחילת החוק לגבי חיובים שמטילה רשות ההון, ביטוח וחיסכון),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5.6pt;z-index:251657728" o:allowincell="f" filled="f" stroked="f" strokecolor="lime" strokeweight=".25pt">
            <v:textbox style="mso-next-textbox:#_x0000_s1026" inset="0,0,0,0">
              <w:txbxContent>
                <w:p w:rsidR="002D0660" w:rsidRDefault="00B70BD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F9011B">
                    <w:rPr>
                      <w:rFonts w:cs="Miriam" w:hint="cs"/>
                      <w:szCs w:val="18"/>
                      <w:rtl/>
                    </w:rPr>
                    <w:t>לעניין קנס אזרחי או עיצום כספי שנקבע בחיקוק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</w:t>
      </w:r>
      <w:r w:rsidR="00F9011B">
        <w:rPr>
          <w:rStyle w:val="default"/>
          <w:rFonts w:cs="FrankRuehl" w:hint="cs"/>
          <w:rtl/>
        </w:rPr>
        <w:t xml:space="preserve">קנס אזרחי או </w:t>
      </w:r>
      <w:r w:rsidR="00B70BDD">
        <w:rPr>
          <w:rStyle w:val="default"/>
          <w:rFonts w:cs="FrankRuehl" w:hint="cs"/>
          <w:rtl/>
        </w:rPr>
        <w:t>עיצום כספי כמשמעותו בחיקוקים המפורטים להלן, תהיה ביום פרסומו של צו זה</w:t>
      </w:r>
      <w:r w:rsidR="00F9011B">
        <w:rPr>
          <w:rStyle w:val="default"/>
          <w:rFonts w:cs="FrankRuehl" w:hint="cs"/>
          <w:rtl/>
        </w:rPr>
        <w:t>, ובלבד שטרם החלו הליכי גבייתו</w:t>
      </w:r>
      <w:r w:rsidR="00D17D03">
        <w:rPr>
          <w:rStyle w:val="default"/>
          <w:rFonts w:cs="FrankRuehl" w:hint="cs"/>
          <w:rtl/>
        </w:rPr>
        <w:t>:</w:t>
      </w:r>
    </w:p>
    <w:p w:rsidR="00B70BDD" w:rsidRDefault="00B70BDD" w:rsidP="005A3639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עיצום כספי לפי </w:t>
      </w:r>
      <w:r w:rsidR="00F9011B">
        <w:rPr>
          <w:rStyle w:val="default"/>
          <w:rFonts w:cs="FrankRuehl" w:hint="cs"/>
          <w:rtl/>
        </w:rPr>
        <w:t>סעיף 92א לפרק ט'1 בחוק הפיקוח על שירותים פיננסיים (ביטוח), התשמ"א-1981</w:t>
      </w:r>
      <w:r>
        <w:rPr>
          <w:rStyle w:val="default"/>
          <w:rFonts w:cs="FrankRuehl" w:hint="cs"/>
          <w:rtl/>
        </w:rPr>
        <w:t>;</w:t>
      </w:r>
    </w:p>
    <w:p w:rsidR="00F9011B" w:rsidRDefault="00F9011B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עיצום כספי לפי סעיף 32 לפרק ו' בחוק הפיקוח על שירותים פיננסיים (ייעוץ, שיווק ומערכת סליקה פנסיוניים), התשס"ה-2005;</w:t>
      </w:r>
    </w:p>
    <w:p w:rsidR="00F9011B" w:rsidRDefault="00F9011B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 w:rsidR="0037583B">
        <w:rPr>
          <w:rStyle w:val="default"/>
          <w:rFonts w:cs="FrankRuehl" w:hint="cs"/>
          <w:rtl/>
        </w:rPr>
        <w:t>קנס אזרחי לפי סעיף 34 לפרק ו' בחוק הפיקוח על שירותים פיננסיים (ייעוץ, שיווק ומערכת סליקה פנסיוניים), התשס"ה-2005;</w:t>
      </w:r>
    </w:p>
    <w:p w:rsidR="0037583B" w:rsidRDefault="0037583B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עיצום כספי לפי סעיף 43 לפרק ה' בחוק הפיקוח על שירותים פיננסיים (קופות גמל), התשס"ה-2005;</w:t>
      </w:r>
    </w:p>
    <w:p w:rsidR="0037583B" w:rsidRDefault="0037583B" w:rsidP="005A363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עיצום כספי לפי סעיפים 3א(ו) לפרק ב' ו-11ב לפרק ג' בפקודת ביטוח רכב מנועי [נוסח חדש], התש"ל-1970.</w:t>
      </w:r>
    </w:p>
    <w:p w:rsidR="00F9011B" w:rsidRDefault="00F901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37583B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כ"ב בתמוז התשע"ז (16 ביולי 2017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37583B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F9011B" w:rsidRDefault="00F9011B">
      <w:pPr>
        <w:pStyle w:val="P00"/>
        <w:spacing w:before="72"/>
        <w:ind w:left="0" w:right="1134"/>
        <w:rPr>
          <w:rFonts w:hint="cs"/>
          <w:rtl/>
        </w:rPr>
      </w:pPr>
    </w:p>
    <w:p w:rsidR="003C7851" w:rsidRDefault="003C7851">
      <w:pPr>
        <w:pStyle w:val="P00"/>
        <w:spacing w:before="72"/>
        <w:ind w:left="0" w:right="1134"/>
        <w:rPr>
          <w:rtl/>
        </w:rPr>
      </w:pPr>
    </w:p>
    <w:p w:rsidR="00E64821" w:rsidRDefault="00E64821">
      <w:pPr>
        <w:pStyle w:val="P00"/>
        <w:spacing w:before="72"/>
        <w:ind w:left="0" w:right="1134"/>
        <w:rPr>
          <w:rtl/>
        </w:rPr>
      </w:pPr>
    </w:p>
    <w:p w:rsidR="00E64821" w:rsidRDefault="00E64821">
      <w:pPr>
        <w:pStyle w:val="P00"/>
        <w:spacing w:before="72"/>
        <w:ind w:left="0" w:right="1134"/>
        <w:rPr>
          <w:rtl/>
        </w:rPr>
      </w:pPr>
    </w:p>
    <w:p w:rsidR="00E64821" w:rsidRDefault="00E64821" w:rsidP="00E6482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C7851" w:rsidRPr="00E64821" w:rsidRDefault="003C7851" w:rsidP="00E64821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3C7851" w:rsidRPr="00E6482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DE0" w:rsidRDefault="00137DE0" w:rsidP="001153D7">
      <w:pPr>
        <w:pStyle w:val="P00"/>
      </w:pPr>
      <w:r>
        <w:separator/>
      </w:r>
    </w:p>
  </w:endnote>
  <w:endnote w:type="continuationSeparator" w:id="0">
    <w:p w:rsidR="00137DE0" w:rsidRDefault="00137DE0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64821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DE0" w:rsidRDefault="00137DE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37DE0" w:rsidRDefault="00137DE0">
      <w:r>
        <w:separator/>
      </w:r>
    </w:p>
  </w:footnote>
  <w:footnote w:id="1">
    <w:p w:rsidR="00627F92" w:rsidRDefault="002D0660" w:rsidP="00627F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627F92">
          <w:rPr>
            <w:rStyle w:val="Hyperlink"/>
            <w:rFonts w:hint="cs"/>
            <w:sz w:val="20"/>
            <w:rtl/>
          </w:rPr>
          <w:t>ק"ת תשע"</w:t>
        </w:r>
        <w:r w:rsidR="00F9011B" w:rsidRPr="00627F92">
          <w:rPr>
            <w:rStyle w:val="Hyperlink"/>
            <w:rFonts w:hint="cs"/>
            <w:sz w:val="20"/>
            <w:rtl/>
          </w:rPr>
          <w:t>ז</w:t>
        </w:r>
        <w:r w:rsidRPr="00627F92">
          <w:rPr>
            <w:rStyle w:val="Hyperlink"/>
            <w:rFonts w:hint="cs"/>
            <w:sz w:val="20"/>
            <w:rtl/>
          </w:rPr>
          <w:t xml:space="preserve"> מס' </w:t>
        </w:r>
        <w:r w:rsidR="00F9011B" w:rsidRPr="00627F92">
          <w:rPr>
            <w:rStyle w:val="Hyperlink"/>
            <w:rFonts w:hint="cs"/>
            <w:sz w:val="20"/>
            <w:rtl/>
          </w:rPr>
          <w:t>7866</w:t>
        </w:r>
      </w:hyperlink>
      <w:r>
        <w:rPr>
          <w:rFonts w:hint="cs"/>
          <w:sz w:val="20"/>
          <w:rtl/>
        </w:rPr>
        <w:t xml:space="preserve"> מיום </w:t>
      </w:r>
      <w:r w:rsidR="00F9011B">
        <w:rPr>
          <w:rFonts w:hint="cs"/>
          <w:sz w:val="20"/>
          <w:rtl/>
        </w:rPr>
        <w:t>19.9.2017</w:t>
      </w:r>
      <w:r>
        <w:rPr>
          <w:rFonts w:hint="cs"/>
          <w:sz w:val="20"/>
          <w:rtl/>
        </w:rPr>
        <w:t xml:space="preserve"> עמ' </w:t>
      </w:r>
      <w:r w:rsidR="00F9011B">
        <w:rPr>
          <w:rFonts w:hint="cs"/>
          <w:sz w:val="20"/>
          <w:rtl/>
        </w:rPr>
        <w:t>1760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DE591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חיובים </w:t>
    </w:r>
    <w:r w:rsidR="00F9011B">
      <w:rPr>
        <w:rFonts w:hAnsi="FrankRuehl" w:hint="cs"/>
        <w:color w:val="000000"/>
        <w:sz w:val="28"/>
        <w:szCs w:val="28"/>
        <w:rtl/>
      </w:rPr>
      <w:t>שמטילה רשות שוק ההון, ביטוח וחיסכון</w:t>
    </w:r>
    <w:r w:rsidR="00C44C26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2D0660">
      <w:rPr>
        <w:rFonts w:hAnsi="FrankRuehl" w:hint="cs"/>
        <w:color w:val="000000"/>
        <w:sz w:val="28"/>
        <w:szCs w:val="28"/>
        <w:rtl/>
      </w:rPr>
      <w:t>תשע"</w:t>
    </w:r>
    <w:r w:rsidR="00F9011B">
      <w:rPr>
        <w:rFonts w:hAnsi="FrankRuehl" w:hint="cs"/>
        <w:color w:val="000000"/>
        <w:sz w:val="28"/>
        <w:szCs w:val="28"/>
        <w:rtl/>
      </w:rPr>
      <w:t>ז</w:t>
    </w:r>
    <w:r w:rsidR="002D0660">
      <w:rPr>
        <w:rFonts w:hAnsi="FrankRuehl" w:hint="cs"/>
        <w:color w:val="000000"/>
        <w:sz w:val="28"/>
        <w:szCs w:val="28"/>
        <w:rtl/>
      </w:rPr>
      <w:t>-201</w:t>
    </w:r>
    <w:r w:rsidR="00F9011B">
      <w:rPr>
        <w:rFonts w:hAnsi="FrankRuehl" w:hint="cs"/>
        <w:color w:val="000000"/>
        <w:sz w:val="28"/>
        <w:szCs w:val="28"/>
        <w:rtl/>
      </w:rPr>
      <w:t>7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319D5"/>
    <w:rsid w:val="00137DE0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7583B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7618A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27F92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0C6E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4821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9011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8141705-0740-49DA-9276-036E9042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1439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חיובים שמטילה רשות שוק ההון, ביטוח וחיסכון), תשע"ז-2017</vt:lpwstr>
  </property>
  <property fmtid="{D5CDD505-2E9C-101B-9397-08002B2CF9AE}" pid="5" name="LAWNUMBER">
    <vt:lpwstr>0681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המרכז לגביית קנסות, אגרות והוצאות</vt:lpwstr>
  </property>
  <property fmtid="{D5CDD505-2E9C-101B-9397-08002B2CF9AE}" pid="60" name="MEKOR_SAIF1">
    <vt:lpwstr>14X</vt:lpwstr>
  </property>
  <property fmtid="{D5CDD505-2E9C-101B-9397-08002B2CF9AE}" pid="61" name="LINKK1">
    <vt:lpwstr>http://www.nevo.co.il/Law_word/law06/tak-7866.pdf;‎רשומות - תקנות כלליות#פורסמו ק"ת תשע"ז ‏מס' 7866 #מיום 19.9.2017 עמ' 1760‏</vt:lpwstr>
  </property>
</Properties>
</file>